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36E2B" w14:textId="77777777" w:rsidR="00075EBC" w:rsidRDefault="00075EBC" w:rsidP="009D7629">
      <w:pPr>
        <w:jc w:val="both"/>
      </w:pPr>
    </w:p>
    <w:p w14:paraId="51E63792" w14:textId="77777777" w:rsidR="00075EBC" w:rsidRDefault="00075EBC" w:rsidP="004549A4">
      <w:pPr>
        <w:jc w:val="both"/>
      </w:pPr>
    </w:p>
    <w:p w14:paraId="6326F8B8" w14:textId="77777777" w:rsidR="00AF5540" w:rsidRDefault="00AF5540" w:rsidP="009D7629">
      <w:pPr>
        <w:jc w:val="both"/>
      </w:pPr>
    </w:p>
    <w:p w14:paraId="47EBA9CD" w14:textId="77777777" w:rsidR="00AF5540" w:rsidRDefault="00AF5540" w:rsidP="009D7629">
      <w:pPr>
        <w:jc w:val="both"/>
      </w:pPr>
    </w:p>
    <w:p w14:paraId="36DDFE5B" w14:textId="77777777" w:rsidR="00AF5540" w:rsidRDefault="00AF5540" w:rsidP="009D7629">
      <w:pPr>
        <w:jc w:val="both"/>
      </w:pPr>
    </w:p>
    <w:p w14:paraId="6920843B" w14:textId="77777777" w:rsidR="00AF5540" w:rsidRDefault="00AF5540" w:rsidP="009D7629">
      <w:pPr>
        <w:jc w:val="both"/>
      </w:pPr>
    </w:p>
    <w:p w14:paraId="07EEAE9D" w14:textId="77777777" w:rsidR="00075EBC" w:rsidRDefault="00075EBC" w:rsidP="009D7629">
      <w:pPr>
        <w:jc w:val="both"/>
      </w:pPr>
    </w:p>
    <w:p w14:paraId="1C83F983" w14:textId="77777777" w:rsidR="00DD165C" w:rsidRPr="00DD165C" w:rsidRDefault="00DD165C" w:rsidP="009D7629">
      <w:pPr>
        <w:jc w:val="both"/>
      </w:pPr>
    </w:p>
    <w:p w14:paraId="1F7DC006" w14:textId="46D181A0" w:rsidR="00AF5540" w:rsidRDefault="00AF5540" w:rsidP="0059452E">
      <w:pPr>
        <w:spacing w:line="276" w:lineRule="auto"/>
        <w:jc w:val="center"/>
        <w:rPr>
          <w:b/>
          <w:sz w:val="56"/>
          <w:szCs w:val="56"/>
        </w:rPr>
      </w:pPr>
      <w:r>
        <w:rPr>
          <w:b/>
          <w:sz w:val="56"/>
          <w:szCs w:val="56"/>
        </w:rPr>
        <w:t>Der</w:t>
      </w:r>
      <w:r w:rsidR="007063EE" w:rsidRPr="00AF5540">
        <w:rPr>
          <w:b/>
          <w:sz w:val="56"/>
          <w:szCs w:val="56"/>
        </w:rPr>
        <w:t xml:space="preserve"> Prozess </w:t>
      </w:r>
      <w:r w:rsidR="00075EBC" w:rsidRPr="00AF5540">
        <w:rPr>
          <w:b/>
          <w:sz w:val="56"/>
          <w:szCs w:val="56"/>
        </w:rPr>
        <w:t xml:space="preserve">der </w:t>
      </w:r>
      <w:r w:rsidR="007063EE" w:rsidRPr="00AF5540">
        <w:rPr>
          <w:b/>
          <w:sz w:val="56"/>
          <w:szCs w:val="56"/>
        </w:rPr>
        <w:t xml:space="preserve">Umsetzung </w:t>
      </w:r>
    </w:p>
    <w:p w14:paraId="30772D54" w14:textId="0426B2D2" w:rsidR="00075EBC" w:rsidRPr="00AF5540" w:rsidRDefault="007063EE" w:rsidP="0059452E">
      <w:pPr>
        <w:spacing w:line="276" w:lineRule="auto"/>
        <w:jc w:val="center"/>
        <w:rPr>
          <w:b/>
          <w:sz w:val="56"/>
          <w:szCs w:val="56"/>
        </w:rPr>
      </w:pPr>
      <w:r w:rsidRPr="00AF5540">
        <w:rPr>
          <w:b/>
          <w:sz w:val="56"/>
          <w:szCs w:val="56"/>
        </w:rPr>
        <w:t xml:space="preserve">der </w:t>
      </w:r>
      <w:r w:rsidR="00D01097">
        <w:rPr>
          <w:b/>
          <w:sz w:val="56"/>
          <w:szCs w:val="56"/>
        </w:rPr>
        <w:t>Regulierung</w:t>
      </w:r>
      <w:r w:rsidRPr="00AF5540">
        <w:rPr>
          <w:b/>
          <w:sz w:val="56"/>
          <w:szCs w:val="56"/>
        </w:rPr>
        <w:t xml:space="preserve"> von</w:t>
      </w:r>
      <w:r w:rsidR="00075EBC" w:rsidRPr="00AF5540">
        <w:rPr>
          <w:b/>
          <w:sz w:val="56"/>
          <w:szCs w:val="56"/>
        </w:rPr>
        <w:t xml:space="preserve"> Marihuana</w:t>
      </w:r>
    </w:p>
    <w:p w14:paraId="6E66BCF3" w14:textId="77777777" w:rsidR="00AF5540" w:rsidRDefault="00075EBC" w:rsidP="00AF5540">
      <w:pPr>
        <w:spacing w:line="276" w:lineRule="auto"/>
        <w:jc w:val="center"/>
        <w:rPr>
          <w:b/>
          <w:sz w:val="56"/>
          <w:szCs w:val="56"/>
        </w:rPr>
      </w:pPr>
      <w:r w:rsidRPr="00AF5540">
        <w:rPr>
          <w:b/>
          <w:sz w:val="56"/>
          <w:szCs w:val="56"/>
        </w:rPr>
        <w:t>in den USA:</w:t>
      </w:r>
      <w:r w:rsidR="00AF5540" w:rsidRPr="00AF5540">
        <w:rPr>
          <w:b/>
          <w:sz w:val="56"/>
          <w:szCs w:val="56"/>
        </w:rPr>
        <w:t xml:space="preserve"> </w:t>
      </w:r>
    </w:p>
    <w:p w14:paraId="75396DA1" w14:textId="766BB0B5" w:rsidR="00AF5540" w:rsidRPr="00AF5540" w:rsidRDefault="00AF5540" w:rsidP="00AF5540">
      <w:pPr>
        <w:spacing w:line="276" w:lineRule="auto"/>
        <w:jc w:val="center"/>
        <w:rPr>
          <w:b/>
          <w:sz w:val="56"/>
          <w:szCs w:val="56"/>
        </w:rPr>
      </w:pPr>
      <w:r w:rsidRPr="00AF5540">
        <w:rPr>
          <w:b/>
          <w:sz w:val="56"/>
          <w:szCs w:val="56"/>
        </w:rPr>
        <w:t>Effekte und Nebeneffekte</w:t>
      </w:r>
    </w:p>
    <w:p w14:paraId="541A3861" w14:textId="41BE0A87" w:rsidR="00075EBC" w:rsidRPr="00AF5540" w:rsidRDefault="00075EBC" w:rsidP="0059452E">
      <w:pPr>
        <w:spacing w:line="276" w:lineRule="auto"/>
        <w:jc w:val="center"/>
        <w:rPr>
          <w:b/>
          <w:sz w:val="56"/>
          <w:szCs w:val="56"/>
        </w:rPr>
      </w:pPr>
    </w:p>
    <w:p w14:paraId="33350253" w14:textId="77777777" w:rsidR="00075EBC" w:rsidRPr="00075EBC" w:rsidRDefault="00075EBC" w:rsidP="0059452E">
      <w:pPr>
        <w:spacing w:line="276" w:lineRule="auto"/>
        <w:jc w:val="center"/>
        <w:rPr>
          <w:b/>
          <w:sz w:val="72"/>
          <w:szCs w:val="72"/>
        </w:rPr>
      </w:pPr>
    </w:p>
    <w:p w14:paraId="11A95613" w14:textId="0CF1CC3D" w:rsidR="00075EBC" w:rsidRPr="00AF5540" w:rsidRDefault="00075EBC" w:rsidP="0059452E">
      <w:pPr>
        <w:spacing w:line="276" w:lineRule="auto"/>
        <w:jc w:val="center"/>
        <w:rPr>
          <w:b/>
          <w:sz w:val="56"/>
          <w:szCs w:val="56"/>
        </w:rPr>
      </w:pPr>
      <w:r w:rsidRPr="00AF5540">
        <w:rPr>
          <w:b/>
          <w:sz w:val="56"/>
          <w:szCs w:val="56"/>
        </w:rPr>
        <w:t>Stand Herbst 2016</w:t>
      </w:r>
    </w:p>
    <w:p w14:paraId="26F43FEF" w14:textId="77777777" w:rsidR="00DD165C" w:rsidRDefault="00DD165C" w:rsidP="009D7629">
      <w:pPr>
        <w:jc w:val="both"/>
        <w:sectPr w:rsidR="00DD165C" w:rsidSect="008901F7">
          <w:headerReference w:type="default" r:id="rId9"/>
          <w:footerReference w:type="even" r:id="rId10"/>
          <w:footerReference w:type="default" r:id="rId11"/>
          <w:pgSz w:w="11900" w:h="16840"/>
          <w:pgMar w:top="1417" w:right="1417" w:bottom="1134" w:left="1417" w:header="708" w:footer="708" w:gutter="0"/>
          <w:cols w:space="708"/>
          <w:docGrid w:linePitch="360"/>
        </w:sectPr>
      </w:pPr>
    </w:p>
    <w:p w14:paraId="034DA82F" w14:textId="3FD69A8F" w:rsidR="00DD165C" w:rsidRPr="00DD165C" w:rsidRDefault="00DD165C" w:rsidP="009D7629">
      <w:pPr>
        <w:jc w:val="both"/>
      </w:pPr>
    </w:p>
    <w:p w14:paraId="05CD416E" w14:textId="5D9AB018" w:rsidR="00075EBC" w:rsidRPr="00AF5540" w:rsidRDefault="00075EBC" w:rsidP="0059452E">
      <w:pPr>
        <w:pStyle w:val="Verzeichnis1"/>
        <w:rPr>
          <w:b/>
        </w:rPr>
      </w:pPr>
      <w:r w:rsidRPr="00AF5540">
        <w:rPr>
          <w:b/>
        </w:rPr>
        <w:t>Vorwort</w:t>
      </w:r>
    </w:p>
    <w:p w14:paraId="12EF43F4" w14:textId="07695B16" w:rsidR="004C0518" w:rsidRPr="00AF5540" w:rsidRDefault="00075EBC" w:rsidP="009D7629">
      <w:pPr>
        <w:jc w:val="both"/>
        <w:rPr>
          <w:sz w:val="20"/>
          <w:szCs w:val="20"/>
        </w:rPr>
      </w:pPr>
      <w:r w:rsidRPr="00AF5540">
        <w:rPr>
          <w:sz w:val="20"/>
          <w:szCs w:val="20"/>
        </w:rPr>
        <w:t xml:space="preserve">Gerade jetzt, um Herbst 2016, wird in den öffentlichen Debatten das sogenannte „Postfaktische Zeitalter“ entdeckt. Gemeint ist damit, dass Fakten weniger zählen </w:t>
      </w:r>
      <w:r w:rsidR="00285DA9">
        <w:rPr>
          <w:sz w:val="20"/>
          <w:szCs w:val="20"/>
        </w:rPr>
        <w:t xml:space="preserve">würden </w:t>
      </w:r>
      <w:r w:rsidRPr="00AF5540">
        <w:rPr>
          <w:sz w:val="20"/>
          <w:szCs w:val="20"/>
        </w:rPr>
        <w:t xml:space="preserve">als Emotionen, die </w:t>
      </w:r>
      <w:r w:rsidR="00AF5540" w:rsidRPr="00AF5540">
        <w:rPr>
          <w:sz w:val="20"/>
          <w:szCs w:val="20"/>
        </w:rPr>
        <w:t>bei</w:t>
      </w:r>
      <w:r w:rsidRPr="00AF5540">
        <w:rPr>
          <w:sz w:val="20"/>
          <w:szCs w:val="20"/>
        </w:rPr>
        <w:t xml:space="preserve"> einem Thema </w:t>
      </w:r>
      <w:r w:rsidR="00285DA9">
        <w:rPr>
          <w:sz w:val="20"/>
          <w:szCs w:val="20"/>
        </w:rPr>
        <w:t xml:space="preserve">weit </w:t>
      </w:r>
      <w:r w:rsidRPr="00AF5540">
        <w:rPr>
          <w:sz w:val="20"/>
          <w:szCs w:val="20"/>
        </w:rPr>
        <w:t>erfolgreich</w:t>
      </w:r>
      <w:r w:rsidR="007243A9" w:rsidRPr="00AF5540">
        <w:rPr>
          <w:sz w:val="20"/>
          <w:szCs w:val="20"/>
        </w:rPr>
        <w:t>er</w:t>
      </w:r>
      <w:r w:rsidRPr="00AF5540">
        <w:rPr>
          <w:sz w:val="20"/>
          <w:szCs w:val="20"/>
        </w:rPr>
        <w:t xml:space="preserve"> angesprochen werden könn</w:t>
      </w:r>
      <w:r w:rsidR="007243A9" w:rsidRPr="00AF5540">
        <w:rPr>
          <w:sz w:val="20"/>
          <w:szCs w:val="20"/>
        </w:rPr>
        <w:t>t</w:t>
      </w:r>
      <w:r w:rsidRPr="00AF5540">
        <w:rPr>
          <w:sz w:val="20"/>
          <w:szCs w:val="20"/>
        </w:rPr>
        <w:t xml:space="preserve">en. Was für ein neuer Schwindel: Natürlich hat jedes Thema immer seine kognitive und emotionale Seite, die sich kaum voneinander trennen lassen. Und wenn man sich Themen anschaut, die sich um den Umgang mit bestimmten psychoaktiven Substanzen ranken, dann hat es wohl noch nie ein anderes Zeitalter als ein „Nicht-Fakten-gerechtes“ gegeben. In Zusammenhang mit den </w:t>
      </w:r>
      <w:r w:rsidR="00D01097">
        <w:rPr>
          <w:sz w:val="20"/>
          <w:szCs w:val="20"/>
        </w:rPr>
        <w:t>Regulierung</w:t>
      </w:r>
      <w:r w:rsidRPr="00AF5540">
        <w:rPr>
          <w:sz w:val="20"/>
          <w:szCs w:val="20"/>
        </w:rPr>
        <w:t>sbestrebungen, die sich in sehr verschiedenen Regionen der Welt regen, ist diese Art der Auseinandersetzung wieder mit besonderer Macht auf die Tagesordnung getreten</w:t>
      </w:r>
      <w:r w:rsidR="004C0518" w:rsidRPr="00AF5540">
        <w:rPr>
          <w:sz w:val="20"/>
          <w:szCs w:val="20"/>
        </w:rPr>
        <w:t xml:space="preserve">: Wie anders lässt sich urteilen, wenn unter der Überschrift „Laborratten der Drogenpolitik“ </w:t>
      </w:r>
      <w:r w:rsidR="00D310FE" w:rsidRPr="00AF5540">
        <w:rPr>
          <w:sz w:val="20"/>
          <w:szCs w:val="20"/>
        </w:rPr>
        <w:t xml:space="preserve">(FAZ vom 01.12.2016) </w:t>
      </w:r>
      <w:r w:rsidR="004C0518" w:rsidRPr="00AF5540">
        <w:rPr>
          <w:sz w:val="20"/>
          <w:szCs w:val="20"/>
        </w:rPr>
        <w:t>Effekte eines radikalen Politikwechsels in den Blick genommen werden? Aber nicht nur in der Medienöffentlic</w:t>
      </w:r>
      <w:r w:rsidR="004C0518" w:rsidRPr="00AF5540">
        <w:rPr>
          <w:sz w:val="20"/>
          <w:szCs w:val="20"/>
        </w:rPr>
        <w:t>h</w:t>
      </w:r>
      <w:r w:rsidR="004C0518" w:rsidRPr="00AF5540">
        <w:rPr>
          <w:sz w:val="20"/>
          <w:szCs w:val="20"/>
        </w:rPr>
        <w:t xml:space="preserve">keit, auch in einer Reihe drogenpolitischer Diskussionen </w:t>
      </w:r>
      <w:r w:rsidR="00F57FA0" w:rsidRPr="00AF5540">
        <w:rPr>
          <w:sz w:val="20"/>
          <w:szCs w:val="20"/>
        </w:rPr>
        <w:t>wird</w:t>
      </w:r>
      <w:r w:rsidR="004C0518" w:rsidRPr="00AF5540">
        <w:rPr>
          <w:sz w:val="20"/>
          <w:szCs w:val="20"/>
        </w:rPr>
        <w:t xml:space="preserve"> immer wieder mit Zahlen und Statistiken jongliert, die </w:t>
      </w:r>
      <w:r w:rsidR="00F57FA0" w:rsidRPr="00AF5540">
        <w:rPr>
          <w:sz w:val="20"/>
          <w:szCs w:val="20"/>
        </w:rPr>
        <w:t xml:space="preserve">am Beispiel der US-Bundesstaaten Washington und Colorado </w:t>
      </w:r>
      <w:r w:rsidR="004C0518" w:rsidRPr="00AF5540">
        <w:rPr>
          <w:sz w:val="20"/>
          <w:szCs w:val="20"/>
        </w:rPr>
        <w:t>ein düsteres Bild von den Fo</w:t>
      </w:r>
      <w:r w:rsidR="004C0518" w:rsidRPr="00AF5540">
        <w:rPr>
          <w:sz w:val="20"/>
          <w:szCs w:val="20"/>
        </w:rPr>
        <w:t>l</w:t>
      </w:r>
      <w:r w:rsidR="004C0518" w:rsidRPr="00AF5540">
        <w:rPr>
          <w:sz w:val="20"/>
          <w:szCs w:val="20"/>
        </w:rPr>
        <w:t xml:space="preserve">gen einer </w:t>
      </w:r>
      <w:r w:rsidR="00D01097">
        <w:rPr>
          <w:sz w:val="20"/>
          <w:szCs w:val="20"/>
        </w:rPr>
        <w:t>Regulierung</w:t>
      </w:r>
      <w:r w:rsidR="004C0518" w:rsidRPr="00AF5540">
        <w:rPr>
          <w:sz w:val="20"/>
          <w:szCs w:val="20"/>
        </w:rPr>
        <w:t xml:space="preserve"> von Cannabis nachzeichnen – Einschätzungen, die </w:t>
      </w:r>
      <w:r w:rsidR="00D310FE" w:rsidRPr="00AF5540">
        <w:rPr>
          <w:sz w:val="20"/>
          <w:szCs w:val="20"/>
        </w:rPr>
        <w:t xml:space="preserve">für Kundige </w:t>
      </w:r>
      <w:r w:rsidR="004C0518" w:rsidRPr="00AF5540">
        <w:rPr>
          <w:sz w:val="20"/>
          <w:szCs w:val="20"/>
        </w:rPr>
        <w:t xml:space="preserve">völlig unerwartet </w:t>
      </w:r>
      <w:r w:rsidR="00F57FA0" w:rsidRPr="00AF5540">
        <w:rPr>
          <w:sz w:val="20"/>
          <w:szCs w:val="20"/>
        </w:rPr>
        <w:t>sind</w:t>
      </w:r>
      <w:r w:rsidR="00D310FE" w:rsidRPr="00AF5540">
        <w:rPr>
          <w:sz w:val="20"/>
          <w:szCs w:val="20"/>
        </w:rPr>
        <w:t xml:space="preserve">. </w:t>
      </w:r>
      <w:r w:rsidR="00F57FA0" w:rsidRPr="00AF5540">
        <w:rPr>
          <w:sz w:val="20"/>
          <w:szCs w:val="20"/>
        </w:rPr>
        <w:t xml:space="preserve">Folgerichtig </w:t>
      </w:r>
      <w:r w:rsidR="00D310FE" w:rsidRPr="00AF5540">
        <w:rPr>
          <w:sz w:val="20"/>
          <w:szCs w:val="20"/>
        </w:rPr>
        <w:t xml:space="preserve">steht längst </w:t>
      </w:r>
      <w:r w:rsidR="004C0518" w:rsidRPr="00AF5540">
        <w:rPr>
          <w:sz w:val="20"/>
          <w:szCs w:val="20"/>
        </w:rPr>
        <w:t>die Aufgabe, diesen Berichten auf den Grund zu gehen</w:t>
      </w:r>
      <w:r w:rsidR="00D310FE" w:rsidRPr="00AF5540">
        <w:rPr>
          <w:sz w:val="20"/>
          <w:szCs w:val="20"/>
        </w:rPr>
        <w:t xml:space="preserve"> und ein möglichst umfassendes Bild zu den Eff</w:t>
      </w:r>
      <w:r w:rsidR="002E7129">
        <w:rPr>
          <w:sz w:val="20"/>
          <w:szCs w:val="20"/>
        </w:rPr>
        <w:t>ekten und Side-Effekten dieses Radical P</w:t>
      </w:r>
      <w:r w:rsidR="00D310FE" w:rsidRPr="00AF5540">
        <w:rPr>
          <w:sz w:val="20"/>
          <w:szCs w:val="20"/>
        </w:rPr>
        <w:t>olitical Shifts zu era</w:t>
      </w:r>
      <w:r w:rsidR="007125E1" w:rsidRPr="00AF5540">
        <w:rPr>
          <w:sz w:val="20"/>
          <w:szCs w:val="20"/>
        </w:rPr>
        <w:t>r</w:t>
      </w:r>
      <w:r w:rsidR="00D310FE" w:rsidRPr="00AF5540">
        <w:rPr>
          <w:sz w:val="20"/>
          <w:szCs w:val="20"/>
        </w:rPr>
        <w:t>beiten</w:t>
      </w:r>
      <w:r w:rsidR="004C0518" w:rsidRPr="00AF5540">
        <w:rPr>
          <w:sz w:val="20"/>
          <w:szCs w:val="20"/>
        </w:rPr>
        <w:t>.</w:t>
      </w:r>
    </w:p>
    <w:p w14:paraId="54295599" w14:textId="77777777" w:rsidR="00D310FE" w:rsidRPr="00AF5540" w:rsidRDefault="00D310FE" w:rsidP="009D7629">
      <w:pPr>
        <w:jc w:val="both"/>
        <w:rPr>
          <w:sz w:val="20"/>
          <w:szCs w:val="20"/>
        </w:rPr>
      </w:pPr>
    </w:p>
    <w:p w14:paraId="6CE3F11A" w14:textId="382CBA40" w:rsidR="00D310FE" w:rsidRPr="00AF5540" w:rsidRDefault="004C0518" w:rsidP="009D7629">
      <w:pPr>
        <w:jc w:val="both"/>
        <w:rPr>
          <w:sz w:val="20"/>
          <w:szCs w:val="20"/>
        </w:rPr>
      </w:pPr>
      <w:r w:rsidRPr="00AF5540">
        <w:rPr>
          <w:sz w:val="20"/>
          <w:szCs w:val="20"/>
        </w:rPr>
        <w:t xml:space="preserve">Im Wintersemester 2016/17 </w:t>
      </w:r>
      <w:r w:rsidR="007125E1" w:rsidRPr="00AF5540">
        <w:rPr>
          <w:sz w:val="20"/>
          <w:szCs w:val="20"/>
        </w:rPr>
        <w:t>nutzte</w:t>
      </w:r>
      <w:r w:rsidRPr="00AF5540">
        <w:rPr>
          <w:sz w:val="20"/>
          <w:szCs w:val="20"/>
        </w:rPr>
        <w:t xml:space="preserve"> ic</w:t>
      </w:r>
      <w:r w:rsidR="00D310FE" w:rsidRPr="00AF5540">
        <w:rPr>
          <w:sz w:val="20"/>
          <w:szCs w:val="20"/>
        </w:rPr>
        <w:t>h mein Sabbatic</w:t>
      </w:r>
      <w:r w:rsidRPr="00AF5540">
        <w:rPr>
          <w:sz w:val="20"/>
          <w:szCs w:val="20"/>
        </w:rPr>
        <w:t xml:space="preserve">al, um </w:t>
      </w:r>
      <w:r w:rsidR="00D310FE" w:rsidRPr="00AF5540">
        <w:rPr>
          <w:sz w:val="20"/>
          <w:szCs w:val="20"/>
        </w:rPr>
        <w:t>in den USA</w:t>
      </w:r>
      <w:r w:rsidR="00C31CDF" w:rsidRPr="00C31CDF">
        <w:rPr>
          <w:sz w:val="20"/>
          <w:szCs w:val="20"/>
        </w:rPr>
        <w:t xml:space="preserve"> </w:t>
      </w:r>
      <w:r w:rsidR="00C31CDF" w:rsidRPr="00AF5540">
        <w:rPr>
          <w:sz w:val="20"/>
          <w:szCs w:val="20"/>
        </w:rPr>
        <w:t>unmittelbar vor Ort</w:t>
      </w:r>
      <w:r w:rsidR="00D310FE" w:rsidRPr="00AF5540">
        <w:rPr>
          <w:sz w:val="20"/>
          <w:szCs w:val="20"/>
        </w:rPr>
        <w:t xml:space="preserve">, am </w:t>
      </w:r>
      <w:r w:rsidR="00D310FE" w:rsidRPr="00AF5540">
        <w:rPr>
          <w:i/>
          <w:sz w:val="20"/>
          <w:szCs w:val="20"/>
        </w:rPr>
        <w:t>Humboldt Insti</w:t>
      </w:r>
      <w:r w:rsidR="006B7750">
        <w:rPr>
          <w:i/>
          <w:sz w:val="20"/>
          <w:szCs w:val="20"/>
        </w:rPr>
        <w:t>tute for interdisciplinary Marij</w:t>
      </w:r>
      <w:r w:rsidR="00D310FE" w:rsidRPr="00AF5540">
        <w:rPr>
          <w:i/>
          <w:sz w:val="20"/>
          <w:szCs w:val="20"/>
        </w:rPr>
        <w:t>uana Research</w:t>
      </w:r>
      <w:r w:rsidR="00246C5A" w:rsidRPr="00AF5540">
        <w:rPr>
          <w:i/>
          <w:sz w:val="20"/>
          <w:szCs w:val="20"/>
        </w:rPr>
        <w:t xml:space="preserve"> (HiiMR)</w:t>
      </w:r>
      <w:r w:rsidR="00D310FE" w:rsidRPr="00AF5540">
        <w:rPr>
          <w:sz w:val="20"/>
          <w:szCs w:val="20"/>
        </w:rPr>
        <w:t xml:space="preserve"> an der Humboldt State University in Arcata nicht nur zum Thema zu forschen</w:t>
      </w:r>
      <w:r w:rsidR="006B7750">
        <w:rPr>
          <w:sz w:val="20"/>
          <w:szCs w:val="20"/>
        </w:rPr>
        <w:t xml:space="preserve">. Natürlich habe ich mich auch </w:t>
      </w:r>
      <w:r w:rsidR="00D310FE" w:rsidRPr="00AF5540">
        <w:rPr>
          <w:sz w:val="20"/>
          <w:szCs w:val="20"/>
        </w:rPr>
        <w:t>mit verschiedenen praktischen Fragen ause</w:t>
      </w:r>
      <w:r w:rsidR="00D310FE" w:rsidRPr="00AF5540">
        <w:rPr>
          <w:sz w:val="20"/>
          <w:szCs w:val="20"/>
        </w:rPr>
        <w:t>i</w:t>
      </w:r>
      <w:r w:rsidR="00D310FE" w:rsidRPr="00AF5540">
        <w:rPr>
          <w:sz w:val="20"/>
          <w:szCs w:val="20"/>
        </w:rPr>
        <w:t xml:space="preserve">nander </w:t>
      </w:r>
      <w:r w:rsidR="006B7750">
        <w:rPr>
          <w:sz w:val="20"/>
          <w:szCs w:val="20"/>
        </w:rPr>
        <w:t>ge</w:t>
      </w:r>
      <w:r w:rsidR="00D310FE" w:rsidRPr="00AF5540">
        <w:rPr>
          <w:sz w:val="20"/>
          <w:szCs w:val="20"/>
        </w:rPr>
        <w:t>setz</w:t>
      </w:r>
      <w:r w:rsidR="006B7750">
        <w:rPr>
          <w:sz w:val="20"/>
          <w:szCs w:val="20"/>
        </w:rPr>
        <w:t>t</w:t>
      </w:r>
      <w:r w:rsidR="00F57FA0" w:rsidRPr="00AF5540">
        <w:rPr>
          <w:sz w:val="20"/>
          <w:szCs w:val="20"/>
        </w:rPr>
        <w:t>,</w:t>
      </w:r>
      <w:r w:rsidR="00D310FE" w:rsidRPr="00AF5540">
        <w:rPr>
          <w:sz w:val="20"/>
          <w:szCs w:val="20"/>
        </w:rPr>
        <w:t xml:space="preserve"> die Kalifornier bei der Abstimmung über die </w:t>
      </w:r>
      <w:r w:rsidR="00D01097">
        <w:rPr>
          <w:sz w:val="20"/>
          <w:szCs w:val="20"/>
        </w:rPr>
        <w:t>Regulierung</w:t>
      </w:r>
      <w:r w:rsidR="00D310FE" w:rsidRPr="00AF5540">
        <w:rPr>
          <w:sz w:val="20"/>
          <w:szCs w:val="20"/>
        </w:rPr>
        <w:t xml:space="preserve"> auch des Freizeitkonsums von Marihuana </w:t>
      </w:r>
      <w:r w:rsidR="006B7750">
        <w:rPr>
          <w:sz w:val="20"/>
          <w:szCs w:val="20"/>
        </w:rPr>
        <w:t>beobachtet</w:t>
      </w:r>
      <w:r w:rsidR="00C12328">
        <w:rPr>
          <w:sz w:val="20"/>
          <w:szCs w:val="20"/>
        </w:rPr>
        <w:t xml:space="preserve"> und mich ge</w:t>
      </w:r>
      <w:r w:rsidR="00F57FA0" w:rsidRPr="00AF5540">
        <w:rPr>
          <w:sz w:val="20"/>
          <w:szCs w:val="20"/>
        </w:rPr>
        <w:t>wunder</w:t>
      </w:r>
      <w:r w:rsidR="006B7750">
        <w:rPr>
          <w:sz w:val="20"/>
          <w:szCs w:val="20"/>
        </w:rPr>
        <w:t>t</w:t>
      </w:r>
      <w:r w:rsidR="00F57FA0" w:rsidRPr="00AF5540">
        <w:rPr>
          <w:sz w:val="20"/>
          <w:szCs w:val="20"/>
        </w:rPr>
        <w:t xml:space="preserve">, wie unspektakulär und ohne besondere Vorkommnisse das Leben nach einer Befürwortung der </w:t>
      </w:r>
      <w:r w:rsidR="00D01097">
        <w:rPr>
          <w:sz w:val="20"/>
          <w:szCs w:val="20"/>
        </w:rPr>
        <w:t>Regulierung</w:t>
      </w:r>
      <w:r w:rsidR="00F57FA0" w:rsidRPr="00AF5540">
        <w:rPr>
          <w:sz w:val="20"/>
          <w:szCs w:val="20"/>
        </w:rPr>
        <w:t xml:space="preserve"> im Emerald Triangel</w:t>
      </w:r>
      <w:r w:rsidR="00C31CDF" w:rsidRPr="00C31CDF">
        <w:rPr>
          <w:sz w:val="20"/>
          <w:szCs w:val="20"/>
        </w:rPr>
        <w:t xml:space="preserve"> </w:t>
      </w:r>
      <w:r w:rsidR="00C31CDF" w:rsidRPr="00AF5540">
        <w:rPr>
          <w:sz w:val="20"/>
          <w:szCs w:val="20"/>
        </w:rPr>
        <w:t>weiterging</w:t>
      </w:r>
      <w:r w:rsidR="006B7750">
        <w:rPr>
          <w:sz w:val="20"/>
          <w:szCs w:val="20"/>
        </w:rPr>
        <w:t xml:space="preserve"> – </w:t>
      </w:r>
      <w:r w:rsidR="00F57FA0" w:rsidRPr="00AF5540">
        <w:rPr>
          <w:sz w:val="20"/>
          <w:szCs w:val="20"/>
        </w:rPr>
        <w:t>dem größten Anba</w:t>
      </w:r>
      <w:r w:rsidR="00F57FA0" w:rsidRPr="00AF5540">
        <w:rPr>
          <w:sz w:val="20"/>
          <w:szCs w:val="20"/>
        </w:rPr>
        <w:t>u</w:t>
      </w:r>
      <w:r w:rsidR="00F57FA0" w:rsidRPr="00AF5540">
        <w:rPr>
          <w:sz w:val="20"/>
          <w:szCs w:val="20"/>
        </w:rPr>
        <w:t>ge</w:t>
      </w:r>
      <w:r w:rsidR="00C31CDF">
        <w:rPr>
          <w:sz w:val="20"/>
          <w:szCs w:val="20"/>
        </w:rPr>
        <w:t>biet für Marihuana in den US</w:t>
      </w:r>
      <w:r w:rsidR="00D310FE" w:rsidRPr="00AF5540">
        <w:rPr>
          <w:sz w:val="20"/>
          <w:szCs w:val="20"/>
        </w:rPr>
        <w:t xml:space="preserve">. </w:t>
      </w:r>
    </w:p>
    <w:p w14:paraId="45EDE847" w14:textId="14B2AEE2" w:rsidR="007125E1" w:rsidRPr="00AF5540" w:rsidRDefault="007125E1" w:rsidP="009D7629">
      <w:pPr>
        <w:jc w:val="both"/>
        <w:rPr>
          <w:sz w:val="20"/>
          <w:szCs w:val="20"/>
        </w:rPr>
      </w:pPr>
      <w:r w:rsidRPr="00AF5540">
        <w:rPr>
          <w:sz w:val="20"/>
          <w:szCs w:val="20"/>
        </w:rPr>
        <w:t>In Zusammenhang mit der Etablierung eines regulierten Marktes für Marihuana werden sehr unterschie</w:t>
      </w:r>
      <w:r w:rsidRPr="00AF5540">
        <w:rPr>
          <w:sz w:val="20"/>
          <w:szCs w:val="20"/>
        </w:rPr>
        <w:t>d</w:t>
      </w:r>
      <w:r w:rsidRPr="00AF5540">
        <w:rPr>
          <w:sz w:val="20"/>
          <w:szCs w:val="20"/>
        </w:rPr>
        <w:t>liche Erwartungen und Argumente für und gegen drogenpolitische Veränderungen in die Diskussion g</w:t>
      </w:r>
      <w:r w:rsidRPr="00AF5540">
        <w:rPr>
          <w:sz w:val="20"/>
          <w:szCs w:val="20"/>
        </w:rPr>
        <w:t>e</w:t>
      </w:r>
      <w:r w:rsidRPr="00AF5540">
        <w:rPr>
          <w:sz w:val="20"/>
          <w:szCs w:val="20"/>
        </w:rPr>
        <w:t>bracht. In der Regel lassen sich zu allen prognostizierten Effekten jeweils gegenteilige Hypothesen form</w:t>
      </w:r>
      <w:r w:rsidRPr="00AF5540">
        <w:rPr>
          <w:sz w:val="20"/>
          <w:szCs w:val="20"/>
        </w:rPr>
        <w:t>u</w:t>
      </w:r>
      <w:r w:rsidRPr="00AF5540">
        <w:rPr>
          <w:sz w:val="20"/>
          <w:szCs w:val="20"/>
        </w:rPr>
        <w:t>lieren</w:t>
      </w:r>
      <w:r w:rsidR="00AF5540" w:rsidRPr="00AF5540">
        <w:rPr>
          <w:sz w:val="20"/>
          <w:szCs w:val="20"/>
        </w:rPr>
        <w:t xml:space="preserve">. Die selbstgestellte Aufgabe war deshalb, </w:t>
      </w:r>
      <w:r w:rsidRPr="00AF5540">
        <w:rPr>
          <w:sz w:val="20"/>
          <w:szCs w:val="20"/>
        </w:rPr>
        <w:t xml:space="preserve">die </w:t>
      </w:r>
      <w:r w:rsidR="00AF5540" w:rsidRPr="00AF5540">
        <w:rPr>
          <w:sz w:val="20"/>
          <w:szCs w:val="20"/>
        </w:rPr>
        <w:t xml:space="preserve">verschiedenen Hypothesen </w:t>
      </w:r>
      <w:r w:rsidR="006B7750">
        <w:rPr>
          <w:sz w:val="20"/>
          <w:szCs w:val="20"/>
        </w:rPr>
        <w:t>zur</w:t>
      </w:r>
      <w:r w:rsidRPr="00AF5540">
        <w:rPr>
          <w:sz w:val="20"/>
          <w:szCs w:val="20"/>
        </w:rPr>
        <w:t xml:space="preserve"> </w:t>
      </w:r>
      <w:r w:rsidR="00D01097">
        <w:rPr>
          <w:sz w:val="20"/>
          <w:szCs w:val="20"/>
        </w:rPr>
        <w:t>Regulierung</w:t>
      </w:r>
      <w:r w:rsidRPr="00AF5540">
        <w:rPr>
          <w:sz w:val="20"/>
          <w:szCs w:val="20"/>
        </w:rPr>
        <w:t xml:space="preserve">spraxis </w:t>
      </w:r>
      <w:r w:rsidR="00AF5540" w:rsidRPr="00AF5540">
        <w:rPr>
          <w:sz w:val="20"/>
          <w:szCs w:val="20"/>
        </w:rPr>
        <w:t xml:space="preserve">zu </w:t>
      </w:r>
      <w:r w:rsidRPr="00AF5540">
        <w:rPr>
          <w:sz w:val="20"/>
          <w:szCs w:val="20"/>
        </w:rPr>
        <w:t>prüf</w:t>
      </w:r>
      <w:r w:rsidR="00AF5540" w:rsidRPr="00AF5540">
        <w:rPr>
          <w:sz w:val="20"/>
          <w:szCs w:val="20"/>
        </w:rPr>
        <w:t>en</w:t>
      </w:r>
      <w:r w:rsidRPr="00AF5540">
        <w:rPr>
          <w:sz w:val="20"/>
          <w:szCs w:val="20"/>
        </w:rPr>
        <w:t xml:space="preserve">. </w:t>
      </w:r>
      <w:r w:rsidR="00AF5540" w:rsidRPr="00AF5540">
        <w:rPr>
          <w:sz w:val="20"/>
          <w:szCs w:val="20"/>
        </w:rPr>
        <w:t>E</w:t>
      </w:r>
      <w:r w:rsidRPr="00AF5540">
        <w:rPr>
          <w:sz w:val="20"/>
          <w:szCs w:val="20"/>
        </w:rPr>
        <w:t xml:space="preserve">s </w:t>
      </w:r>
      <w:r w:rsidR="00AF5540" w:rsidRPr="00AF5540">
        <w:rPr>
          <w:sz w:val="20"/>
          <w:szCs w:val="20"/>
        </w:rPr>
        <w:t>ging</w:t>
      </w:r>
      <w:r w:rsidRPr="00AF5540">
        <w:rPr>
          <w:sz w:val="20"/>
          <w:szCs w:val="20"/>
        </w:rPr>
        <w:t xml:space="preserve"> darum, selektive Ergebnisdarstellung</w:t>
      </w:r>
      <w:r w:rsidR="006B7750">
        <w:rPr>
          <w:sz w:val="20"/>
          <w:szCs w:val="20"/>
        </w:rPr>
        <w:t>en</w:t>
      </w:r>
      <w:r w:rsidRPr="00AF5540">
        <w:rPr>
          <w:sz w:val="20"/>
          <w:szCs w:val="20"/>
        </w:rPr>
        <w:t xml:space="preserve"> und einseitige Interpretationen zu vermeiden, auf den Einsatz kritikwürdiger methodischer Erhebungsinstrumente und Diagnosepraktiken hinzuweisen und die Hintergründe und Grenzen vorliegender Befunde aufzu</w:t>
      </w:r>
      <w:r w:rsidR="00AF5540" w:rsidRPr="00AF5540">
        <w:rPr>
          <w:sz w:val="20"/>
          <w:szCs w:val="20"/>
        </w:rPr>
        <w:t xml:space="preserve">zeigen. </w:t>
      </w:r>
      <w:r w:rsidRPr="00AF5540">
        <w:rPr>
          <w:sz w:val="20"/>
          <w:szCs w:val="20"/>
        </w:rPr>
        <w:t>Deshalb wurde, soweit es die Z</w:t>
      </w:r>
      <w:r w:rsidRPr="00AF5540">
        <w:rPr>
          <w:sz w:val="20"/>
          <w:szCs w:val="20"/>
        </w:rPr>
        <w:t>u</w:t>
      </w:r>
      <w:r w:rsidRPr="00AF5540">
        <w:rPr>
          <w:sz w:val="20"/>
          <w:szCs w:val="20"/>
        </w:rPr>
        <w:t>gänglichkeit erlaubt, für diesen Bericht auf Originaldaten zugegriffen und zugleich deren Erhebungsm</w:t>
      </w:r>
      <w:r w:rsidRPr="00AF5540">
        <w:rPr>
          <w:sz w:val="20"/>
          <w:szCs w:val="20"/>
        </w:rPr>
        <w:t>e</w:t>
      </w:r>
      <w:r w:rsidRPr="00AF5540">
        <w:rPr>
          <w:sz w:val="20"/>
          <w:szCs w:val="20"/>
        </w:rPr>
        <w:t>thoden geprüft</w:t>
      </w:r>
      <w:r w:rsidR="00C31CDF">
        <w:rPr>
          <w:sz w:val="20"/>
          <w:szCs w:val="20"/>
        </w:rPr>
        <w:t>. D</w:t>
      </w:r>
      <w:r w:rsidRPr="00AF5540">
        <w:rPr>
          <w:sz w:val="20"/>
          <w:szCs w:val="20"/>
        </w:rPr>
        <w:t xml:space="preserve">ort, wo dies nicht möglich war, </w:t>
      </w:r>
      <w:r w:rsidR="00AF5540" w:rsidRPr="00AF5540">
        <w:rPr>
          <w:sz w:val="20"/>
          <w:szCs w:val="20"/>
        </w:rPr>
        <w:t>gibt es</w:t>
      </w:r>
      <w:r w:rsidRPr="00AF5540">
        <w:rPr>
          <w:sz w:val="20"/>
          <w:szCs w:val="20"/>
        </w:rPr>
        <w:t xml:space="preserve"> zumindest </w:t>
      </w:r>
      <w:r w:rsidR="00AF5540" w:rsidRPr="00AF5540">
        <w:rPr>
          <w:sz w:val="20"/>
          <w:szCs w:val="20"/>
        </w:rPr>
        <w:t xml:space="preserve">den Hinweis </w:t>
      </w:r>
      <w:r w:rsidRPr="00AF5540">
        <w:rPr>
          <w:sz w:val="20"/>
          <w:szCs w:val="20"/>
        </w:rPr>
        <w:t>auf die Leerstellen.</w:t>
      </w:r>
    </w:p>
    <w:p w14:paraId="51D8CC21" w14:textId="77777777" w:rsidR="00AF5540" w:rsidRPr="00AF5540" w:rsidRDefault="00AF5540" w:rsidP="009D7629">
      <w:pPr>
        <w:jc w:val="both"/>
        <w:rPr>
          <w:sz w:val="20"/>
          <w:szCs w:val="20"/>
        </w:rPr>
      </w:pPr>
    </w:p>
    <w:p w14:paraId="52F4D2BE" w14:textId="36FF58D9" w:rsidR="007125E1" w:rsidRPr="00AF5540" w:rsidRDefault="007125E1" w:rsidP="009D7629">
      <w:pPr>
        <w:jc w:val="both"/>
        <w:rPr>
          <w:sz w:val="20"/>
          <w:szCs w:val="20"/>
        </w:rPr>
      </w:pPr>
      <w:r w:rsidRPr="00AF5540">
        <w:rPr>
          <w:sz w:val="20"/>
          <w:szCs w:val="20"/>
        </w:rPr>
        <w:t>Un</w:t>
      </w:r>
      <w:r w:rsidR="00C31CDF">
        <w:rPr>
          <w:sz w:val="20"/>
          <w:szCs w:val="20"/>
        </w:rPr>
        <w:t xml:space="preserve">abhängig von allen vorliegenden Daten ist jedoch </w:t>
      </w:r>
      <w:r w:rsidR="006B7750">
        <w:rPr>
          <w:sz w:val="20"/>
          <w:szCs w:val="20"/>
        </w:rPr>
        <w:t>un</w:t>
      </w:r>
      <w:r w:rsidRPr="00AF5540">
        <w:rPr>
          <w:sz w:val="20"/>
          <w:szCs w:val="20"/>
        </w:rPr>
        <w:t xml:space="preserve">übersehbar, dass der Einschätzung </w:t>
      </w:r>
      <w:r w:rsidR="00AF5540" w:rsidRPr="00AF5540">
        <w:rPr>
          <w:sz w:val="20"/>
          <w:szCs w:val="20"/>
        </w:rPr>
        <w:t>amerikanischer Kollegen ausdrücklich zu</w:t>
      </w:r>
      <w:r w:rsidR="006B7750">
        <w:rPr>
          <w:sz w:val="20"/>
          <w:szCs w:val="20"/>
        </w:rPr>
        <w:t>zu</w:t>
      </w:r>
      <w:r w:rsidRPr="00AF5540">
        <w:rPr>
          <w:sz w:val="20"/>
          <w:szCs w:val="20"/>
        </w:rPr>
        <w:t xml:space="preserve">stimmen </w:t>
      </w:r>
      <w:r w:rsidR="006B7750">
        <w:rPr>
          <w:sz w:val="20"/>
          <w:szCs w:val="20"/>
        </w:rPr>
        <w:t>ist</w:t>
      </w:r>
      <w:r w:rsidRPr="00AF5540">
        <w:rPr>
          <w:sz w:val="20"/>
          <w:szCs w:val="20"/>
        </w:rPr>
        <w:t>, dass es zu früh ist, aus den vorliegenden Daten Schlussfolgeru</w:t>
      </w:r>
      <w:r w:rsidRPr="00AF5540">
        <w:rPr>
          <w:sz w:val="20"/>
          <w:szCs w:val="20"/>
        </w:rPr>
        <w:t>n</w:t>
      </w:r>
      <w:r w:rsidRPr="00AF5540">
        <w:rPr>
          <w:sz w:val="20"/>
          <w:szCs w:val="20"/>
        </w:rPr>
        <w:t xml:space="preserve">gen in Bezug auf potentielle Effekte einer </w:t>
      </w:r>
      <w:r w:rsidR="00D01097">
        <w:rPr>
          <w:sz w:val="20"/>
          <w:szCs w:val="20"/>
        </w:rPr>
        <w:t>Regulierung</w:t>
      </w:r>
      <w:r w:rsidRPr="00AF5540">
        <w:rPr>
          <w:sz w:val="20"/>
          <w:szCs w:val="20"/>
        </w:rPr>
        <w:t xml:space="preserve"> für verschiedene Bereiche des sozialen Lebens a</w:t>
      </w:r>
      <w:r w:rsidRPr="00AF5540">
        <w:rPr>
          <w:sz w:val="20"/>
          <w:szCs w:val="20"/>
        </w:rPr>
        <w:t>b</w:t>
      </w:r>
      <w:r w:rsidR="00A83DBC">
        <w:rPr>
          <w:sz w:val="20"/>
          <w:szCs w:val="20"/>
        </w:rPr>
        <w:t xml:space="preserve">zuleiten. </w:t>
      </w:r>
      <w:r w:rsidR="00AF5540" w:rsidRPr="00AF5540">
        <w:rPr>
          <w:sz w:val="20"/>
          <w:szCs w:val="20"/>
        </w:rPr>
        <w:t>N</w:t>
      </w:r>
      <w:r w:rsidRPr="00AF5540">
        <w:rPr>
          <w:sz w:val="20"/>
          <w:szCs w:val="20"/>
        </w:rPr>
        <w:t xml:space="preserve">icht nur, weil </w:t>
      </w:r>
      <w:r w:rsidR="00A83DBC">
        <w:rPr>
          <w:sz w:val="20"/>
          <w:szCs w:val="20"/>
        </w:rPr>
        <w:t xml:space="preserve">oft </w:t>
      </w:r>
      <w:r w:rsidRPr="00AF5540">
        <w:rPr>
          <w:sz w:val="20"/>
          <w:szCs w:val="20"/>
        </w:rPr>
        <w:t xml:space="preserve">nur unzureichend Daten existieren, mit denen der Status vor einer </w:t>
      </w:r>
      <w:r w:rsidR="00D01097">
        <w:rPr>
          <w:sz w:val="20"/>
          <w:szCs w:val="20"/>
        </w:rPr>
        <w:t>Reguli</w:t>
      </w:r>
      <w:r w:rsidR="00D01097">
        <w:rPr>
          <w:sz w:val="20"/>
          <w:szCs w:val="20"/>
        </w:rPr>
        <w:t>e</w:t>
      </w:r>
      <w:r w:rsidR="00D01097">
        <w:rPr>
          <w:sz w:val="20"/>
          <w:szCs w:val="20"/>
        </w:rPr>
        <w:t>rung</w:t>
      </w:r>
      <w:r w:rsidRPr="00AF5540">
        <w:rPr>
          <w:sz w:val="20"/>
          <w:szCs w:val="20"/>
        </w:rPr>
        <w:t xml:space="preserve"> festgehalten wurde und die bisher überschaubaren Zeiträume für die nötigen </w:t>
      </w:r>
      <w:r w:rsidR="00AF5540" w:rsidRPr="00AF5540">
        <w:rPr>
          <w:sz w:val="20"/>
          <w:szCs w:val="20"/>
        </w:rPr>
        <w:t xml:space="preserve">umfassenden </w:t>
      </w:r>
      <w:r w:rsidRPr="00AF5540">
        <w:rPr>
          <w:sz w:val="20"/>
          <w:szCs w:val="20"/>
        </w:rPr>
        <w:t xml:space="preserve">sozialen Veränderungen zu kurz sind; vor allem aber auch deshalb, weil </w:t>
      </w:r>
      <w:r w:rsidR="00D01097">
        <w:rPr>
          <w:sz w:val="20"/>
          <w:szCs w:val="20"/>
        </w:rPr>
        <w:t>Regulierung</w:t>
      </w:r>
      <w:r w:rsidRPr="00AF5540">
        <w:rPr>
          <w:sz w:val="20"/>
          <w:szCs w:val="20"/>
        </w:rPr>
        <w:t xml:space="preserve"> eben kein alternierendes Ereignis ist, sondern ein Prozess, mit dem in vielen Einzelschritten eine neue soziale Praxis entwickelt und durchgesetzt </w:t>
      </w:r>
      <w:r w:rsidR="00F57FA0" w:rsidRPr="00AF5540">
        <w:rPr>
          <w:sz w:val="20"/>
          <w:szCs w:val="20"/>
        </w:rPr>
        <w:t>wird</w:t>
      </w:r>
      <w:r w:rsidRPr="00AF5540">
        <w:rPr>
          <w:sz w:val="20"/>
          <w:szCs w:val="20"/>
        </w:rPr>
        <w:t xml:space="preserve"> – oft auch gegen Widerstände von Interessengruppen, die bis dahin von der Prohibition profitieren konnten.  </w:t>
      </w:r>
    </w:p>
    <w:p w14:paraId="14E7C984" w14:textId="0E12F84D" w:rsidR="007125E1" w:rsidRPr="00AF5540" w:rsidRDefault="007125E1" w:rsidP="009D7629">
      <w:pPr>
        <w:jc w:val="both"/>
        <w:rPr>
          <w:sz w:val="20"/>
          <w:szCs w:val="20"/>
        </w:rPr>
      </w:pPr>
      <w:r w:rsidRPr="00AF5540">
        <w:rPr>
          <w:sz w:val="20"/>
          <w:szCs w:val="20"/>
        </w:rPr>
        <w:t xml:space="preserve">Mögen die vorgelegten Ergebnisse in Deutschland helfen, Debatten um Alternativen zum gegenwärtigen prohibitiven Politikansatz in Zusammenhang mit Cannabis zu diskutieren und hoffentlich Mut für einen radikalen Politikwechsel </w:t>
      </w:r>
      <w:r w:rsidR="00F57FA0" w:rsidRPr="00AF5540">
        <w:rPr>
          <w:sz w:val="20"/>
          <w:szCs w:val="20"/>
        </w:rPr>
        <w:t xml:space="preserve">machen. Dieser kann </w:t>
      </w:r>
      <w:r w:rsidR="007243A9" w:rsidRPr="00AF5540">
        <w:rPr>
          <w:sz w:val="20"/>
          <w:szCs w:val="20"/>
        </w:rPr>
        <w:t>sich auf viele Erfahrungen und Lehren aus dem vorliege</w:t>
      </w:r>
      <w:r w:rsidR="00F57FA0" w:rsidRPr="00AF5540">
        <w:rPr>
          <w:sz w:val="20"/>
          <w:szCs w:val="20"/>
        </w:rPr>
        <w:t>n</w:t>
      </w:r>
      <w:r w:rsidR="00F57FA0" w:rsidRPr="00AF5540">
        <w:rPr>
          <w:sz w:val="20"/>
          <w:szCs w:val="20"/>
        </w:rPr>
        <w:t xml:space="preserve">den Erfahrungsschatz der USA </w:t>
      </w:r>
      <w:r w:rsidR="007243A9" w:rsidRPr="00AF5540">
        <w:rPr>
          <w:sz w:val="20"/>
          <w:szCs w:val="20"/>
        </w:rPr>
        <w:t>stütz</w:t>
      </w:r>
      <w:r w:rsidR="00F57FA0" w:rsidRPr="00AF5540">
        <w:rPr>
          <w:sz w:val="20"/>
          <w:szCs w:val="20"/>
        </w:rPr>
        <w:t>en</w:t>
      </w:r>
      <w:r w:rsidR="00AF5540" w:rsidRPr="00AF5540">
        <w:rPr>
          <w:sz w:val="20"/>
          <w:szCs w:val="20"/>
        </w:rPr>
        <w:t xml:space="preserve"> – allerdings nur, </w:t>
      </w:r>
      <w:r w:rsidR="00F57FA0" w:rsidRPr="00AF5540">
        <w:rPr>
          <w:sz w:val="20"/>
          <w:szCs w:val="20"/>
        </w:rPr>
        <w:t>w</w:t>
      </w:r>
      <w:r w:rsidR="007243A9" w:rsidRPr="00AF5540">
        <w:rPr>
          <w:sz w:val="20"/>
          <w:szCs w:val="20"/>
        </w:rPr>
        <w:t xml:space="preserve">enn </w:t>
      </w:r>
      <w:r w:rsidR="00F57FA0" w:rsidRPr="00AF5540">
        <w:rPr>
          <w:sz w:val="20"/>
          <w:szCs w:val="20"/>
        </w:rPr>
        <w:t xml:space="preserve">in der Drogenpolitik </w:t>
      </w:r>
      <w:r w:rsidR="007243A9" w:rsidRPr="00AF5540">
        <w:rPr>
          <w:sz w:val="20"/>
          <w:szCs w:val="20"/>
        </w:rPr>
        <w:t xml:space="preserve">tatsächlich zu einem „ Zeitalter </w:t>
      </w:r>
      <w:r w:rsidR="00F57FA0" w:rsidRPr="00AF5540">
        <w:rPr>
          <w:sz w:val="20"/>
          <w:szCs w:val="20"/>
        </w:rPr>
        <w:t>der realen Fakten</w:t>
      </w:r>
      <w:r w:rsidR="007243A9" w:rsidRPr="00AF5540">
        <w:rPr>
          <w:sz w:val="20"/>
          <w:szCs w:val="20"/>
        </w:rPr>
        <w:t xml:space="preserve">“ gefunden werden kann. </w:t>
      </w:r>
    </w:p>
    <w:p w14:paraId="59910351" w14:textId="77777777" w:rsidR="00AF5540" w:rsidRDefault="00AF5540" w:rsidP="00AF5540">
      <w:pPr>
        <w:rPr>
          <w:sz w:val="20"/>
          <w:szCs w:val="20"/>
        </w:rPr>
      </w:pPr>
    </w:p>
    <w:p w14:paraId="2B390E1F" w14:textId="77777777" w:rsidR="00AF5540" w:rsidRDefault="00AF5540" w:rsidP="00AF5540">
      <w:pPr>
        <w:rPr>
          <w:sz w:val="20"/>
          <w:szCs w:val="20"/>
        </w:rPr>
      </w:pPr>
    </w:p>
    <w:p w14:paraId="46DF90FB" w14:textId="77777777" w:rsidR="00AF5540" w:rsidRDefault="00AF5540" w:rsidP="00AF5540">
      <w:pPr>
        <w:rPr>
          <w:sz w:val="20"/>
          <w:szCs w:val="20"/>
        </w:rPr>
      </w:pPr>
    </w:p>
    <w:p w14:paraId="09C9BF3C" w14:textId="77777777" w:rsidR="00AF5540" w:rsidRDefault="00AF5540" w:rsidP="00AF5540">
      <w:pPr>
        <w:rPr>
          <w:sz w:val="20"/>
          <w:szCs w:val="20"/>
        </w:rPr>
      </w:pPr>
    </w:p>
    <w:p w14:paraId="2FA9B262" w14:textId="1BBA104E" w:rsidR="007243A9" w:rsidRPr="00AF5540" w:rsidRDefault="007243A9" w:rsidP="00AF5540">
      <w:pPr>
        <w:rPr>
          <w:sz w:val="20"/>
          <w:szCs w:val="20"/>
        </w:rPr>
        <w:sectPr w:rsidR="007243A9" w:rsidRPr="00AF5540" w:rsidSect="008901F7">
          <w:pgSz w:w="11900" w:h="16840"/>
          <w:pgMar w:top="1417" w:right="1417" w:bottom="1134" w:left="1417" w:header="708" w:footer="708" w:gutter="0"/>
          <w:cols w:space="708"/>
          <w:docGrid w:linePitch="360"/>
        </w:sectPr>
      </w:pPr>
      <w:r w:rsidRPr="00AF5540">
        <w:rPr>
          <w:sz w:val="20"/>
          <w:szCs w:val="20"/>
        </w:rPr>
        <w:t xml:space="preserve">Gundula Barsch </w:t>
      </w:r>
      <w:r w:rsidRPr="00AF5540">
        <w:rPr>
          <w:sz w:val="20"/>
          <w:szCs w:val="20"/>
        </w:rPr>
        <w:tab/>
      </w:r>
      <w:r w:rsidRPr="00AF5540">
        <w:rPr>
          <w:sz w:val="20"/>
          <w:szCs w:val="20"/>
        </w:rPr>
        <w:tab/>
      </w:r>
      <w:r w:rsidRPr="00AF5540">
        <w:rPr>
          <w:sz w:val="20"/>
          <w:szCs w:val="20"/>
        </w:rPr>
        <w:tab/>
      </w:r>
      <w:r w:rsidRPr="00AF5540">
        <w:rPr>
          <w:sz w:val="20"/>
          <w:szCs w:val="20"/>
        </w:rPr>
        <w:tab/>
      </w:r>
      <w:r w:rsidRPr="00AF5540">
        <w:rPr>
          <w:sz w:val="20"/>
          <w:szCs w:val="20"/>
        </w:rPr>
        <w:tab/>
      </w:r>
      <w:r w:rsidR="00AF5540">
        <w:rPr>
          <w:sz w:val="20"/>
          <w:szCs w:val="20"/>
        </w:rPr>
        <w:tab/>
      </w:r>
      <w:r w:rsidRPr="00AF5540">
        <w:rPr>
          <w:sz w:val="20"/>
          <w:szCs w:val="20"/>
        </w:rPr>
        <w:tab/>
      </w:r>
      <w:r w:rsidRPr="00AF5540">
        <w:rPr>
          <w:sz w:val="20"/>
          <w:szCs w:val="20"/>
        </w:rPr>
        <w:tab/>
        <w:t>Merseburg, Dezember 2016</w:t>
      </w:r>
    </w:p>
    <w:p w14:paraId="772BAA5A" w14:textId="6D0C7B3F" w:rsidR="00273877" w:rsidRPr="00AF5540" w:rsidRDefault="00273877" w:rsidP="0059452E">
      <w:pPr>
        <w:pStyle w:val="Verzeichnis1"/>
        <w:rPr>
          <w:b/>
        </w:rPr>
      </w:pPr>
      <w:r w:rsidRPr="00AF5540">
        <w:rPr>
          <w:b/>
        </w:rPr>
        <w:t>Inhaltsverzeichnis</w:t>
      </w:r>
    </w:p>
    <w:p w14:paraId="0A58B888" w14:textId="77777777" w:rsidR="00CA217E" w:rsidRDefault="0097654D">
      <w:pPr>
        <w:pStyle w:val="Verzeichnis1"/>
        <w:rPr>
          <w:noProof/>
          <w:sz w:val="24"/>
          <w:lang w:eastAsia="ja-JP"/>
        </w:rPr>
      </w:pPr>
      <w:r>
        <w:rPr>
          <w:b/>
          <w:szCs w:val="22"/>
        </w:rPr>
        <w:fldChar w:fldCharType="begin"/>
      </w:r>
      <w:r>
        <w:rPr>
          <w:b/>
          <w:szCs w:val="22"/>
        </w:rPr>
        <w:instrText xml:space="preserve"> TOC \o "1-3" </w:instrText>
      </w:r>
      <w:r>
        <w:rPr>
          <w:b/>
          <w:szCs w:val="22"/>
        </w:rPr>
        <w:fldChar w:fldCharType="separate"/>
      </w:r>
      <w:r w:rsidR="00CA217E">
        <w:rPr>
          <w:noProof/>
        </w:rPr>
        <w:t>1</w:t>
      </w:r>
      <w:r w:rsidR="00CA217E">
        <w:rPr>
          <w:noProof/>
          <w:sz w:val="24"/>
          <w:lang w:eastAsia="ja-JP"/>
        </w:rPr>
        <w:tab/>
      </w:r>
      <w:r w:rsidR="00CA217E">
        <w:rPr>
          <w:noProof/>
        </w:rPr>
        <w:t>Ein paar Spots zu den Entwicklungen bis 2016: Zu den Ergebnissen im Überblick</w:t>
      </w:r>
      <w:r w:rsidR="00CA217E">
        <w:rPr>
          <w:noProof/>
        </w:rPr>
        <w:tab/>
      </w:r>
      <w:r w:rsidR="00CA217E">
        <w:rPr>
          <w:noProof/>
        </w:rPr>
        <w:fldChar w:fldCharType="begin"/>
      </w:r>
      <w:r w:rsidR="00CA217E">
        <w:rPr>
          <w:noProof/>
        </w:rPr>
        <w:instrText xml:space="preserve"> PAGEREF _Toc349300331 \h </w:instrText>
      </w:r>
      <w:r w:rsidR="00CA217E">
        <w:rPr>
          <w:noProof/>
        </w:rPr>
      </w:r>
      <w:r w:rsidR="00CA217E">
        <w:rPr>
          <w:noProof/>
        </w:rPr>
        <w:fldChar w:fldCharType="separate"/>
      </w:r>
      <w:r w:rsidR="00CA217E">
        <w:rPr>
          <w:noProof/>
        </w:rPr>
        <w:t>5</w:t>
      </w:r>
      <w:r w:rsidR="00CA217E">
        <w:rPr>
          <w:noProof/>
        </w:rPr>
        <w:fldChar w:fldCharType="end"/>
      </w:r>
    </w:p>
    <w:p w14:paraId="08ABF6A0" w14:textId="77777777" w:rsidR="00CA217E" w:rsidRDefault="00CA217E">
      <w:pPr>
        <w:pStyle w:val="Verzeichnis2"/>
        <w:tabs>
          <w:tab w:val="left" w:pos="749"/>
          <w:tab w:val="right" w:leader="dot" w:pos="9056"/>
        </w:tabs>
        <w:rPr>
          <w:noProof/>
          <w:sz w:val="24"/>
          <w:lang w:eastAsia="ja-JP"/>
        </w:rPr>
      </w:pPr>
      <w:r>
        <w:rPr>
          <w:noProof/>
        </w:rPr>
        <w:t>1.1</w:t>
      </w:r>
      <w:r>
        <w:rPr>
          <w:noProof/>
          <w:sz w:val="24"/>
          <w:lang w:eastAsia="ja-JP"/>
        </w:rPr>
        <w:tab/>
      </w:r>
      <w:r>
        <w:rPr>
          <w:noProof/>
        </w:rPr>
        <w:t>Die Umsetzung von Regulierungsmodellen – ein tiefgreifender sozialer Prozess</w:t>
      </w:r>
      <w:r>
        <w:rPr>
          <w:noProof/>
        </w:rPr>
        <w:tab/>
      </w:r>
      <w:r>
        <w:rPr>
          <w:noProof/>
        </w:rPr>
        <w:fldChar w:fldCharType="begin"/>
      </w:r>
      <w:r>
        <w:rPr>
          <w:noProof/>
        </w:rPr>
        <w:instrText xml:space="preserve"> PAGEREF _Toc349300332 \h </w:instrText>
      </w:r>
      <w:r>
        <w:rPr>
          <w:noProof/>
        </w:rPr>
      </w:r>
      <w:r>
        <w:rPr>
          <w:noProof/>
        </w:rPr>
        <w:fldChar w:fldCharType="separate"/>
      </w:r>
      <w:r>
        <w:rPr>
          <w:noProof/>
        </w:rPr>
        <w:t>5</w:t>
      </w:r>
      <w:r>
        <w:rPr>
          <w:noProof/>
        </w:rPr>
        <w:fldChar w:fldCharType="end"/>
      </w:r>
    </w:p>
    <w:p w14:paraId="48211AF6" w14:textId="77777777" w:rsidR="00CA217E" w:rsidRDefault="00CA217E">
      <w:pPr>
        <w:pStyle w:val="Verzeichnis2"/>
        <w:tabs>
          <w:tab w:val="left" w:pos="749"/>
          <w:tab w:val="right" w:leader="dot" w:pos="9056"/>
        </w:tabs>
        <w:rPr>
          <w:noProof/>
          <w:sz w:val="24"/>
          <w:lang w:eastAsia="ja-JP"/>
        </w:rPr>
      </w:pPr>
      <w:r>
        <w:rPr>
          <w:noProof/>
        </w:rPr>
        <w:t>1.2</w:t>
      </w:r>
      <w:r>
        <w:rPr>
          <w:noProof/>
          <w:sz w:val="24"/>
          <w:lang w:eastAsia="ja-JP"/>
        </w:rPr>
        <w:tab/>
      </w:r>
      <w:r>
        <w:rPr>
          <w:noProof/>
        </w:rPr>
        <w:t>Der Einfluss politischer Maßnahmen auf den Marihuana-Konsum in der Bevölkerung</w:t>
      </w:r>
      <w:r>
        <w:rPr>
          <w:noProof/>
        </w:rPr>
        <w:tab/>
      </w:r>
      <w:r>
        <w:rPr>
          <w:noProof/>
        </w:rPr>
        <w:fldChar w:fldCharType="begin"/>
      </w:r>
      <w:r>
        <w:rPr>
          <w:noProof/>
        </w:rPr>
        <w:instrText xml:space="preserve"> PAGEREF _Toc349300333 \h </w:instrText>
      </w:r>
      <w:r>
        <w:rPr>
          <w:noProof/>
        </w:rPr>
      </w:r>
      <w:r>
        <w:rPr>
          <w:noProof/>
        </w:rPr>
        <w:fldChar w:fldCharType="separate"/>
      </w:r>
      <w:r>
        <w:rPr>
          <w:noProof/>
        </w:rPr>
        <w:t>6</w:t>
      </w:r>
      <w:r>
        <w:rPr>
          <w:noProof/>
        </w:rPr>
        <w:fldChar w:fldCharType="end"/>
      </w:r>
    </w:p>
    <w:p w14:paraId="39142A1B" w14:textId="77777777" w:rsidR="00CA217E" w:rsidRDefault="00CA217E">
      <w:pPr>
        <w:pStyle w:val="Verzeichnis2"/>
        <w:tabs>
          <w:tab w:val="left" w:pos="749"/>
          <w:tab w:val="right" w:leader="dot" w:pos="9056"/>
        </w:tabs>
        <w:rPr>
          <w:noProof/>
          <w:sz w:val="24"/>
          <w:lang w:eastAsia="ja-JP"/>
        </w:rPr>
      </w:pPr>
      <w:r>
        <w:rPr>
          <w:noProof/>
        </w:rPr>
        <w:t>1.3</w:t>
      </w:r>
      <w:r>
        <w:rPr>
          <w:noProof/>
          <w:sz w:val="24"/>
          <w:lang w:eastAsia="ja-JP"/>
        </w:rPr>
        <w:tab/>
      </w:r>
      <w:r>
        <w:rPr>
          <w:noProof/>
        </w:rPr>
        <w:t>Regulierungsprozesse und deren  Auswirkungen auf Jugendliche</w:t>
      </w:r>
      <w:r>
        <w:rPr>
          <w:noProof/>
        </w:rPr>
        <w:tab/>
      </w:r>
      <w:r>
        <w:rPr>
          <w:noProof/>
        </w:rPr>
        <w:fldChar w:fldCharType="begin"/>
      </w:r>
      <w:r>
        <w:rPr>
          <w:noProof/>
        </w:rPr>
        <w:instrText xml:space="preserve"> PAGEREF _Toc349300334 \h </w:instrText>
      </w:r>
      <w:r>
        <w:rPr>
          <w:noProof/>
        </w:rPr>
      </w:r>
      <w:r>
        <w:rPr>
          <w:noProof/>
        </w:rPr>
        <w:fldChar w:fldCharType="separate"/>
      </w:r>
      <w:r>
        <w:rPr>
          <w:noProof/>
        </w:rPr>
        <w:t>7</w:t>
      </w:r>
      <w:r>
        <w:rPr>
          <w:noProof/>
        </w:rPr>
        <w:fldChar w:fldCharType="end"/>
      </w:r>
    </w:p>
    <w:p w14:paraId="55A0265F" w14:textId="77777777" w:rsidR="00CA217E" w:rsidRDefault="00CA217E">
      <w:pPr>
        <w:pStyle w:val="Verzeichnis2"/>
        <w:tabs>
          <w:tab w:val="left" w:pos="749"/>
          <w:tab w:val="right" w:leader="dot" w:pos="9056"/>
        </w:tabs>
        <w:rPr>
          <w:noProof/>
          <w:sz w:val="24"/>
          <w:lang w:eastAsia="ja-JP"/>
        </w:rPr>
      </w:pPr>
      <w:r>
        <w:rPr>
          <w:noProof/>
        </w:rPr>
        <w:t>1.4</w:t>
      </w:r>
      <w:r>
        <w:rPr>
          <w:noProof/>
          <w:sz w:val="24"/>
          <w:lang w:eastAsia="ja-JP"/>
        </w:rPr>
        <w:tab/>
      </w:r>
      <w:r>
        <w:rPr>
          <w:noProof/>
        </w:rPr>
        <w:t>Regulierungsprozesse und Verkehrssicherheit</w:t>
      </w:r>
      <w:r>
        <w:rPr>
          <w:noProof/>
        </w:rPr>
        <w:tab/>
      </w:r>
      <w:r>
        <w:rPr>
          <w:noProof/>
        </w:rPr>
        <w:fldChar w:fldCharType="begin"/>
      </w:r>
      <w:r>
        <w:rPr>
          <w:noProof/>
        </w:rPr>
        <w:instrText xml:space="preserve"> PAGEREF _Toc349300335 \h </w:instrText>
      </w:r>
      <w:r>
        <w:rPr>
          <w:noProof/>
        </w:rPr>
      </w:r>
      <w:r>
        <w:rPr>
          <w:noProof/>
        </w:rPr>
        <w:fldChar w:fldCharType="separate"/>
      </w:r>
      <w:r>
        <w:rPr>
          <w:noProof/>
        </w:rPr>
        <w:t>10</w:t>
      </w:r>
      <w:r>
        <w:rPr>
          <w:noProof/>
        </w:rPr>
        <w:fldChar w:fldCharType="end"/>
      </w:r>
    </w:p>
    <w:p w14:paraId="7BECFF2C" w14:textId="77777777" w:rsidR="00CA217E" w:rsidRDefault="00CA217E">
      <w:pPr>
        <w:pStyle w:val="Verzeichnis2"/>
        <w:tabs>
          <w:tab w:val="left" w:pos="749"/>
          <w:tab w:val="right" w:leader="dot" w:pos="9056"/>
        </w:tabs>
        <w:rPr>
          <w:noProof/>
          <w:sz w:val="24"/>
          <w:lang w:eastAsia="ja-JP"/>
        </w:rPr>
      </w:pPr>
      <w:r w:rsidRPr="00FB775D">
        <w:rPr>
          <w:iCs/>
          <w:noProof/>
        </w:rPr>
        <w:t>1.5</w:t>
      </w:r>
      <w:r>
        <w:rPr>
          <w:noProof/>
          <w:sz w:val="24"/>
          <w:lang w:eastAsia="ja-JP"/>
        </w:rPr>
        <w:tab/>
      </w:r>
      <w:r>
        <w:rPr>
          <w:noProof/>
        </w:rPr>
        <w:t>Regulierungsprozesse und die Nachfrage nach Behandlungen bei problematischem Marihuana-Konsum</w:t>
      </w:r>
      <w:r>
        <w:rPr>
          <w:noProof/>
        </w:rPr>
        <w:tab/>
      </w:r>
      <w:r>
        <w:rPr>
          <w:noProof/>
        </w:rPr>
        <w:fldChar w:fldCharType="begin"/>
      </w:r>
      <w:r>
        <w:rPr>
          <w:noProof/>
        </w:rPr>
        <w:instrText xml:space="preserve"> PAGEREF _Toc349300336 \h </w:instrText>
      </w:r>
      <w:r>
        <w:rPr>
          <w:noProof/>
        </w:rPr>
      </w:r>
      <w:r>
        <w:rPr>
          <w:noProof/>
        </w:rPr>
        <w:fldChar w:fldCharType="separate"/>
      </w:r>
      <w:r>
        <w:rPr>
          <w:noProof/>
        </w:rPr>
        <w:t>13</w:t>
      </w:r>
      <w:r>
        <w:rPr>
          <w:noProof/>
        </w:rPr>
        <w:fldChar w:fldCharType="end"/>
      </w:r>
    </w:p>
    <w:p w14:paraId="4E063411" w14:textId="77777777" w:rsidR="00CA217E" w:rsidRDefault="00CA217E">
      <w:pPr>
        <w:pStyle w:val="Verzeichnis2"/>
        <w:tabs>
          <w:tab w:val="left" w:pos="749"/>
          <w:tab w:val="right" w:leader="dot" w:pos="9056"/>
        </w:tabs>
        <w:rPr>
          <w:noProof/>
          <w:sz w:val="24"/>
          <w:lang w:eastAsia="ja-JP"/>
        </w:rPr>
      </w:pPr>
      <w:r>
        <w:rPr>
          <w:noProof/>
        </w:rPr>
        <w:t>1.6</w:t>
      </w:r>
      <w:r>
        <w:rPr>
          <w:noProof/>
          <w:sz w:val="24"/>
          <w:lang w:eastAsia="ja-JP"/>
        </w:rPr>
        <w:tab/>
      </w:r>
      <w:r>
        <w:rPr>
          <w:noProof/>
        </w:rPr>
        <w:t>Regulierungsprozesse und die gesundheitliche Lage der Bevölkerung</w:t>
      </w:r>
      <w:r>
        <w:rPr>
          <w:noProof/>
        </w:rPr>
        <w:tab/>
      </w:r>
      <w:r>
        <w:rPr>
          <w:noProof/>
        </w:rPr>
        <w:fldChar w:fldCharType="begin"/>
      </w:r>
      <w:r>
        <w:rPr>
          <w:noProof/>
        </w:rPr>
        <w:instrText xml:space="preserve"> PAGEREF _Toc349300337 \h </w:instrText>
      </w:r>
      <w:r>
        <w:rPr>
          <w:noProof/>
        </w:rPr>
      </w:r>
      <w:r>
        <w:rPr>
          <w:noProof/>
        </w:rPr>
        <w:fldChar w:fldCharType="separate"/>
      </w:r>
      <w:r>
        <w:rPr>
          <w:noProof/>
        </w:rPr>
        <w:t>14</w:t>
      </w:r>
      <w:r>
        <w:rPr>
          <w:noProof/>
        </w:rPr>
        <w:fldChar w:fldCharType="end"/>
      </w:r>
    </w:p>
    <w:p w14:paraId="5F085E65" w14:textId="77777777" w:rsidR="00CA217E" w:rsidRDefault="00CA217E">
      <w:pPr>
        <w:pStyle w:val="Verzeichnis2"/>
        <w:tabs>
          <w:tab w:val="left" w:pos="749"/>
          <w:tab w:val="right" w:leader="dot" w:pos="9056"/>
        </w:tabs>
        <w:rPr>
          <w:noProof/>
          <w:sz w:val="24"/>
          <w:lang w:eastAsia="ja-JP"/>
        </w:rPr>
      </w:pPr>
      <w:r>
        <w:rPr>
          <w:noProof/>
        </w:rPr>
        <w:t>1.7</w:t>
      </w:r>
      <w:r>
        <w:rPr>
          <w:noProof/>
          <w:sz w:val="24"/>
          <w:lang w:eastAsia="ja-JP"/>
        </w:rPr>
        <w:tab/>
      </w:r>
      <w:r>
        <w:rPr>
          <w:noProof/>
        </w:rPr>
        <w:t>Regulierungsprozesse und die Entwicklung der Kriminalität</w:t>
      </w:r>
      <w:r>
        <w:rPr>
          <w:noProof/>
        </w:rPr>
        <w:tab/>
      </w:r>
      <w:r>
        <w:rPr>
          <w:noProof/>
        </w:rPr>
        <w:fldChar w:fldCharType="begin"/>
      </w:r>
      <w:r>
        <w:rPr>
          <w:noProof/>
        </w:rPr>
        <w:instrText xml:space="preserve"> PAGEREF _Toc349300338 \h </w:instrText>
      </w:r>
      <w:r>
        <w:rPr>
          <w:noProof/>
        </w:rPr>
      </w:r>
      <w:r>
        <w:rPr>
          <w:noProof/>
        </w:rPr>
        <w:fldChar w:fldCharType="separate"/>
      </w:r>
      <w:r>
        <w:rPr>
          <w:noProof/>
        </w:rPr>
        <w:t>16</w:t>
      </w:r>
      <w:r>
        <w:rPr>
          <w:noProof/>
        </w:rPr>
        <w:fldChar w:fldCharType="end"/>
      </w:r>
    </w:p>
    <w:p w14:paraId="5F1A29F2" w14:textId="77777777" w:rsidR="00CA217E" w:rsidRDefault="00CA217E">
      <w:pPr>
        <w:pStyle w:val="Verzeichnis1"/>
        <w:rPr>
          <w:noProof/>
          <w:sz w:val="24"/>
          <w:lang w:eastAsia="ja-JP"/>
        </w:rPr>
      </w:pPr>
      <w:r>
        <w:rPr>
          <w:noProof/>
        </w:rPr>
        <w:t>2</w:t>
      </w:r>
      <w:r>
        <w:rPr>
          <w:noProof/>
          <w:sz w:val="24"/>
          <w:lang w:eastAsia="ja-JP"/>
        </w:rPr>
        <w:tab/>
      </w:r>
      <w:r>
        <w:rPr>
          <w:noProof/>
        </w:rPr>
        <w:t>Die Ausgangslage in den USA</w:t>
      </w:r>
      <w:r>
        <w:rPr>
          <w:noProof/>
        </w:rPr>
        <w:tab/>
      </w:r>
      <w:r>
        <w:rPr>
          <w:noProof/>
        </w:rPr>
        <w:fldChar w:fldCharType="begin"/>
      </w:r>
      <w:r>
        <w:rPr>
          <w:noProof/>
        </w:rPr>
        <w:instrText xml:space="preserve"> PAGEREF _Toc349300339 \h </w:instrText>
      </w:r>
      <w:r>
        <w:rPr>
          <w:noProof/>
        </w:rPr>
      </w:r>
      <w:r>
        <w:rPr>
          <w:noProof/>
        </w:rPr>
        <w:fldChar w:fldCharType="separate"/>
      </w:r>
      <w:r>
        <w:rPr>
          <w:noProof/>
        </w:rPr>
        <w:t>18</w:t>
      </w:r>
      <w:r>
        <w:rPr>
          <w:noProof/>
        </w:rPr>
        <w:fldChar w:fldCharType="end"/>
      </w:r>
    </w:p>
    <w:p w14:paraId="09C82047" w14:textId="77777777" w:rsidR="00CA217E" w:rsidRDefault="00CA217E">
      <w:pPr>
        <w:pStyle w:val="Verzeichnis2"/>
        <w:tabs>
          <w:tab w:val="left" w:pos="749"/>
          <w:tab w:val="right" w:leader="dot" w:pos="9056"/>
        </w:tabs>
        <w:rPr>
          <w:noProof/>
          <w:sz w:val="24"/>
          <w:lang w:eastAsia="ja-JP"/>
        </w:rPr>
      </w:pPr>
      <w:r>
        <w:rPr>
          <w:noProof/>
        </w:rPr>
        <w:t>2.1</w:t>
      </w:r>
      <w:r>
        <w:rPr>
          <w:noProof/>
          <w:sz w:val="24"/>
          <w:lang w:eastAsia="ja-JP"/>
        </w:rPr>
        <w:tab/>
      </w:r>
      <w:r>
        <w:rPr>
          <w:noProof/>
        </w:rPr>
        <w:t>Die drogenpolitische Vorgeschichte um Marihuana</w:t>
      </w:r>
      <w:r>
        <w:rPr>
          <w:noProof/>
        </w:rPr>
        <w:tab/>
      </w:r>
      <w:r>
        <w:rPr>
          <w:noProof/>
        </w:rPr>
        <w:fldChar w:fldCharType="begin"/>
      </w:r>
      <w:r>
        <w:rPr>
          <w:noProof/>
        </w:rPr>
        <w:instrText xml:space="preserve"> PAGEREF _Toc349300340 \h </w:instrText>
      </w:r>
      <w:r>
        <w:rPr>
          <w:noProof/>
        </w:rPr>
      </w:r>
      <w:r>
        <w:rPr>
          <w:noProof/>
        </w:rPr>
        <w:fldChar w:fldCharType="separate"/>
      </w:r>
      <w:r>
        <w:rPr>
          <w:noProof/>
        </w:rPr>
        <w:t>19</w:t>
      </w:r>
      <w:r>
        <w:rPr>
          <w:noProof/>
        </w:rPr>
        <w:fldChar w:fldCharType="end"/>
      </w:r>
    </w:p>
    <w:p w14:paraId="5D8B04D4" w14:textId="77777777" w:rsidR="00CA217E" w:rsidRDefault="00CA217E">
      <w:pPr>
        <w:pStyle w:val="Verzeichnis2"/>
        <w:tabs>
          <w:tab w:val="left" w:pos="749"/>
          <w:tab w:val="right" w:leader="dot" w:pos="9056"/>
        </w:tabs>
        <w:rPr>
          <w:noProof/>
          <w:sz w:val="24"/>
          <w:lang w:eastAsia="ja-JP"/>
        </w:rPr>
      </w:pPr>
      <w:r>
        <w:rPr>
          <w:noProof/>
        </w:rPr>
        <w:t>2.2</w:t>
      </w:r>
      <w:r>
        <w:rPr>
          <w:noProof/>
          <w:sz w:val="24"/>
          <w:lang w:eastAsia="ja-JP"/>
        </w:rPr>
        <w:tab/>
      </w:r>
      <w:r>
        <w:rPr>
          <w:noProof/>
        </w:rPr>
        <w:t>Kalifornien: „The wild wild west“</w:t>
      </w:r>
      <w:r>
        <w:rPr>
          <w:noProof/>
        </w:rPr>
        <w:tab/>
      </w:r>
      <w:r>
        <w:rPr>
          <w:noProof/>
        </w:rPr>
        <w:fldChar w:fldCharType="begin"/>
      </w:r>
      <w:r>
        <w:rPr>
          <w:noProof/>
        </w:rPr>
        <w:instrText xml:space="preserve"> PAGEREF _Toc349300341 \h </w:instrText>
      </w:r>
      <w:r>
        <w:rPr>
          <w:noProof/>
        </w:rPr>
      </w:r>
      <w:r>
        <w:rPr>
          <w:noProof/>
        </w:rPr>
        <w:fldChar w:fldCharType="separate"/>
      </w:r>
      <w:r>
        <w:rPr>
          <w:noProof/>
        </w:rPr>
        <w:t>20</w:t>
      </w:r>
      <w:r>
        <w:rPr>
          <w:noProof/>
        </w:rPr>
        <w:fldChar w:fldCharType="end"/>
      </w:r>
    </w:p>
    <w:p w14:paraId="39452C55" w14:textId="77777777" w:rsidR="00CA217E" w:rsidRDefault="00CA217E">
      <w:pPr>
        <w:pStyle w:val="Verzeichnis3"/>
        <w:tabs>
          <w:tab w:val="left" w:pos="1136"/>
          <w:tab w:val="right" w:leader="dot" w:pos="9056"/>
        </w:tabs>
        <w:rPr>
          <w:noProof/>
          <w:sz w:val="24"/>
          <w:lang w:eastAsia="ja-JP"/>
        </w:rPr>
      </w:pPr>
      <w:r>
        <w:rPr>
          <w:noProof/>
        </w:rPr>
        <w:t>2.2.1</w:t>
      </w:r>
      <w:r>
        <w:rPr>
          <w:noProof/>
          <w:sz w:val="24"/>
          <w:lang w:eastAsia="ja-JP"/>
        </w:rPr>
        <w:tab/>
      </w:r>
      <w:r>
        <w:rPr>
          <w:noProof/>
        </w:rPr>
        <w:t>Die Marihuana-Wirtschaft: ein Wirtschaftszweig, ganz anders als andere</w:t>
      </w:r>
      <w:r>
        <w:rPr>
          <w:noProof/>
        </w:rPr>
        <w:tab/>
      </w:r>
      <w:r>
        <w:rPr>
          <w:noProof/>
        </w:rPr>
        <w:fldChar w:fldCharType="begin"/>
      </w:r>
      <w:r>
        <w:rPr>
          <w:noProof/>
        </w:rPr>
        <w:instrText xml:space="preserve"> PAGEREF _Toc349300342 \h </w:instrText>
      </w:r>
      <w:r>
        <w:rPr>
          <w:noProof/>
        </w:rPr>
      </w:r>
      <w:r>
        <w:rPr>
          <w:noProof/>
        </w:rPr>
        <w:fldChar w:fldCharType="separate"/>
      </w:r>
      <w:r>
        <w:rPr>
          <w:noProof/>
        </w:rPr>
        <w:t>21</w:t>
      </w:r>
      <w:r>
        <w:rPr>
          <w:noProof/>
        </w:rPr>
        <w:fldChar w:fldCharType="end"/>
      </w:r>
    </w:p>
    <w:p w14:paraId="2DC28143" w14:textId="77777777" w:rsidR="00CA217E" w:rsidRDefault="00CA217E">
      <w:pPr>
        <w:pStyle w:val="Verzeichnis3"/>
        <w:tabs>
          <w:tab w:val="left" w:pos="1136"/>
          <w:tab w:val="right" w:leader="dot" w:pos="9056"/>
        </w:tabs>
        <w:rPr>
          <w:noProof/>
          <w:sz w:val="24"/>
          <w:lang w:eastAsia="ja-JP"/>
        </w:rPr>
      </w:pPr>
      <w:r>
        <w:rPr>
          <w:noProof/>
        </w:rPr>
        <w:t>2.2.2</w:t>
      </w:r>
      <w:r>
        <w:rPr>
          <w:noProof/>
          <w:sz w:val="24"/>
          <w:lang w:eastAsia="ja-JP"/>
        </w:rPr>
        <w:tab/>
      </w:r>
      <w:r>
        <w:rPr>
          <w:noProof/>
        </w:rPr>
        <w:t>Andere Mentalitätsstrukturen zu Marihuana</w:t>
      </w:r>
      <w:r>
        <w:rPr>
          <w:noProof/>
        </w:rPr>
        <w:tab/>
      </w:r>
      <w:r>
        <w:rPr>
          <w:noProof/>
        </w:rPr>
        <w:fldChar w:fldCharType="begin"/>
      </w:r>
      <w:r>
        <w:rPr>
          <w:noProof/>
        </w:rPr>
        <w:instrText xml:space="preserve"> PAGEREF _Toc349300343 \h </w:instrText>
      </w:r>
      <w:r>
        <w:rPr>
          <w:noProof/>
        </w:rPr>
      </w:r>
      <w:r>
        <w:rPr>
          <w:noProof/>
        </w:rPr>
        <w:fldChar w:fldCharType="separate"/>
      </w:r>
      <w:r>
        <w:rPr>
          <w:noProof/>
        </w:rPr>
        <w:t>22</w:t>
      </w:r>
      <w:r>
        <w:rPr>
          <w:noProof/>
        </w:rPr>
        <w:fldChar w:fldCharType="end"/>
      </w:r>
    </w:p>
    <w:p w14:paraId="19E5ACA7" w14:textId="77777777" w:rsidR="00CA217E" w:rsidRDefault="00CA217E">
      <w:pPr>
        <w:pStyle w:val="Verzeichnis3"/>
        <w:tabs>
          <w:tab w:val="left" w:pos="1136"/>
          <w:tab w:val="right" w:leader="dot" w:pos="9056"/>
        </w:tabs>
        <w:rPr>
          <w:noProof/>
          <w:sz w:val="24"/>
          <w:lang w:eastAsia="ja-JP"/>
        </w:rPr>
      </w:pPr>
      <w:r>
        <w:rPr>
          <w:noProof/>
        </w:rPr>
        <w:t>2.2.3</w:t>
      </w:r>
      <w:r>
        <w:rPr>
          <w:noProof/>
          <w:sz w:val="24"/>
          <w:lang w:eastAsia="ja-JP"/>
        </w:rPr>
        <w:tab/>
      </w:r>
      <w:r>
        <w:rPr>
          <w:noProof/>
        </w:rPr>
        <w:t>Kaliforniens Regulierungsmodell</w:t>
      </w:r>
      <w:r>
        <w:rPr>
          <w:noProof/>
        </w:rPr>
        <w:tab/>
      </w:r>
      <w:r>
        <w:rPr>
          <w:noProof/>
        </w:rPr>
        <w:fldChar w:fldCharType="begin"/>
      </w:r>
      <w:r>
        <w:rPr>
          <w:noProof/>
        </w:rPr>
        <w:instrText xml:space="preserve"> PAGEREF _Toc349300344 \h </w:instrText>
      </w:r>
      <w:r>
        <w:rPr>
          <w:noProof/>
        </w:rPr>
      </w:r>
      <w:r>
        <w:rPr>
          <w:noProof/>
        </w:rPr>
        <w:fldChar w:fldCharType="separate"/>
      </w:r>
      <w:r>
        <w:rPr>
          <w:noProof/>
        </w:rPr>
        <w:t>25</w:t>
      </w:r>
      <w:r>
        <w:rPr>
          <w:noProof/>
        </w:rPr>
        <w:fldChar w:fldCharType="end"/>
      </w:r>
    </w:p>
    <w:p w14:paraId="1B1D36D2" w14:textId="77777777" w:rsidR="00CA217E" w:rsidRDefault="00CA217E">
      <w:pPr>
        <w:pStyle w:val="Verzeichnis2"/>
        <w:tabs>
          <w:tab w:val="left" w:pos="749"/>
          <w:tab w:val="right" w:leader="dot" w:pos="9056"/>
        </w:tabs>
        <w:rPr>
          <w:noProof/>
          <w:sz w:val="24"/>
          <w:lang w:eastAsia="ja-JP"/>
        </w:rPr>
      </w:pPr>
      <w:r>
        <w:rPr>
          <w:noProof/>
        </w:rPr>
        <w:t>2.3</w:t>
      </w:r>
      <w:r>
        <w:rPr>
          <w:noProof/>
          <w:sz w:val="24"/>
          <w:lang w:eastAsia="ja-JP"/>
        </w:rPr>
        <w:tab/>
      </w:r>
      <w:r>
        <w:rPr>
          <w:noProof/>
        </w:rPr>
        <w:t>Die Gemengelage zwischen Befürwortung und Bekämpfung einer Regulierung</w:t>
      </w:r>
      <w:r>
        <w:rPr>
          <w:noProof/>
        </w:rPr>
        <w:tab/>
      </w:r>
      <w:r>
        <w:rPr>
          <w:noProof/>
        </w:rPr>
        <w:fldChar w:fldCharType="begin"/>
      </w:r>
      <w:r>
        <w:rPr>
          <w:noProof/>
        </w:rPr>
        <w:instrText xml:space="preserve"> PAGEREF _Toc349300345 \h </w:instrText>
      </w:r>
      <w:r>
        <w:rPr>
          <w:noProof/>
        </w:rPr>
      </w:r>
      <w:r>
        <w:rPr>
          <w:noProof/>
        </w:rPr>
        <w:fldChar w:fldCharType="separate"/>
      </w:r>
      <w:r>
        <w:rPr>
          <w:noProof/>
        </w:rPr>
        <w:t>27</w:t>
      </w:r>
      <w:r>
        <w:rPr>
          <w:noProof/>
        </w:rPr>
        <w:fldChar w:fldCharType="end"/>
      </w:r>
    </w:p>
    <w:p w14:paraId="4ACCD9F3" w14:textId="77777777" w:rsidR="00CA217E" w:rsidRDefault="00CA217E">
      <w:pPr>
        <w:pStyle w:val="Verzeichnis2"/>
        <w:tabs>
          <w:tab w:val="right" w:leader="dot" w:pos="9056"/>
        </w:tabs>
        <w:rPr>
          <w:noProof/>
          <w:sz w:val="24"/>
          <w:lang w:eastAsia="ja-JP"/>
        </w:rPr>
      </w:pPr>
      <w:r>
        <w:rPr>
          <w:noProof/>
        </w:rPr>
        <w:t>Literatur</w:t>
      </w:r>
      <w:r>
        <w:rPr>
          <w:noProof/>
        </w:rPr>
        <w:tab/>
      </w:r>
      <w:r>
        <w:rPr>
          <w:noProof/>
        </w:rPr>
        <w:fldChar w:fldCharType="begin"/>
      </w:r>
      <w:r>
        <w:rPr>
          <w:noProof/>
        </w:rPr>
        <w:instrText xml:space="preserve"> PAGEREF _Toc349300346 \h </w:instrText>
      </w:r>
      <w:r>
        <w:rPr>
          <w:noProof/>
        </w:rPr>
      </w:r>
      <w:r>
        <w:rPr>
          <w:noProof/>
        </w:rPr>
        <w:fldChar w:fldCharType="separate"/>
      </w:r>
      <w:r>
        <w:rPr>
          <w:noProof/>
        </w:rPr>
        <w:t>29</w:t>
      </w:r>
      <w:r>
        <w:rPr>
          <w:noProof/>
        </w:rPr>
        <w:fldChar w:fldCharType="end"/>
      </w:r>
    </w:p>
    <w:p w14:paraId="2FD219F1" w14:textId="77777777" w:rsidR="00CA217E" w:rsidRDefault="00CA217E">
      <w:pPr>
        <w:pStyle w:val="Verzeichnis1"/>
        <w:rPr>
          <w:noProof/>
          <w:sz w:val="24"/>
          <w:lang w:eastAsia="ja-JP"/>
        </w:rPr>
      </w:pPr>
      <w:r>
        <w:rPr>
          <w:noProof/>
        </w:rPr>
        <w:t>3</w:t>
      </w:r>
      <w:r>
        <w:rPr>
          <w:noProof/>
          <w:sz w:val="24"/>
          <w:lang w:eastAsia="ja-JP"/>
        </w:rPr>
        <w:tab/>
      </w:r>
      <w:r>
        <w:rPr>
          <w:noProof/>
        </w:rPr>
        <w:t>Zum Einfluss politischer Maßnahmen auf den Marihuana-Konsum in der Bevölkerung</w:t>
      </w:r>
      <w:r>
        <w:rPr>
          <w:noProof/>
        </w:rPr>
        <w:tab/>
      </w:r>
      <w:r>
        <w:rPr>
          <w:noProof/>
        </w:rPr>
        <w:fldChar w:fldCharType="begin"/>
      </w:r>
      <w:r>
        <w:rPr>
          <w:noProof/>
        </w:rPr>
        <w:instrText xml:space="preserve"> PAGEREF _Toc349300347 \h </w:instrText>
      </w:r>
      <w:r>
        <w:rPr>
          <w:noProof/>
        </w:rPr>
      </w:r>
      <w:r>
        <w:rPr>
          <w:noProof/>
        </w:rPr>
        <w:fldChar w:fldCharType="separate"/>
      </w:r>
      <w:r>
        <w:rPr>
          <w:noProof/>
        </w:rPr>
        <w:t>32</w:t>
      </w:r>
      <w:r>
        <w:rPr>
          <w:noProof/>
        </w:rPr>
        <w:fldChar w:fldCharType="end"/>
      </w:r>
    </w:p>
    <w:p w14:paraId="2A3A0426" w14:textId="77777777" w:rsidR="00CA217E" w:rsidRDefault="00CA217E">
      <w:pPr>
        <w:pStyle w:val="Verzeichnis2"/>
        <w:tabs>
          <w:tab w:val="left" w:pos="749"/>
          <w:tab w:val="right" w:leader="dot" w:pos="9056"/>
        </w:tabs>
        <w:rPr>
          <w:noProof/>
          <w:sz w:val="24"/>
          <w:lang w:eastAsia="ja-JP"/>
        </w:rPr>
      </w:pPr>
      <w:r>
        <w:rPr>
          <w:noProof/>
        </w:rPr>
        <w:t>3.1</w:t>
      </w:r>
      <w:r>
        <w:rPr>
          <w:noProof/>
          <w:sz w:val="24"/>
          <w:lang w:eastAsia="ja-JP"/>
        </w:rPr>
        <w:tab/>
      </w:r>
      <w:r>
        <w:rPr>
          <w:noProof/>
        </w:rPr>
        <w:t>Die drogenpolitischen Grundannahmen</w:t>
      </w:r>
      <w:r>
        <w:rPr>
          <w:noProof/>
        </w:rPr>
        <w:tab/>
      </w:r>
      <w:r>
        <w:rPr>
          <w:noProof/>
        </w:rPr>
        <w:fldChar w:fldCharType="begin"/>
      </w:r>
      <w:r>
        <w:rPr>
          <w:noProof/>
        </w:rPr>
        <w:instrText xml:space="preserve"> PAGEREF _Toc349300348 \h </w:instrText>
      </w:r>
      <w:r>
        <w:rPr>
          <w:noProof/>
        </w:rPr>
      </w:r>
      <w:r>
        <w:rPr>
          <w:noProof/>
        </w:rPr>
        <w:fldChar w:fldCharType="separate"/>
      </w:r>
      <w:r>
        <w:rPr>
          <w:noProof/>
        </w:rPr>
        <w:t>32</w:t>
      </w:r>
      <w:r>
        <w:rPr>
          <w:noProof/>
        </w:rPr>
        <w:fldChar w:fldCharType="end"/>
      </w:r>
    </w:p>
    <w:p w14:paraId="0EBDF83B" w14:textId="77777777" w:rsidR="00CA217E" w:rsidRDefault="00CA217E">
      <w:pPr>
        <w:pStyle w:val="Verzeichnis2"/>
        <w:tabs>
          <w:tab w:val="left" w:pos="749"/>
          <w:tab w:val="right" w:leader="dot" w:pos="9056"/>
        </w:tabs>
        <w:rPr>
          <w:noProof/>
          <w:sz w:val="24"/>
          <w:lang w:eastAsia="ja-JP"/>
        </w:rPr>
      </w:pPr>
      <w:r>
        <w:rPr>
          <w:noProof/>
        </w:rPr>
        <w:t>3.2</w:t>
      </w:r>
      <w:r>
        <w:rPr>
          <w:noProof/>
          <w:sz w:val="24"/>
          <w:lang w:eastAsia="ja-JP"/>
        </w:rPr>
        <w:tab/>
      </w:r>
      <w:r>
        <w:rPr>
          <w:noProof/>
        </w:rPr>
        <w:t>Zur Verbreitung des Marihuana-Konsums in den USA</w:t>
      </w:r>
      <w:r>
        <w:rPr>
          <w:noProof/>
        </w:rPr>
        <w:tab/>
      </w:r>
      <w:r>
        <w:rPr>
          <w:noProof/>
        </w:rPr>
        <w:fldChar w:fldCharType="begin"/>
      </w:r>
      <w:r>
        <w:rPr>
          <w:noProof/>
        </w:rPr>
        <w:instrText xml:space="preserve"> PAGEREF _Toc349300349 \h </w:instrText>
      </w:r>
      <w:r>
        <w:rPr>
          <w:noProof/>
        </w:rPr>
      </w:r>
      <w:r>
        <w:rPr>
          <w:noProof/>
        </w:rPr>
        <w:fldChar w:fldCharType="separate"/>
      </w:r>
      <w:r>
        <w:rPr>
          <w:noProof/>
        </w:rPr>
        <w:t>32</w:t>
      </w:r>
      <w:r>
        <w:rPr>
          <w:noProof/>
        </w:rPr>
        <w:fldChar w:fldCharType="end"/>
      </w:r>
    </w:p>
    <w:p w14:paraId="28E89B6B" w14:textId="77777777" w:rsidR="00CA217E" w:rsidRDefault="00CA217E">
      <w:pPr>
        <w:pStyle w:val="Verzeichnis3"/>
        <w:tabs>
          <w:tab w:val="left" w:pos="1136"/>
          <w:tab w:val="right" w:leader="dot" w:pos="9056"/>
        </w:tabs>
        <w:rPr>
          <w:noProof/>
          <w:sz w:val="24"/>
          <w:lang w:eastAsia="ja-JP"/>
        </w:rPr>
      </w:pPr>
      <w:r>
        <w:rPr>
          <w:noProof/>
        </w:rPr>
        <w:t>3.2.1</w:t>
      </w:r>
      <w:r>
        <w:rPr>
          <w:noProof/>
          <w:sz w:val="24"/>
          <w:lang w:eastAsia="ja-JP"/>
        </w:rPr>
        <w:tab/>
      </w:r>
      <w:r>
        <w:rPr>
          <w:noProof/>
        </w:rPr>
        <w:t>Zur US-amerikanischen Datenlage</w:t>
      </w:r>
      <w:r>
        <w:rPr>
          <w:noProof/>
        </w:rPr>
        <w:tab/>
      </w:r>
      <w:r>
        <w:rPr>
          <w:noProof/>
        </w:rPr>
        <w:fldChar w:fldCharType="begin"/>
      </w:r>
      <w:r>
        <w:rPr>
          <w:noProof/>
        </w:rPr>
        <w:instrText xml:space="preserve"> PAGEREF _Toc349300350 \h </w:instrText>
      </w:r>
      <w:r>
        <w:rPr>
          <w:noProof/>
        </w:rPr>
      </w:r>
      <w:r>
        <w:rPr>
          <w:noProof/>
        </w:rPr>
        <w:fldChar w:fldCharType="separate"/>
      </w:r>
      <w:r>
        <w:rPr>
          <w:noProof/>
        </w:rPr>
        <w:t>32</w:t>
      </w:r>
      <w:r>
        <w:rPr>
          <w:noProof/>
        </w:rPr>
        <w:fldChar w:fldCharType="end"/>
      </w:r>
    </w:p>
    <w:p w14:paraId="7E9F233F" w14:textId="77777777" w:rsidR="00CA217E" w:rsidRDefault="00CA217E">
      <w:pPr>
        <w:pStyle w:val="Verzeichnis3"/>
        <w:tabs>
          <w:tab w:val="left" w:pos="1136"/>
          <w:tab w:val="right" w:leader="dot" w:pos="9056"/>
        </w:tabs>
        <w:rPr>
          <w:noProof/>
          <w:sz w:val="24"/>
          <w:lang w:eastAsia="ja-JP"/>
        </w:rPr>
      </w:pPr>
      <w:r>
        <w:rPr>
          <w:noProof/>
        </w:rPr>
        <w:t>3.2.2</w:t>
      </w:r>
      <w:r>
        <w:rPr>
          <w:noProof/>
          <w:sz w:val="24"/>
          <w:lang w:eastAsia="ja-JP"/>
        </w:rPr>
        <w:tab/>
      </w:r>
      <w:r>
        <w:rPr>
          <w:noProof/>
        </w:rPr>
        <w:t>Marihuana: Nach Alkohol die Droge mit der größten Verbreitung</w:t>
      </w:r>
      <w:r>
        <w:rPr>
          <w:noProof/>
        </w:rPr>
        <w:tab/>
      </w:r>
      <w:r>
        <w:rPr>
          <w:noProof/>
        </w:rPr>
        <w:fldChar w:fldCharType="begin"/>
      </w:r>
      <w:r>
        <w:rPr>
          <w:noProof/>
        </w:rPr>
        <w:instrText xml:space="preserve"> PAGEREF _Toc349300351 \h </w:instrText>
      </w:r>
      <w:r>
        <w:rPr>
          <w:noProof/>
        </w:rPr>
      </w:r>
      <w:r>
        <w:rPr>
          <w:noProof/>
        </w:rPr>
        <w:fldChar w:fldCharType="separate"/>
      </w:r>
      <w:r>
        <w:rPr>
          <w:noProof/>
        </w:rPr>
        <w:t>33</w:t>
      </w:r>
      <w:r>
        <w:rPr>
          <w:noProof/>
        </w:rPr>
        <w:fldChar w:fldCharType="end"/>
      </w:r>
    </w:p>
    <w:p w14:paraId="3A181DC0" w14:textId="77777777" w:rsidR="00CA217E" w:rsidRDefault="00CA217E">
      <w:pPr>
        <w:pStyle w:val="Verzeichnis2"/>
        <w:tabs>
          <w:tab w:val="left" w:pos="749"/>
          <w:tab w:val="right" w:leader="dot" w:pos="9056"/>
        </w:tabs>
        <w:rPr>
          <w:noProof/>
          <w:sz w:val="24"/>
          <w:lang w:eastAsia="ja-JP"/>
        </w:rPr>
      </w:pPr>
      <w:r>
        <w:rPr>
          <w:noProof/>
        </w:rPr>
        <w:t>3.3</w:t>
      </w:r>
      <w:r>
        <w:rPr>
          <w:noProof/>
          <w:sz w:val="24"/>
          <w:lang w:eastAsia="ja-JP"/>
        </w:rPr>
        <w:tab/>
      </w:r>
      <w:r>
        <w:rPr>
          <w:noProof/>
        </w:rPr>
        <w:t>Das Beispiel Washington</w:t>
      </w:r>
      <w:r>
        <w:rPr>
          <w:noProof/>
        </w:rPr>
        <w:tab/>
      </w:r>
      <w:r>
        <w:rPr>
          <w:noProof/>
        </w:rPr>
        <w:fldChar w:fldCharType="begin"/>
      </w:r>
      <w:r>
        <w:rPr>
          <w:noProof/>
        </w:rPr>
        <w:instrText xml:space="preserve"> PAGEREF _Toc349300352 \h </w:instrText>
      </w:r>
      <w:r>
        <w:rPr>
          <w:noProof/>
        </w:rPr>
      </w:r>
      <w:r>
        <w:rPr>
          <w:noProof/>
        </w:rPr>
        <w:fldChar w:fldCharType="separate"/>
      </w:r>
      <w:r>
        <w:rPr>
          <w:noProof/>
        </w:rPr>
        <w:t>36</w:t>
      </w:r>
      <w:r>
        <w:rPr>
          <w:noProof/>
        </w:rPr>
        <w:fldChar w:fldCharType="end"/>
      </w:r>
    </w:p>
    <w:p w14:paraId="4A3A1DF3" w14:textId="77777777" w:rsidR="00CA217E" w:rsidRDefault="00CA217E">
      <w:pPr>
        <w:pStyle w:val="Verzeichnis2"/>
        <w:tabs>
          <w:tab w:val="left" w:pos="749"/>
          <w:tab w:val="right" w:leader="dot" w:pos="9056"/>
        </w:tabs>
        <w:rPr>
          <w:noProof/>
          <w:sz w:val="24"/>
          <w:lang w:eastAsia="ja-JP"/>
        </w:rPr>
      </w:pPr>
      <w:r>
        <w:rPr>
          <w:noProof/>
        </w:rPr>
        <w:t>3.4</w:t>
      </w:r>
      <w:r>
        <w:rPr>
          <w:noProof/>
          <w:sz w:val="24"/>
          <w:lang w:eastAsia="ja-JP"/>
        </w:rPr>
        <w:tab/>
      </w:r>
      <w:r>
        <w:rPr>
          <w:noProof/>
        </w:rPr>
        <w:t>Das Beispiel Colorado</w:t>
      </w:r>
      <w:r>
        <w:rPr>
          <w:noProof/>
        </w:rPr>
        <w:tab/>
      </w:r>
      <w:r>
        <w:rPr>
          <w:noProof/>
        </w:rPr>
        <w:fldChar w:fldCharType="begin"/>
      </w:r>
      <w:r>
        <w:rPr>
          <w:noProof/>
        </w:rPr>
        <w:instrText xml:space="preserve"> PAGEREF _Toc349300353 \h </w:instrText>
      </w:r>
      <w:r>
        <w:rPr>
          <w:noProof/>
        </w:rPr>
      </w:r>
      <w:r>
        <w:rPr>
          <w:noProof/>
        </w:rPr>
        <w:fldChar w:fldCharType="separate"/>
      </w:r>
      <w:r>
        <w:rPr>
          <w:noProof/>
        </w:rPr>
        <w:t>37</w:t>
      </w:r>
      <w:r>
        <w:rPr>
          <w:noProof/>
        </w:rPr>
        <w:fldChar w:fldCharType="end"/>
      </w:r>
    </w:p>
    <w:p w14:paraId="329BCCE5" w14:textId="77777777" w:rsidR="00CA217E" w:rsidRDefault="00CA217E">
      <w:pPr>
        <w:pStyle w:val="Verzeichnis2"/>
        <w:tabs>
          <w:tab w:val="left" w:pos="749"/>
          <w:tab w:val="right" w:leader="dot" w:pos="9056"/>
        </w:tabs>
        <w:rPr>
          <w:noProof/>
          <w:sz w:val="24"/>
          <w:lang w:eastAsia="ja-JP"/>
        </w:rPr>
      </w:pPr>
      <w:r>
        <w:rPr>
          <w:noProof/>
        </w:rPr>
        <w:t>3.5</w:t>
      </w:r>
      <w:r>
        <w:rPr>
          <w:noProof/>
          <w:sz w:val="24"/>
          <w:lang w:eastAsia="ja-JP"/>
        </w:rPr>
        <w:tab/>
      </w:r>
      <w:r>
        <w:rPr>
          <w:noProof/>
        </w:rPr>
        <w:t>Drogenpolitische Schlussfolgerungen</w:t>
      </w:r>
      <w:r>
        <w:rPr>
          <w:noProof/>
        </w:rPr>
        <w:tab/>
      </w:r>
      <w:r>
        <w:rPr>
          <w:noProof/>
        </w:rPr>
        <w:fldChar w:fldCharType="begin"/>
      </w:r>
      <w:r>
        <w:rPr>
          <w:noProof/>
        </w:rPr>
        <w:instrText xml:space="preserve"> PAGEREF _Toc349300354 \h </w:instrText>
      </w:r>
      <w:r>
        <w:rPr>
          <w:noProof/>
        </w:rPr>
      </w:r>
      <w:r>
        <w:rPr>
          <w:noProof/>
        </w:rPr>
        <w:fldChar w:fldCharType="separate"/>
      </w:r>
      <w:r>
        <w:rPr>
          <w:noProof/>
        </w:rPr>
        <w:t>38</w:t>
      </w:r>
      <w:r>
        <w:rPr>
          <w:noProof/>
        </w:rPr>
        <w:fldChar w:fldCharType="end"/>
      </w:r>
    </w:p>
    <w:p w14:paraId="1E1029F6" w14:textId="77777777" w:rsidR="00CA217E" w:rsidRDefault="00CA217E">
      <w:pPr>
        <w:pStyle w:val="Verzeichnis2"/>
        <w:tabs>
          <w:tab w:val="right" w:leader="dot" w:pos="9056"/>
        </w:tabs>
        <w:rPr>
          <w:noProof/>
          <w:sz w:val="24"/>
          <w:lang w:eastAsia="ja-JP"/>
        </w:rPr>
      </w:pPr>
      <w:r>
        <w:rPr>
          <w:noProof/>
        </w:rPr>
        <w:t>Literatur</w:t>
      </w:r>
      <w:r>
        <w:rPr>
          <w:noProof/>
        </w:rPr>
        <w:tab/>
      </w:r>
      <w:r>
        <w:rPr>
          <w:noProof/>
        </w:rPr>
        <w:fldChar w:fldCharType="begin"/>
      </w:r>
      <w:r>
        <w:rPr>
          <w:noProof/>
        </w:rPr>
        <w:instrText xml:space="preserve"> PAGEREF _Toc349300355 \h </w:instrText>
      </w:r>
      <w:r>
        <w:rPr>
          <w:noProof/>
        </w:rPr>
      </w:r>
      <w:r>
        <w:rPr>
          <w:noProof/>
        </w:rPr>
        <w:fldChar w:fldCharType="separate"/>
      </w:r>
      <w:r>
        <w:rPr>
          <w:noProof/>
        </w:rPr>
        <w:t>39</w:t>
      </w:r>
      <w:r>
        <w:rPr>
          <w:noProof/>
        </w:rPr>
        <w:fldChar w:fldCharType="end"/>
      </w:r>
    </w:p>
    <w:p w14:paraId="6D2681C1" w14:textId="77777777" w:rsidR="00CA217E" w:rsidRDefault="00CA217E">
      <w:pPr>
        <w:pStyle w:val="Verzeichnis1"/>
        <w:rPr>
          <w:noProof/>
          <w:sz w:val="24"/>
          <w:lang w:eastAsia="ja-JP"/>
        </w:rPr>
      </w:pPr>
      <w:r>
        <w:rPr>
          <w:noProof/>
        </w:rPr>
        <w:t>4</w:t>
      </w:r>
      <w:r>
        <w:rPr>
          <w:noProof/>
          <w:sz w:val="24"/>
          <w:lang w:eastAsia="ja-JP"/>
        </w:rPr>
        <w:tab/>
      </w:r>
      <w:r>
        <w:rPr>
          <w:noProof/>
        </w:rPr>
        <w:t>Auswirkungen einer Regulierung von Marihuana auf Jugendliche</w:t>
      </w:r>
      <w:r>
        <w:rPr>
          <w:noProof/>
        </w:rPr>
        <w:tab/>
      </w:r>
      <w:r>
        <w:rPr>
          <w:noProof/>
        </w:rPr>
        <w:fldChar w:fldCharType="begin"/>
      </w:r>
      <w:r>
        <w:rPr>
          <w:noProof/>
        </w:rPr>
        <w:instrText xml:space="preserve"> PAGEREF _Toc349300356 \h </w:instrText>
      </w:r>
      <w:r>
        <w:rPr>
          <w:noProof/>
        </w:rPr>
      </w:r>
      <w:r>
        <w:rPr>
          <w:noProof/>
        </w:rPr>
        <w:fldChar w:fldCharType="separate"/>
      </w:r>
      <w:r>
        <w:rPr>
          <w:noProof/>
        </w:rPr>
        <w:t>41</w:t>
      </w:r>
      <w:r>
        <w:rPr>
          <w:noProof/>
        </w:rPr>
        <w:fldChar w:fldCharType="end"/>
      </w:r>
    </w:p>
    <w:p w14:paraId="794CBC93" w14:textId="77777777" w:rsidR="00CA217E" w:rsidRDefault="00CA217E">
      <w:pPr>
        <w:pStyle w:val="Verzeichnis2"/>
        <w:tabs>
          <w:tab w:val="left" w:pos="749"/>
          <w:tab w:val="right" w:leader="dot" w:pos="9056"/>
        </w:tabs>
        <w:rPr>
          <w:noProof/>
          <w:sz w:val="24"/>
          <w:lang w:eastAsia="ja-JP"/>
        </w:rPr>
      </w:pPr>
      <w:r>
        <w:rPr>
          <w:noProof/>
        </w:rPr>
        <w:t>4.1</w:t>
      </w:r>
      <w:r>
        <w:rPr>
          <w:noProof/>
          <w:sz w:val="24"/>
          <w:lang w:eastAsia="ja-JP"/>
        </w:rPr>
        <w:tab/>
      </w:r>
      <w:r>
        <w:rPr>
          <w:noProof/>
        </w:rPr>
        <w:t>Drogenpolitische Grundannahmen</w:t>
      </w:r>
      <w:r>
        <w:rPr>
          <w:noProof/>
        </w:rPr>
        <w:tab/>
      </w:r>
      <w:r>
        <w:rPr>
          <w:noProof/>
        </w:rPr>
        <w:fldChar w:fldCharType="begin"/>
      </w:r>
      <w:r>
        <w:rPr>
          <w:noProof/>
        </w:rPr>
        <w:instrText xml:space="preserve"> PAGEREF _Toc349300357 \h </w:instrText>
      </w:r>
      <w:r>
        <w:rPr>
          <w:noProof/>
        </w:rPr>
      </w:r>
      <w:r>
        <w:rPr>
          <w:noProof/>
        </w:rPr>
        <w:fldChar w:fldCharType="separate"/>
      </w:r>
      <w:r>
        <w:rPr>
          <w:noProof/>
        </w:rPr>
        <w:t>41</w:t>
      </w:r>
      <w:r>
        <w:rPr>
          <w:noProof/>
        </w:rPr>
        <w:fldChar w:fldCharType="end"/>
      </w:r>
    </w:p>
    <w:p w14:paraId="0FEB5029" w14:textId="77777777" w:rsidR="00CA217E" w:rsidRDefault="00CA217E">
      <w:pPr>
        <w:pStyle w:val="Verzeichnis2"/>
        <w:tabs>
          <w:tab w:val="left" w:pos="749"/>
          <w:tab w:val="right" w:leader="dot" w:pos="9056"/>
        </w:tabs>
        <w:rPr>
          <w:noProof/>
          <w:sz w:val="24"/>
          <w:lang w:eastAsia="ja-JP"/>
        </w:rPr>
      </w:pPr>
      <w:r>
        <w:rPr>
          <w:noProof/>
        </w:rPr>
        <w:t>4.2</w:t>
      </w:r>
      <w:r>
        <w:rPr>
          <w:noProof/>
          <w:sz w:val="24"/>
          <w:lang w:eastAsia="ja-JP"/>
        </w:rPr>
        <w:tab/>
      </w:r>
      <w:r>
        <w:rPr>
          <w:noProof/>
        </w:rPr>
        <w:t>U.S.-amerikanische Jugendliche und Marihuana</w:t>
      </w:r>
      <w:r>
        <w:rPr>
          <w:noProof/>
        </w:rPr>
        <w:tab/>
      </w:r>
      <w:r>
        <w:rPr>
          <w:noProof/>
        </w:rPr>
        <w:fldChar w:fldCharType="begin"/>
      </w:r>
      <w:r>
        <w:rPr>
          <w:noProof/>
        </w:rPr>
        <w:instrText xml:space="preserve"> PAGEREF _Toc349300358 \h </w:instrText>
      </w:r>
      <w:r>
        <w:rPr>
          <w:noProof/>
        </w:rPr>
      </w:r>
      <w:r>
        <w:rPr>
          <w:noProof/>
        </w:rPr>
        <w:fldChar w:fldCharType="separate"/>
      </w:r>
      <w:r>
        <w:rPr>
          <w:noProof/>
        </w:rPr>
        <w:t>42</w:t>
      </w:r>
      <w:r>
        <w:rPr>
          <w:noProof/>
        </w:rPr>
        <w:fldChar w:fldCharType="end"/>
      </w:r>
    </w:p>
    <w:p w14:paraId="516EF901" w14:textId="77777777" w:rsidR="00CA217E" w:rsidRDefault="00CA217E">
      <w:pPr>
        <w:pStyle w:val="Verzeichnis3"/>
        <w:tabs>
          <w:tab w:val="left" w:pos="1136"/>
          <w:tab w:val="right" w:leader="dot" w:pos="9056"/>
        </w:tabs>
        <w:rPr>
          <w:noProof/>
          <w:sz w:val="24"/>
          <w:lang w:eastAsia="ja-JP"/>
        </w:rPr>
      </w:pPr>
      <w:r>
        <w:rPr>
          <w:noProof/>
        </w:rPr>
        <w:t>4.2.1</w:t>
      </w:r>
      <w:r>
        <w:rPr>
          <w:noProof/>
          <w:sz w:val="24"/>
          <w:lang w:eastAsia="ja-JP"/>
        </w:rPr>
        <w:tab/>
      </w:r>
      <w:r>
        <w:rPr>
          <w:noProof/>
        </w:rPr>
        <w:t>Zur U.S.-amerikanischen Datenlage</w:t>
      </w:r>
      <w:r>
        <w:rPr>
          <w:noProof/>
        </w:rPr>
        <w:tab/>
      </w:r>
      <w:r>
        <w:rPr>
          <w:noProof/>
        </w:rPr>
        <w:fldChar w:fldCharType="begin"/>
      </w:r>
      <w:r>
        <w:rPr>
          <w:noProof/>
        </w:rPr>
        <w:instrText xml:space="preserve"> PAGEREF _Toc349300359 \h </w:instrText>
      </w:r>
      <w:r>
        <w:rPr>
          <w:noProof/>
        </w:rPr>
      </w:r>
      <w:r>
        <w:rPr>
          <w:noProof/>
        </w:rPr>
        <w:fldChar w:fldCharType="separate"/>
      </w:r>
      <w:r>
        <w:rPr>
          <w:noProof/>
        </w:rPr>
        <w:t>42</w:t>
      </w:r>
      <w:r>
        <w:rPr>
          <w:noProof/>
        </w:rPr>
        <w:fldChar w:fldCharType="end"/>
      </w:r>
    </w:p>
    <w:p w14:paraId="2953797A" w14:textId="77777777" w:rsidR="00CA217E" w:rsidRDefault="00CA217E">
      <w:pPr>
        <w:pStyle w:val="Verzeichnis3"/>
        <w:tabs>
          <w:tab w:val="left" w:pos="1136"/>
          <w:tab w:val="right" w:leader="dot" w:pos="9056"/>
        </w:tabs>
        <w:rPr>
          <w:noProof/>
          <w:sz w:val="24"/>
          <w:lang w:eastAsia="ja-JP"/>
        </w:rPr>
      </w:pPr>
      <w:r>
        <w:rPr>
          <w:noProof/>
        </w:rPr>
        <w:t>4.2.2</w:t>
      </w:r>
      <w:r>
        <w:rPr>
          <w:noProof/>
          <w:sz w:val="24"/>
          <w:lang w:eastAsia="ja-JP"/>
        </w:rPr>
        <w:tab/>
      </w:r>
      <w:r>
        <w:rPr>
          <w:noProof/>
        </w:rPr>
        <w:t>Der Marihuana-Konsum: Eine Konstante mit nachgeordneter Relevanz</w:t>
      </w:r>
      <w:r>
        <w:rPr>
          <w:noProof/>
        </w:rPr>
        <w:tab/>
      </w:r>
      <w:r>
        <w:rPr>
          <w:noProof/>
        </w:rPr>
        <w:fldChar w:fldCharType="begin"/>
      </w:r>
      <w:r>
        <w:rPr>
          <w:noProof/>
        </w:rPr>
        <w:instrText xml:space="preserve"> PAGEREF _Toc349300360 \h </w:instrText>
      </w:r>
      <w:r>
        <w:rPr>
          <w:noProof/>
        </w:rPr>
      </w:r>
      <w:r>
        <w:rPr>
          <w:noProof/>
        </w:rPr>
        <w:fldChar w:fldCharType="separate"/>
      </w:r>
      <w:r>
        <w:rPr>
          <w:noProof/>
        </w:rPr>
        <w:t>44</w:t>
      </w:r>
      <w:r>
        <w:rPr>
          <w:noProof/>
        </w:rPr>
        <w:fldChar w:fldCharType="end"/>
      </w:r>
    </w:p>
    <w:p w14:paraId="0267F632" w14:textId="77777777" w:rsidR="00CA217E" w:rsidRDefault="00CA217E">
      <w:pPr>
        <w:pStyle w:val="Verzeichnis2"/>
        <w:tabs>
          <w:tab w:val="left" w:pos="749"/>
          <w:tab w:val="right" w:leader="dot" w:pos="9056"/>
        </w:tabs>
        <w:rPr>
          <w:noProof/>
          <w:sz w:val="24"/>
          <w:lang w:eastAsia="ja-JP"/>
        </w:rPr>
      </w:pPr>
      <w:r>
        <w:rPr>
          <w:noProof/>
        </w:rPr>
        <w:t>4.3</w:t>
      </w:r>
      <w:r>
        <w:rPr>
          <w:noProof/>
          <w:sz w:val="24"/>
          <w:lang w:eastAsia="ja-JP"/>
        </w:rPr>
        <w:tab/>
      </w:r>
      <w:r>
        <w:rPr>
          <w:noProof/>
        </w:rPr>
        <w:t>Das Beispiel Colorado</w:t>
      </w:r>
      <w:r>
        <w:rPr>
          <w:noProof/>
        </w:rPr>
        <w:tab/>
      </w:r>
      <w:r>
        <w:rPr>
          <w:noProof/>
        </w:rPr>
        <w:fldChar w:fldCharType="begin"/>
      </w:r>
      <w:r>
        <w:rPr>
          <w:noProof/>
        </w:rPr>
        <w:instrText xml:space="preserve"> PAGEREF _Toc349300361 \h </w:instrText>
      </w:r>
      <w:r>
        <w:rPr>
          <w:noProof/>
        </w:rPr>
      </w:r>
      <w:r>
        <w:rPr>
          <w:noProof/>
        </w:rPr>
        <w:fldChar w:fldCharType="separate"/>
      </w:r>
      <w:r>
        <w:rPr>
          <w:noProof/>
        </w:rPr>
        <w:t>47</w:t>
      </w:r>
      <w:r>
        <w:rPr>
          <w:noProof/>
        </w:rPr>
        <w:fldChar w:fldCharType="end"/>
      </w:r>
    </w:p>
    <w:p w14:paraId="695C8A78" w14:textId="77777777" w:rsidR="00CA217E" w:rsidRDefault="00CA217E">
      <w:pPr>
        <w:pStyle w:val="Verzeichnis3"/>
        <w:tabs>
          <w:tab w:val="left" w:pos="1136"/>
          <w:tab w:val="right" w:leader="dot" w:pos="9056"/>
        </w:tabs>
        <w:rPr>
          <w:noProof/>
          <w:sz w:val="24"/>
          <w:lang w:eastAsia="ja-JP"/>
        </w:rPr>
      </w:pPr>
      <w:r>
        <w:rPr>
          <w:noProof/>
        </w:rPr>
        <w:t>4.3.1</w:t>
      </w:r>
      <w:r>
        <w:rPr>
          <w:noProof/>
          <w:sz w:val="24"/>
          <w:lang w:eastAsia="ja-JP"/>
        </w:rPr>
        <w:tab/>
      </w:r>
      <w:r>
        <w:rPr>
          <w:noProof/>
        </w:rPr>
        <w:t>Entwicklungen in den Konsumraten</w:t>
      </w:r>
      <w:r>
        <w:rPr>
          <w:noProof/>
        </w:rPr>
        <w:tab/>
      </w:r>
      <w:r>
        <w:rPr>
          <w:noProof/>
        </w:rPr>
        <w:fldChar w:fldCharType="begin"/>
      </w:r>
      <w:r>
        <w:rPr>
          <w:noProof/>
        </w:rPr>
        <w:instrText xml:space="preserve"> PAGEREF _Toc349300362 \h </w:instrText>
      </w:r>
      <w:r>
        <w:rPr>
          <w:noProof/>
        </w:rPr>
      </w:r>
      <w:r>
        <w:rPr>
          <w:noProof/>
        </w:rPr>
        <w:fldChar w:fldCharType="separate"/>
      </w:r>
      <w:r>
        <w:rPr>
          <w:noProof/>
        </w:rPr>
        <w:t>48</w:t>
      </w:r>
      <w:r>
        <w:rPr>
          <w:noProof/>
        </w:rPr>
        <w:fldChar w:fldCharType="end"/>
      </w:r>
    </w:p>
    <w:p w14:paraId="1E39012E" w14:textId="77777777" w:rsidR="00CA217E" w:rsidRDefault="00CA217E">
      <w:pPr>
        <w:pStyle w:val="Verzeichnis3"/>
        <w:tabs>
          <w:tab w:val="left" w:pos="1136"/>
          <w:tab w:val="right" w:leader="dot" w:pos="9056"/>
        </w:tabs>
        <w:rPr>
          <w:noProof/>
          <w:sz w:val="24"/>
          <w:lang w:eastAsia="ja-JP"/>
        </w:rPr>
      </w:pPr>
      <w:r>
        <w:rPr>
          <w:noProof/>
        </w:rPr>
        <w:t>4.3.2</w:t>
      </w:r>
      <w:r>
        <w:rPr>
          <w:noProof/>
          <w:sz w:val="24"/>
          <w:lang w:eastAsia="ja-JP"/>
        </w:rPr>
        <w:tab/>
      </w:r>
      <w:r>
        <w:rPr>
          <w:noProof/>
        </w:rPr>
        <w:t>Jugendliche Risikobeurteilungen eines Marihuana-Konsums „Ein Mal im Monat“</w:t>
      </w:r>
      <w:r>
        <w:rPr>
          <w:noProof/>
        </w:rPr>
        <w:tab/>
      </w:r>
      <w:r>
        <w:rPr>
          <w:noProof/>
        </w:rPr>
        <w:fldChar w:fldCharType="begin"/>
      </w:r>
      <w:r>
        <w:rPr>
          <w:noProof/>
        </w:rPr>
        <w:instrText xml:space="preserve"> PAGEREF _Toc349300363 \h </w:instrText>
      </w:r>
      <w:r>
        <w:rPr>
          <w:noProof/>
        </w:rPr>
      </w:r>
      <w:r>
        <w:rPr>
          <w:noProof/>
        </w:rPr>
        <w:fldChar w:fldCharType="separate"/>
      </w:r>
      <w:r>
        <w:rPr>
          <w:noProof/>
        </w:rPr>
        <w:t>51</w:t>
      </w:r>
      <w:r>
        <w:rPr>
          <w:noProof/>
        </w:rPr>
        <w:fldChar w:fldCharType="end"/>
      </w:r>
    </w:p>
    <w:p w14:paraId="0BEEF531" w14:textId="77777777" w:rsidR="00CA217E" w:rsidRDefault="00CA217E">
      <w:pPr>
        <w:pStyle w:val="Verzeichnis3"/>
        <w:tabs>
          <w:tab w:val="left" w:pos="1136"/>
          <w:tab w:val="right" w:leader="dot" w:pos="9056"/>
        </w:tabs>
        <w:rPr>
          <w:noProof/>
          <w:sz w:val="24"/>
          <w:lang w:eastAsia="ja-JP"/>
        </w:rPr>
      </w:pPr>
      <w:r>
        <w:rPr>
          <w:noProof/>
        </w:rPr>
        <w:t>4.3.1</w:t>
      </w:r>
      <w:r>
        <w:rPr>
          <w:noProof/>
          <w:sz w:val="24"/>
          <w:lang w:eastAsia="ja-JP"/>
        </w:rPr>
        <w:tab/>
      </w:r>
      <w:r>
        <w:rPr>
          <w:noProof/>
        </w:rPr>
        <w:t>Störungen in der Ausbildung von Jugendlichen</w:t>
      </w:r>
      <w:r>
        <w:rPr>
          <w:noProof/>
        </w:rPr>
        <w:tab/>
      </w:r>
      <w:r>
        <w:rPr>
          <w:noProof/>
        </w:rPr>
        <w:fldChar w:fldCharType="begin"/>
      </w:r>
      <w:r>
        <w:rPr>
          <w:noProof/>
        </w:rPr>
        <w:instrText xml:space="preserve"> PAGEREF _Toc349300364 \h </w:instrText>
      </w:r>
      <w:r>
        <w:rPr>
          <w:noProof/>
        </w:rPr>
      </w:r>
      <w:r>
        <w:rPr>
          <w:noProof/>
        </w:rPr>
        <w:fldChar w:fldCharType="separate"/>
      </w:r>
      <w:r>
        <w:rPr>
          <w:noProof/>
        </w:rPr>
        <w:t>51</w:t>
      </w:r>
      <w:r>
        <w:rPr>
          <w:noProof/>
        </w:rPr>
        <w:fldChar w:fldCharType="end"/>
      </w:r>
    </w:p>
    <w:p w14:paraId="6941041B" w14:textId="77777777" w:rsidR="00CA217E" w:rsidRDefault="00CA217E">
      <w:pPr>
        <w:pStyle w:val="Verzeichnis3"/>
        <w:tabs>
          <w:tab w:val="left" w:pos="1136"/>
          <w:tab w:val="right" w:leader="dot" w:pos="9056"/>
        </w:tabs>
        <w:rPr>
          <w:noProof/>
          <w:sz w:val="24"/>
          <w:lang w:eastAsia="ja-JP"/>
        </w:rPr>
      </w:pPr>
      <w:r>
        <w:rPr>
          <w:noProof/>
        </w:rPr>
        <w:t>4.3.1</w:t>
      </w:r>
      <w:r>
        <w:rPr>
          <w:noProof/>
          <w:sz w:val="24"/>
          <w:lang w:eastAsia="ja-JP"/>
        </w:rPr>
        <w:tab/>
      </w:r>
      <w:r>
        <w:rPr>
          <w:noProof/>
        </w:rPr>
        <w:t>Entwicklung von Fallzahlen zu „drogengefährdeten Kindern“</w:t>
      </w:r>
      <w:r>
        <w:rPr>
          <w:noProof/>
        </w:rPr>
        <w:tab/>
      </w:r>
      <w:r>
        <w:rPr>
          <w:noProof/>
        </w:rPr>
        <w:fldChar w:fldCharType="begin"/>
      </w:r>
      <w:r>
        <w:rPr>
          <w:noProof/>
        </w:rPr>
        <w:instrText xml:space="preserve"> PAGEREF _Toc349300365 \h </w:instrText>
      </w:r>
      <w:r>
        <w:rPr>
          <w:noProof/>
        </w:rPr>
      </w:r>
      <w:r>
        <w:rPr>
          <w:noProof/>
        </w:rPr>
        <w:fldChar w:fldCharType="separate"/>
      </w:r>
      <w:r>
        <w:rPr>
          <w:noProof/>
        </w:rPr>
        <w:t>54</w:t>
      </w:r>
      <w:r>
        <w:rPr>
          <w:noProof/>
        </w:rPr>
        <w:fldChar w:fldCharType="end"/>
      </w:r>
    </w:p>
    <w:p w14:paraId="7E477F8F" w14:textId="77777777" w:rsidR="00CA217E" w:rsidRDefault="00CA217E">
      <w:pPr>
        <w:pStyle w:val="Verzeichnis2"/>
        <w:tabs>
          <w:tab w:val="left" w:pos="749"/>
          <w:tab w:val="right" w:leader="dot" w:pos="9056"/>
        </w:tabs>
        <w:rPr>
          <w:noProof/>
          <w:sz w:val="24"/>
          <w:lang w:eastAsia="ja-JP"/>
        </w:rPr>
      </w:pPr>
      <w:r>
        <w:rPr>
          <w:noProof/>
        </w:rPr>
        <w:t>4.4</w:t>
      </w:r>
      <w:r>
        <w:rPr>
          <w:noProof/>
          <w:sz w:val="24"/>
          <w:lang w:eastAsia="ja-JP"/>
        </w:rPr>
        <w:tab/>
      </w:r>
      <w:r>
        <w:rPr>
          <w:noProof/>
        </w:rPr>
        <w:t>Das Beispiel Washington</w:t>
      </w:r>
      <w:r>
        <w:rPr>
          <w:noProof/>
        </w:rPr>
        <w:tab/>
      </w:r>
      <w:r>
        <w:rPr>
          <w:noProof/>
        </w:rPr>
        <w:fldChar w:fldCharType="begin"/>
      </w:r>
      <w:r>
        <w:rPr>
          <w:noProof/>
        </w:rPr>
        <w:instrText xml:space="preserve"> PAGEREF _Toc349300366 \h </w:instrText>
      </w:r>
      <w:r>
        <w:rPr>
          <w:noProof/>
        </w:rPr>
      </w:r>
      <w:r>
        <w:rPr>
          <w:noProof/>
        </w:rPr>
        <w:fldChar w:fldCharType="separate"/>
      </w:r>
      <w:r>
        <w:rPr>
          <w:noProof/>
        </w:rPr>
        <w:t>55</w:t>
      </w:r>
      <w:r>
        <w:rPr>
          <w:noProof/>
        </w:rPr>
        <w:fldChar w:fldCharType="end"/>
      </w:r>
    </w:p>
    <w:p w14:paraId="17F5858A" w14:textId="77777777" w:rsidR="00CA217E" w:rsidRDefault="00CA217E">
      <w:pPr>
        <w:pStyle w:val="Verzeichnis2"/>
        <w:tabs>
          <w:tab w:val="left" w:pos="749"/>
          <w:tab w:val="right" w:leader="dot" w:pos="9056"/>
        </w:tabs>
        <w:rPr>
          <w:noProof/>
          <w:sz w:val="24"/>
          <w:lang w:eastAsia="ja-JP"/>
        </w:rPr>
      </w:pPr>
      <w:r>
        <w:rPr>
          <w:noProof/>
        </w:rPr>
        <w:t>4.5</w:t>
      </w:r>
      <w:r>
        <w:rPr>
          <w:noProof/>
          <w:sz w:val="24"/>
          <w:lang w:eastAsia="ja-JP"/>
        </w:rPr>
        <w:tab/>
      </w:r>
      <w:r>
        <w:rPr>
          <w:noProof/>
        </w:rPr>
        <w:t>Drogenpolitische Schlussfolgerungen</w:t>
      </w:r>
      <w:r>
        <w:rPr>
          <w:noProof/>
        </w:rPr>
        <w:tab/>
      </w:r>
      <w:r>
        <w:rPr>
          <w:noProof/>
        </w:rPr>
        <w:fldChar w:fldCharType="begin"/>
      </w:r>
      <w:r>
        <w:rPr>
          <w:noProof/>
        </w:rPr>
        <w:instrText xml:space="preserve"> PAGEREF _Toc349300367 \h </w:instrText>
      </w:r>
      <w:r>
        <w:rPr>
          <w:noProof/>
        </w:rPr>
      </w:r>
      <w:r>
        <w:rPr>
          <w:noProof/>
        </w:rPr>
        <w:fldChar w:fldCharType="separate"/>
      </w:r>
      <w:r>
        <w:rPr>
          <w:noProof/>
        </w:rPr>
        <w:t>57</w:t>
      </w:r>
      <w:r>
        <w:rPr>
          <w:noProof/>
        </w:rPr>
        <w:fldChar w:fldCharType="end"/>
      </w:r>
    </w:p>
    <w:p w14:paraId="4110CAE3" w14:textId="77777777" w:rsidR="00CA217E" w:rsidRDefault="00CA217E">
      <w:pPr>
        <w:pStyle w:val="Verzeichnis2"/>
        <w:tabs>
          <w:tab w:val="right" w:leader="dot" w:pos="9056"/>
        </w:tabs>
        <w:rPr>
          <w:noProof/>
          <w:sz w:val="24"/>
          <w:lang w:eastAsia="ja-JP"/>
        </w:rPr>
      </w:pPr>
      <w:r>
        <w:rPr>
          <w:noProof/>
        </w:rPr>
        <w:t>Literatur</w:t>
      </w:r>
      <w:r>
        <w:rPr>
          <w:noProof/>
        </w:rPr>
        <w:tab/>
      </w:r>
      <w:r>
        <w:rPr>
          <w:noProof/>
        </w:rPr>
        <w:fldChar w:fldCharType="begin"/>
      </w:r>
      <w:r>
        <w:rPr>
          <w:noProof/>
        </w:rPr>
        <w:instrText xml:space="preserve"> PAGEREF _Toc349300368 \h </w:instrText>
      </w:r>
      <w:r>
        <w:rPr>
          <w:noProof/>
        </w:rPr>
      </w:r>
      <w:r>
        <w:rPr>
          <w:noProof/>
        </w:rPr>
        <w:fldChar w:fldCharType="separate"/>
      </w:r>
      <w:r>
        <w:rPr>
          <w:noProof/>
        </w:rPr>
        <w:t>59</w:t>
      </w:r>
      <w:r>
        <w:rPr>
          <w:noProof/>
        </w:rPr>
        <w:fldChar w:fldCharType="end"/>
      </w:r>
    </w:p>
    <w:p w14:paraId="3C443271" w14:textId="77777777" w:rsidR="00CA217E" w:rsidRDefault="00CA217E">
      <w:pPr>
        <w:pStyle w:val="Verzeichnis1"/>
        <w:rPr>
          <w:noProof/>
          <w:sz w:val="24"/>
          <w:lang w:eastAsia="ja-JP"/>
        </w:rPr>
      </w:pPr>
      <w:r>
        <w:rPr>
          <w:noProof/>
        </w:rPr>
        <w:t>5</w:t>
      </w:r>
      <w:r>
        <w:rPr>
          <w:noProof/>
          <w:sz w:val="24"/>
          <w:lang w:eastAsia="ja-JP"/>
        </w:rPr>
        <w:tab/>
      </w:r>
      <w:r>
        <w:rPr>
          <w:noProof/>
        </w:rPr>
        <w:t>Zum Einfluss von Regulierungsprozessen auf die Verkehrssicherheit</w:t>
      </w:r>
      <w:r>
        <w:rPr>
          <w:noProof/>
        </w:rPr>
        <w:tab/>
      </w:r>
      <w:r>
        <w:rPr>
          <w:noProof/>
        </w:rPr>
        <w:fldChar w:fldCharType="begin"/>
      </w:r>
      <w:r>
        <w:rPr>
          <w:noProof/>
        </w:rPr>
        <w:instrText xml:space="preserve"> PAGEREF _Toc349300369 \h </w:instrText>
      </w:r>
      <w:r>
        <w:rPr>
          <w:noProof/>
        </w:rPr>
      </w:r>
      <w:r>
        <w:rPr>
          <w:noProof/>
        </w:rPr>
        <w:fldChar w:fldCharType="separate"/>
      </w:r>
      <w:r>
        <w:rPr>
          <w:noProof/>
        </w:rPr>
        <w:t>62</w:t>
      </w:r>
      <w:r>
        <w:rPr>
          <w:noProof/>
        </w:rPr>
        <w:fldChar w:fldCharType="end"/>
      </w:r>
    </w:p>
    <w:p w14:paraId="1F4FF9EF" w14:textId="77777777" w:rsidR="00CA217E" w:rsidRDefault="00CA217E">
      <w:pPr>
        <w:pStyle w:val="Verzeichnis2"/>
        <w:tabs>
          <w:tab w:val="left" w:pos="749"/>
          <w:tab w:val="right" w:leader="dot" w:pos="9056"/>
        </w:tabs>
        <w:rPr>
          <w:noProof/>
          <w:sz w:val="24"/>
          <w:lang w:eastAsia="ja-JP"/>
        </w:rPr>
      </w:pPr>
      <w:r>
        <w:rPr>
          <w:noProof/>
        </w:rPr>
        <w:t>5.1</w:t>
      </w:r>
      <w:r>
        <w:rPr>
          <w:noProof/>
          <w:sz w:val="24"/>
          <w:lang w:eastAsia="ja-JP"/>
        </w:rPr>
        <w:tab/>
      </w:r>
      <w:r>
        <w:rPr>
          <w:noProof/>
        </w:rPr>
        <w:t>Die drogenpolitischen Grundannahmen</w:t>
      </w:r>
      <w:r>
        <w:rPr>
          <w:noProof/>
        </w:rPr>
        <w:tab/>
      </w:r>
      <w:r>
        <w:rPr>
          <w:noProof/>
        </w:rPr>
        <w:fldChar w:fldCharType="begin"/>
      </w:r>
      <w:r>
        <w:rPr>
          <w:noProof/>
        </w:rPr>
        <w:instrText xml:space="preserve"> PAGEREF _Toc349300370 \h </w:instrText>
      </w:r>
      <w:r>
        <w:rPr>
          <w:noProof/>
        </w:rPr>
      </w:r>
      <w:r>
        <w:rPr>
          <w:noProof/>
        </w:rPr>
        <w:fldChar w:fldCharType="separate"/>
      </w:r>
      <w:r>
        <w:rPr>
          <w:noProof/>
        </w:rPr>
        <w:t>62</w:t>
      </w:r>
      <w:r>
        <w:rPr>
          <w:noProof/>
        </w:rPr>
        <w:fldChar w:fldCharType="end"/>
      </w:r>
    </w:p>
    <w:p w14:paraId="5A341A58" w14:textId="77777777" w:rsidR="00CA217E" w:rsidRDefault="00CA217E">
      <w:pPr>
        <w:pStyle w:val="Verzeichnis2"/>
        <w:tabs>
          <w:tab w:val="left" w:pos="749"/>
          <w:tab w:val="right" w:leader="dot" w:pos="9056"/>
        </w:tabs>
        <w:rPr>
          <w:noProof/>
          <w:sz w:val="24"/>
          <w:lang w:eastAsia="ja-JP"/>
        </w:rPr>
      </w:pPr>
      <w:r>
        <w:rPr>
          <w:noProof/>
        </w:rPr>
        <w:t>5.2</w:t>
      </w:r>
      <w:r>
        <w:rPr>
          <w:noProof/>
          <w:sz w:val="24"/>
          <w:lang w:eastAsia="ja-JP"/>
        </w:rPr>
        <w:tab/>
      </w:r>
      <w:r>
        <w:rPr>
          <w:noProof/>
        </w:rPr>
        <w:t>Zu den vorliegenden US-amerikanischen Daten</w:t>
      </w:r>
      <w:r>
        <w:rPr>
          <w:noProof/>
        </w:rPr>
        <w:tab/>
      </w:r>
      <w:r>
        <w:rPr>
          <w:noProof/>
        </w:rPr>
        <w:fldChar w:fldCharType="begin"/>
      </w:r>
      <w:r>
        <w:rPr>
          <w:noProof/>
        </w:rPr>
        <w:instrText xml:space="preserve"> PAGEREF _Toc349300371 \h </w:instrText>
      </w:r>
      <w:r>
        <w:rPr>
          <w:noProof/>
        </w:rPr>
      </w:r>
      <w:r>
        <w:rPr>
          <w:noProof/>
        </w:rPr>
        <w:fldChar w:fldCharType="separate"/>
      </w:r>
      <w:r>
        <w:rPr>
          <w:noProof/>
        </w:rPr>
        <w:t>62</w:t>
      </w:r>
      <w:r>
        <w:rPr>
          <w:noProof/>
        </w:rPr>
        <w:fldChar w:fldCharType="end"/>
      </w:r>
    </w:p>
    <w:p w14:paraId="1BE3779D" w14:textId="77777777" w:rsidR="00CA217E" w:rsidRDefault="00CA217E">
      <w:pPr>
        <w:pStyle w:val="Verzeichnis2"/>
        <w:tabs>
          <w:tab w:val="left" w:pos="749"/>
          <w:tab w:val="right" w:leader="dot" w:pos="9056"/>
        </w:tabs>
        <w:rPr>
          <w:noProof/>
          <w:sz w:val="24"/>
          <w:lang w:eastAsia="ja-JP"/>
        </w:rPr>
      </w:pPr>
      <w:r>
        <w:rPr>
          <w:noProof/>
        </w:rPr>
        <w:t>5.3</w:t>
      </w:r>
      <w:r>
        <w:rPr>
          <w:noProof/>
          <w:sz w:val="24"/>
          <w:lang w:eastAsia="ja-JP"/>
        </w:rPr>
        <w:tab/>
      </w:r>
      <w:r>
        <w:rPr>
          <w:noProof/>
        </w:rPr>
        <w:t>Das Beispiel Washington</w:t>
      </w:r>
      <w:r>
        <w:rPr>
          <w:noProof/>
        </w:rPr>
        <w:tab/>
      </w:r>
      <w:r>
        <w:rPr>
          <w:noProof/>
        </w:rPr>
        <w:fldChar w:fldCharType="begin"/>
      </w:r>
      <w:r>
        <w:rPr>
          <w:noProof/>
        </w:rPr>
        <w:instrText xml:space="preserve"> PAGEREF _Toc349300372 \h </w:instrText>
      </w:r>
      <w:r>
        <w:rPr>
          <w:noProof/>
        </w:rPr>
      </w:r>
      <w:r>
        <w:rPr>
          <w:noProof/>
        </w:rPr>
        <w:fldChar w:fldCharType="separate"/>
      </w:r>
      <w:r>
        <w:rPr>
          <w:noProof/>
        </w:rPr>
        <w:t>63</w:t>
      </w:r>
      <w:r>
        <w:rPr>
          <w:noProof/>
        </w:rPr>
        <w:fldChar w:fldCharType="end"/>
      </w:r>
    </w:p>
    <w:p w14:paraId="00708D1E" w14:textId="77777777" w:rsidR="00CA217E" w:rsidRDefault="00CA217E">
      <w:pPr>
        <w:pStyle w:val="Verzeichnis2"/>
        <w:tabs>
          <w:tab w:val="left" w:pos="749"/>
          <w:tab w:val="right" w:leader="dot" w:pos="9056"/>
        </w:tabs>
        <w:rPr>
          <w:noProof/>
          <w:sz w:val="24"/>
          <w:lang w:eastAsia="ja-JP"/>
        </w:rPr>
      </w:pPr>
      <w:r>
        <w:rPr>
          <w:noProof/>
        </w:rPr>
        <w:t>5.4</w:t>
      </w:r>
      <w:r>
        <w:rPr>
          <w:noProof/>
          <w:sz w:val="24"/>
          <w:lang w:eastAsia="ja-JP"/>
        </w:rPr>
        <w:tab/>
      </w:r>
      <w:r>
        <w:rPr>
          <w:noProof/>
        </w:rPr>
        <w:t>Das Beispiel Colorado</w:t>
      </w:r>
      <w:r>
        <w:rPr>
          <w:noProof/>
        </w:rPr>
        <w:tab/>
      </w:r>
      <w:r>
        <w:rPr>
          <w:noProof/>
        </w:rPr>
        <w:fldChar w:fldCharType="begin"/>
      </w:r>
      <w:r>
        <w:rPr>
          <w:noProof/>
        </w:rPr>
        <w:instrText xml:space="preserve"> PAGEREF _Toc349300373 \h </w:instrText>
      </w:r>
      <w:r>
        <w:rPr>
          <w:noProof/>
        </w:rPr>
      </w:r>
      <w:r>
        <w:rPr>
          <w:noProof/>
        </w:rPr>
        <w:fldChar w:fldCharType="separate"/>
      </w:r>
      <w:r>
        <w:rPr>
          <w:noProof/>
        </w:rPr>
        <w:t>69</w:t>
      </w:r>
      <w:r>
        <w:rPr>
          <w:noProof/>
        </w:rPr>
        <w:fldChar w:fldCharType="end"/>
      </w:r>
    </w:p>
    <w:p w14:paraId="78E26B85" w14:textId="77777777" w:rsidR="00CA217E" w:rsidRDefault="00CA217E">
      <w:pPr>
        <w:pStyle w:val="Verzeichnis2"/>
        <w:tabs>
          <w:tab w:val="left" w:pos="749"/>
          <w:tab w:val="right" w:leader="dot" w:pos="9056"/>
        </w:tabs>
        <w:rPr>
          <w:noProof/>
          <w:sz w:val="24"/>
          <w:lang w:eastAsia="ja-JP"/>
        </w:rPr>
      </w:pPr>
      <w:r>
        <w:rPr>
          <w:noProof/>
        </w:rPr>
        <w:t>5.5</w:t>
      </w:r>
      <w:r>
        <w:rPr>
          <w:noProof/>
          <w:sz w:val="24"/>
          <w:lang w:eastAsia="ja-JP"/>
        </w:rPr>
        <w:tab/>
      </w:r>
      <w:r>
        <w:rPr>
          <w:noProof/>
        </w:rPr>
        <w:t>Drogenpolitische Schlussfolgerungen</w:t>
      </w:r>
      <w:r>
        <w:rPr>
          <w:noProof/>
        </w:rPr>
        <w:tab/>
      </w:r>
      <w:r>
        <w:rPr>
          <w:noProof/>
        </w:rPr>
        <w:fldChar w:fldCharType="begin"/>
      </w:r>
      <w:r>
        <w:rPr>
          <w:noProof/>
        </w:rPr>
        <w:instrText xml:space="preserve"> PAGEREF _Toc349300374 \h </w:instrText>
      </w:r>
      <w:r>
        <w:rPr>
          <w:noProof/>
        </w:rPr>
      </w:r>
      <w:r>
        <w:rPr>
          <w:noProof/>
        </w:rPr>
        <w:fldChar w:fldCharType="separate"/>
      </w:r>
      <w:r>
        <w:rPr>
          <w:noProof/>
        </w:rPr>
        <w:t>75</w:t>
      </w:r>
      <w:r>
        <w:rPr>
          <w:noProof/>
        </w:rPr>
        <w:fldChar w:fldCharType="end"/>
      </w:r>
    </w:p>
    <w:p w14:paraId="2143D34B" w14:textId="77777777" w:rsidR="00CA217E" w:rsidRDefault="00CA217E">
      <w:pPr>
        <w:pStyle w:val="Verzeichnis2"/>
        <w:tabs>
          <w:tab w:val="right" w:leader="dot" w:pos="9056"/>
        </w:tabs>
        <w:rPr>
          <w:noProof/>
          <w:sz w:val="24"/>
          <w:lang w:eastAsia="ja-JP"/>
        </w:rPr>
      </w:pPr>
      <w:r>
        <w:rPr>
          <w:noProof/>
        </w:rPr>
        <w:t>Literatur</w:t>
      </w:r>
      <w:r>
        <w:rPr>
          <w:noProof/>
        </w:rPr>
        <w:tab/>
      </w:r>
      <w:r>
        <w:rPr>
          <w:noProof/>
        </w:rPr>
        <w:fldChar w:fldCharType="begin"/>
      </w:r>
      <w:r>
        <w:rPr>
          <w:noProof/>
        </w:rPr>
        <w:instrText xml:space="preserve"> PAGEREF _Toc349300375 \h </w:instrText>
      </w:r>
      <w:r>
        <w:rPr>
          <w:noProof/>
        </w:rPr>
      </w:r>
      <w:r>
        <w:rPr>
          <w:noProof/>
        </w:rPr>
        <w:fldChar w:fldCharType="separate"/>
      </w:r>
      <w:r>
        <w:rPr>
          <w:noProof/>
        </w:rPr>
        <w:t>76</w:t>
      </w:r>
      <w:r>
        <w:rPr>
          <w:noProof/>
        </w:rPr>
        <w:fldChar w:fldCharType="end"/>
      </w:r>
    </w:p>
    <w:p w14:paraId="420D9A92" w14:textId="77777777" w:rsidR="00CA217E" w:rsidRDefault="00CA217E">
      <w:pPr>
        <w:pStyle w:val="Verzeichnis1"/>
        <w:rPr>
          <w:noProof/>
          <w:sz w:val="24"/>
          <w:lang w:eastAsia="ja-JP"/>
        </w:rPr>
      </w:pPr>
      <w:r>
        <w:rPr>
          <w:noProof/>
        </w:rPr>
        <w:t>6</w:t>
      </w:r>
      <w:r>
        <w:rPr>
          <w:noProof/>
          <w:sz w:val="24"/>
          <w:lang w:eastAsia="ja-JP"/>
        </w:rPr>
        <w:tab/>
      </w:r>
      <w:r>
        <w:rPr>
          <w:noProof/>
        </w:rPr>
        <w:t>Drogenpolitische Neuregelungen und die gesundheitliche Lage der Bevölkerung</w:t>
      </w:r>
      <w:r>
        <w:rPr>
          <w:noProof/>
        </w:rPr>
        <w:tab/>
      </w:r>
      <w:r>
        <w:rPr>
          <w:noProof/>
        </w:rPr>
        <w:fldChar w:fldCharType="begin"/>
      </w:r>
      <w:r>
        <w:rPr>
          <w:noProof/>
        </w:rPr>
        <w:instrText xml:space="preserve"> PAGEREF _Toc349300376 \h </w:instrText>
      </w:r>
      <w:r>
        <w:rPr>
          <w:noProof/>
        </w:rPr>
      </w:r>
      <w:r>
        <w:rPr>
          <w:noProof/>
        </w:rPr>
        <w:fldChar w:fldCharType="separate"/>
      </w:r>
      <w:r>
        <w:rPr>
          <w:noProof/>
        </w:rPr>
        <w:t>79</w:t>
      </w:r>
      <w:r>
        <w:rPr>
          <w:noProof/>
        </w:rPr>
        <w:fldChar w:fldCharType="end"/>
      </w:r>
    </w:p>
    <w:p w14:paraId="1EEFA0F8" w14:textId="77777777" w:rsidR="00CA217E" w:rsidRDefault="00CA217E">
      <w:pPr>
        <w:pStyle w:val="Verzeichnis2"/>
        <w:tabs>
          <w:tab w:val="left" w:pos="749"/>
          <w:tab w:val="right" w:leader="dot" w:pos="9056"/>
        </w:tabs>
        <w:rPr>
          <w:noProof/>
          <w:sz w:val="24"/>
          <w:lang w:eastAsia="ja-JP"/>
        </w:rPr>
      </w:pPr>
      <w:r>
        <w:rPr>
          <w:noProof/>
        </w:rPr>
        <w:t>6.1</w:t>
      </w:r>
      <w:r>
        <w:rPr>
          <w:noProof/>
          <w:sz w:val="24"/>
          <w:lang w:eastAsia="ja-JP"/>
        </w:rPr>
        <w:tab/>
      </w:r>
      <w:r>
        <w:rPr>
          <w:noProof/>
        </w:rPr>
        <w:t>Drogenpolitische Grundannahmen</w:t>
      </w:r>
      <w:r>
        <w:rPr>
          <w:noProof/>
        </w:rPr>
        <w:tab/>
      </w:r>
      <w:r>
        <w:rPr>
          <w:noProof/>
        </w:rPr>
        <w:fldChar w:fldCharType="begin"/>
      </w:r>
      <w:r>
        <w:rPr>
          <w:noProof/>
        </w:rPr>
        <w:instrText xml:space="preserve"> PAGEREF _Toc349300377 \h </w:instrText>
      </w:r>
      <w:r>
        <w:rPr>
          <w:noProof/>
        </w:rPr>
      </w:r>
      <w:r>
        <w:rPr>
          <w:noProof/>
        </w:rPr>
        <w:fldChar w:fldCharType="separate"/>
      </w:r>
      <w:r>
        <w:rPr>
          <w:noProof/>
        </w:rPr>
        <w:t>79</w:t>
      </w:r>
      <w:r>
        <w:rPr>
          <w:noProof/>
        </w:rPr>
        <w:fldChar w:fldCharType="end"/>
      </w:r>
    </w:p>
    <w:p w14:paraId="69FEF9F8" w14:textId="77777777" w:rsidR="00CA217E" w:rsidRDefault="00CA217E">
      <w:pPr>
        <w:pStyle w:val="Verzeichnis2"/>
        <w:tabs>
          <w:tab w:val="left" w:pos="749"/>
          <w:tab w:val="right" w:leader="dot" w:pos="9056"/>
        </w:tabs>
        <w:rPr>
          <w:noProof/>
          <w:sz w:val="24"/>
          <w:lang w:eastAsia="ja-JP"/>
        </w:rPr>
      </w:pPr>
      <w:r>
        <w:rPr>
          <w:noProof/>
        </w:rPr>
        <w:t>6.2</w:t>
      </w:r>
      <w:r>
        <w:rPr>
          <w:noProof/>
          <w:sz w:val="24"/>
          <w:lang w:eastAsia="ja-JP"/>
        </w:rPr>
        <w:tab/>
      </w:r>
      <w:r>
        <w:rPr>
          <w:noProof/>
        </w:rPr>
        <w:t>Entwicklung der Behandlungsnachfrage bei problematischem Marihuana-Konsum</w:t>
      </w:r>
      <w:r>
        <w:rPr>
          <w:noProof/>
        </w:rPr>
        <w:tab/>
      </w:r>
      <w:r>
        <w:rPr>
          <w:noProof/>
        </w:rPr>
        <w:fldChar w:fldCharType="begin"/>
      </w:r>
      <w:r>
        <w:rPr>
          <w:noProof/>
        </w:rPr>
        <w:instrText xml:space="preserve"> PAGEREF _Toc349300378 \h </w:instrText>
      </w:r>
      <w:r>
        <w:rPr>
          <w:noProof/>
        </w:rPr>
      </w:r>
      <w:r>
        <w:rPr>
          <w:noProof/>
        </w:rPr>
        <w:fldChar w:fldCharType="separate"/>
      </w:r>
      <w:r>
        <w:rPr>
          <w:noProof/>
        </w:rPr>
        <w:t>79</w:t>
      </w:r>
      <w:r>
        <w:rPr>
          <w:noProof/>
        </w:rPr>
        <w:fldChar w:fldCharType="end"/>
      </w:r>
    </w:p>
    <w:p w14:paraId="75C8A1EA" w14:textId="77777777" w:rsidR="00CA217E" w:rsidRDefault="00CA217E">
      <w:pPr>
        <w:pStyle w:val="Verzeichnis3"/>
        <w:tabs>
          <w:tab w:val="left" w:pos="1136"/>
          <w:tab w:val="right" w:leader="dot" w:pos="9056"/>
        </w:tabs>
        <w:rPr>
          <w:noProof/>
          <w:sz w:val="24"/>
          <w:lang w:eastAsia="ja-JP"/>
        </w:rPr>
      </w:pPr>
      <w:r>
        <w:rPr>
          <w:noProof/>
        </w:rPr>
        <w:t>6.2.1</w:t>
      </w:r>
      <w:r>
        <w:rPr>
          <w:noProof/>
          <w:sz w:val="24"/>
          <w:lang w:eastAsia="ja-JP"/>
        </w:rPr>
        <w:tab/>
      </w:r>
      <w:r>
        <w:rPr>
          <w:noProof/>
        </w:rPr>
        <w:t>Die allgemeine Situation in Bezug auf Suchtkrankenbehandlungen in den USA</w:t>
      </w:r>
      <w:r>
        <w:rPr>
          <w:noProof/>
        </w:rPr>
        <w:tab/>
      </w:r>
      <w:r>
        <w:rPr>
          <w:noProof/>
        </w:rPr>
        <w:fldChar w:fldCharType="begin"/>
      </w:r>
      <w:r>
        <w:rPr>
          <w:noProof/>
        </w:rPr>
        <w:instrText xml:space="preserve"> PAGEREF _Toc349300379 \h </w:instrText>
      </w:r>
      <w:r>
        <w:rPr>
          <w:noProof/>
        </w:rPr>
      </w:r>
      <w:r>
        <w:rPr>
          <w:noProof/>
        </w:rPr>
        <w:fldChar w:fldCharType="separate"/>
      </w:r>
      <w:r>
        <w:rPr>
          <w:noProof/>
        </w:rPr>
        <w:t>79</w:t>
      </w:r>
      <w:r>
        <w:rPr>
          <w:noProof/>
        </w:rPr>
        <w:fldChar w:fldCharType="end"/>
      </w:r>
    </w:p>
    <w:p w14:paraId="2CF893C2" w14:textId="77777777" w:rsidR="00CA217E" w:rsidRDefault="00CA217E">
      <w:pPr>
        <w:pStyle w:val="Verzeichnis3"/>
        <w:tabs>
          <w:tab w:val="left" w:pos="1136"/>
          <w:tab w:val="right" w:leader="dot" w:pos="9056"/>
        </w:tabs>
        <w:rPr>
          <w:noProof/>
          <w:sz w:val="24"/>
          <w:lang w:eastAsia="ja-JP"/>
        </w:rPr>
      </w:pPr>
      <w:r>
        <w:rPr>
          <w:noProof/>
        </w:rPr>
        <w:t>6.2.2</w:t>
      </w:r>
      <w:r>
        <w:rPr>
          <w:noProof/>
          <w:sz w:val="24"/>
          <w:lang w:eastAsia="ja-JP"/>
        </w:rPr>
        <w:tab/>
      </w:r>
      <w:r>
        <w:rPr>
          <w:noProof/>
        </w:rPr>
        <w:t>Marihuana als gesundheitliches Problem eher nachrangig</w:t>
      </w:r>
      <w:r>
        <w:rPr>
          <w:noProof/>
        </w:rPr>
        <w:tab/>
      </w:r>
      <w:r>
        <w:rPr>
          <w:noProof/>
        </w:rPr>
        <w:fldChar w:fldCharType="begin"/>
      </w:r>
      <w:r>
        <w:rPr>
          <w:noProof/>
        </w:rPr>
        <w:instrText xml:space="preserve"> PAGEREF _Toc349300380 \h </w:instrText>
      </w:r>
      <w:r>
        <w:rPr>
          <w:noProof/>
        </w:rPr>
      </w:r>
      <w:r>
        <w:rPr>
          <w:noProof/>
        </w:rPr>
        <w:fldChar w:fldCharType="separate"/>
      </w:r>
      <w:r>
        <w:rPr>
          <w:noProof/>
        </w:rPr>
        <w:t>80</w:t>
      </w:r>
      <w:r>
        <w:rPr>
          <w:noProof/>
        </w:rPr>
        <w:fldChar w:fldCharType="end"/>
      </w:r>
    </w:p>
    <w:p w14:paraId="574935CB" w14:textId="77777777" w:rsidR="00CA217E" w:rsidRDefault="00CA217E">
      <w:pPr>
        <w:pStyle w:val="Verzeichnis3"/>
        <w:tabs>
          <w:tab w:val="left" w:pos="1136"/>
          <w:tab w:val="right" w:leader="dot" w:pos="9056"/>
        </w:tabs>
        <w:rPr>
          <w:noProof/>
          <w:sz w:val="24"/>
          <w:lang w:eastAsia="ja-JP"/>
        </w:rPr>
      </w:pPr>
      <w:r>
        <w:rPr>
          <w:noProof/>
        </w:rPr>
        <w:t>6.2.3</w:t>
      </w:r>
      <w:r>
        <w:rPr>
          <w:noProof/>
          <w:sz w:val="24"/>
          <w:lang w:eastAsia="ja-JP"/>
        </w:rPr>
        <w:tab/>
      </w:r>
      <w:r>
        <w:rPr>
          <w:noProof/>
        </w:rPr>
        <w:t>Das Beispiel Colorado</w:t>
      </w:r>
      <w:r>
        <w:rPr>
          <w:noProof/>
        </w:rPr>
        <w:tab/>
      </w:r>
      <w:r>
        <w:rPr>
          <w:noProof/>
        </w:rPr>
        <w:fldChar w:fldCharType="begin"/>
      </w:r>
      <w:r>
        <w:rPr>
          <w:noProof/>
        </w:rPr>
        <w:instrText xml:space="preserve"> PAGEREF _Toc349300381 \h </w:instrText>
      </w:r>
      <w:r>
        <w:rPr>
          <w:noProof/>
        </w:rPr>
      </w:r>
      <w:r>
        <w:rPr>
          <w:noProof/>
        </w:rPr>
        <w:fldChar w:fldCharType="separate"/>
      </w:r>
      <w:r>
        <w:rPr>
          <w:noProof/>
        </w:rPr>
        <w:t>84</w:t>
      </w:r>
      <w:r>
        <w:rPr>
          <w:noProof/>
        </w:rPr>
        <w:fldChar w:fldCharType="end"/>
      </w:r>
    </w:p>
    <w:p w14:paraId="2EA18F0E" w14:textId="77777777" w:rsidR="00CA217E" w:rsidRDefault="00CA217E">
      <w:pPr>
        <w:pStyle w:val="Verzeichnis3"/>
        <w:tabs>
          <w:tab w:val="left" w:pos="1136"/>
          <w:tab w:val="right" w:leader="dot" w:pos="9056"/>
        </w:tabs>
        <w:rPr>
          <w:noProof/>
          <w:sz w:val="24"/>
          <w:lang w:eastAsia="ja-JP"/>
        </w:rPr>
      </w:pPr>
      <w:r>
        <w:rPr>
          <w:noProof/>
        </w:rPr>
        <w:t>6.2.4</w:t>
      </w:r>
      <w:r>
        <w:rPr>
          <w:noProof/>
          <w:sz w:val="24"/>
          <w:lang w:eastAsia="ja-JP"/>
        </w:rPr>
        <w:tab/>
      </w:r>
      <w:r>
        <w:rPr>
          <w:noProof/>
        </w:rPr>
        <w:t>Das Beispiel Washington</w:t>
      </w:r>
      <w:r>
        <w:rPr>
          <w:noProof/>
        </w:rPr>
        <w:tab/>
      </w:r>
      <w:r>
        <w:rPr>
          <w:noProof/>
        </w:rPr>
        <w:fldChar w:fldCharType="begin"/>
      </w:r>
      <w:r>
        <w:rPr>
          <w:noProof/>
        </w:rPr>
        <w:instrText xml:space="preserve"> PAGEREF _Toc349300382 \h </w:instrText>
      </w:r>
      <w:r>
        <w:rPr>
          <w:noProof/>
        </w:rPr>
      </w:r>
      <w:r>
        <w:rPr>
          <w:noProof/>
        </w:rPr>
        <w:fldChar w:fldCharType="separate"/>
      </w:r>
      <w:r>
        <w:rPr>
          <w:noProof/>
        </w:rPr>
        <w:t>86</w:t>
      </w:r>
      <w:r>
        <w:rPr>
          <w:noProof/>
        </w:rPr>
        <w:fldChar w:fldCharType="end"/>
      </w:r>
    </w:p>
    <w:p w14:paraId="06F9CB8E" w14:textId="77777777" w:rsidR="00CA217E" w:rsidRDefault="00CA217E">
      <w:pPr>
        <w:pStyle w:val="Verzeichnis3"/>
        <w:tabs>
          <w:tab w:val="left" w:pos="1136"/>
          <w:tab w:val="right" w:leader="dot" w:pos="9056"/>
        </w:tabs>
        <w:rPr>
          <w:noProof/>
          <w:sz w:val="24"/>
          <w:lang w:eastAsia="ja-JP"/>
        </w:rPr>
      </w:pPr>
      <w:r>
        <w:rPr>
          <w:noProof/>
        </w:rPr>
        <w:t>6.2.5</w:t>
      </w:r>
      <w:r>
        <w:rPr>
          <w:noProof/>
          <w:sz w:val="24"/>
          <w:lang w:eastAsia="ja-JP"/>
        </w:rPr>
        <w:tab/>
      </w:r>
      <w:r>
        <w:rPr>
          <w:noProof/>
        </w:rPr>
        <w:t>Drogenpolitische Schlussfolgerungen</w:t>
      </w:r>
      <w:r>
        <w:rPr>
          <w:noProof/>
        </w:rPr>
        <w:tab/>
      </w:r>
      <w:r>
        <w:rPr>
          <w:noProof/>
        </w:rPr>
        <w:fldChar w:fldCharType="begin"/>
      </w:r>
      <w:r>
        <w:rPr>
          <w:noProof/>
        </w:rPr>
        <w:instrText xml:space="preserve"> PAGEREF _Toc349300383 \h </w:instrText>
      </w:r>
      <w:r>
        <w:rPr>
          <w:noProof/>
        </w:rPr>
      </w:r>
      <w:r>
        <w:rPr>
          <w:noProof/>
        </w:rPr>
        <w:fldChar w:fldCharType="separate"/>
      </w:r>
      <w:r>
        <w:rPr>
          <w:noProof/>
        </w:rPr>
        <w:t>86</w:t>
      </w:r>
      <w:r>
        <w:rPr>
          <w:noProof/>
        </w:rPr>
        <w:fldChar w:fldCharType="end"/>
      </w:r>
    </w:p>
    <w:p w14:paraId="3802B44B" w14:textId="77777777" w:rsidR="00CA217E" w:rsidRDefault="00CA217E">
      <w:pPr>
        <w:pStyle w:val="Verzeichnis2"/>
        <w:tabs>
          <w:tab w:val="left" w:pos="749"/>
          <w:tab w:val="right" w:leader="dot" w:pos="9056"/>
        </w:tabs>
        <w:rPr>
          <w:noProof/>
          <w:sz w:val="24"/>
          <w:lang w:eastAsia="ja-JP"/>
        </w:rPr>
      </w:pPr>
      <w:r>
        <w:rPr>
          <w:noProof/>
        </w:rPr>
        <w:t>6.3</w:t>
      </w:r>
      <w:r>
        <w:rPr>
          <w:noProof/>
          <w:sz w:val="24"/>
          <w:lang w:eastAsia="ja-JP"/>
        </w:rPr>
        <w:tab/>
      </w:r>
      <w:r>
        <w:rPr>
          <w:noProof/>
        </w:rPr>
        <w:t>Zur Entwicklung gesundheitlicher Krisen in Zusammenhang mit Marihuana-Konsum</w:t>
      </w:r>
      <w:r>
        <w:rPr>
          <w:noProof/>
        </w:rPr>
        <w:tab/>
      </w:r>
      <w:r>
        <w:rPr>
          <w:noProof/>
        </w:rPr>
        <w:fldChar w:fldCharType="begin"/>
      </w:r>
      <w:r>
        <w:rPr>
          <w:noProof/>
        </w:rPr>
        <w:instrText xml:space="preserve"> PAGEREF _Toc349300384 \h </w:instrText>
      </w:r>
      <w:r>
        <w:rPr>
          <w:noProof/>
        </w:rPr>
      </w:r>
      <w:r>
        <w:rPr>
          <w:noProof/>
        </w:rPr>
        <w:fldChar w:fldCharType="separate"/>
      </w:r>
      <w:r>
        <w:rPr>
          <w:noProof/>
        </w:rPr>
        <w:t>87</w:t>
      </w:r>
      <w:r>
        <w:rPr>
          <w:noProof/>
        </w:rPr>
        <w:fldChar w:fldCharType="end"/>
      </w:r>
    </w:p>
    <w:p w14:paraId="5ACB7371" w14:textId="77777777" w:rsidR="00CA217E" w:rsidRDefault="00CA217E">
      <w:pPr>
        <w:pStyle w:val="Verzeichnis3"/>
        <w:tabs>
          <w:tab w:val="left" w:pos="1136"/>
          <w:tab w:val="right" w:leader="dot" w:pos="9056"/>
        </w:tabs>
        <w:rPr>
          <w:noProof/>
          <w:sz w:val="24"/>
          <w:lang w:eastAsia="ja-JP"/>
        </w:rPr>
      </w:pPr>
      <w:r w:rsidRPr="00FB775D">
        <w:rPr>
          <w:noProof/>
        </w:rPr>
        <w:t>6.3.1</w:t>
      </w:r>
      <w:r>
        <w:rPr>
          <w:noProof/>
          <w:sz w:val="24"/>
          <w:lang w:eastAsia="ja-JP"/>
        </w:rPr>
        <w:tab/>
      </w:r>
      <w:r w:rsidRPr="00FB775D">
        <w:rPr>
          <w:noProof/>
        </w:rPr>
        <w:t>Zur amerikanischen Datenlage</w:t>
      </w:r>
      <w:r>
        <w:rPr>
          <w:noProof/>
        </w:rPr>
        <w:tab/>
      </w:r>
      <w:r>
        <w:rPr>
          <w:noProof/>
        </w:rPr>
        <w:fldChar w:fldCharType="begin"/>
      </w:r>
      <w:r>
        <w:rPr>
          <w:noProof/>
        </w:rPr>
        <w:instrText xml:space="preserve"> PAGEREF _Toc349300385 \h </w:instrText>
      </w:r>
      <w:r>
        <w:rPr>
          <w:noProof/>
        </w:rPr>
      </w:r>
      <w:r>
        <w:rPr>
          <w:noProof/>
        </w:rPr>
        <w:fldChar w:fldCharType="separate"/>
      </w:r>
      <w:r>
        <w:rPr>
          <w:noProof/>
        </w:rPr>
        <w:t>87</w:t>
      </w:r>
      <w:r>
        <w:rPr>
          <w:noProof/>
        </w:rPr>
        <w:fldChar w:fldCharType="end"/>
      </w:r>
    </w:p>
    <w:p w14:paraId="4A1899DB" w14:textId="77777777" w:rsidR="00CA217E" w:rsidRDefault="00CA217E">
      <w:pPr>
        <w:pStyle w:val="Verzeichnis3"/>
        <w:tabs>
          <w:tab w:val="left" w:pos="1136"/>
          <w:tab w:val="right" w:leader="dot" w:pos="9056"/>
        </w:tabs>
        <w:rPr>
          <w:noProof/>
          <w:sz w:val="24"/>
          <w:lang w:eastAsia="ja-JP"/>
        </w:rPr>
      </w:pPr>
      <w:r w:rsidRPr="00FB775D">
        <w:rPr>
          <w:noProof/>
        </w:rPr>
        <w:t>6.3.2</w:t>
      </w:r>
      <w:r>
        <w:rPr>
          <w:noProof/>
          <w:sz w:val="24"/>
          <w:lang w:eastAsia="ja-JP"/>
        </w:rPr>
        <w:tab/>
      </w:r>
      <w:r w:rsidRPr="00FB775D">
        <w:rPr>
          <w:noProof/>
        </w:rPr>
        <w:t>Das Beispiel Washington</w:t>
      </w:r>
      <w:r>
        <w:rPr>
          <w:noProof/>
        </w:rPr>
        <w:tab/>
      </w:r>
      <w:r>
        <w:rPr>
          <w:noProof/>
        </w:rPr>
        <w:fldChar w:fldCharType="begin"/>
      </w:r>
      <w:r>
        <w:rPr>
          <w:noProof/>
        </w:rPr>
        <w:instrText xml:space="preserve"> PAGEREF _Toc349300386 \h </w:instrText>
      </w:r>
      <w:r>
        <w:rPr>
          <w:noProof/>
        </w:rPr>
      </w:r>
      <w:r>
        <w:rPr>
          <w:noProof/>
        </w:rPr>
        <w:fldChar w:fldCharType="separate"/>
      </w:r>
      <w:r>
        <w:rPr>
          <w:noProof/>
        </w:rPr>
        <w:t>88</w:t>
      </w:r>
      <w:r>
        <w:rPr>
          <w:noProof/>
        </w:rPr>
        <w:fldChar w:fldCharType="end"/>
      </w:r>
    </w:p>
    <w:p w14:paraId="2CD33E4D" w14:textId="77777777" w:rsidR="00CA217E" w:rsidRDefault="00CA217E">
      <w:pPr>
        <w:pStyle w:val="Verzeichnis3"/>
        <w:tabs>
          <w:tab w:val="left" w:pos="1136"/>
          <w:tab w:val="right" w:leader="dot" w:pos="9056"/>
        </w:tabs>
        <w:rPr>
          <w:noProof/>
          <w:sz w:val="24"/>
          <w:lang w:eastAsia="ja-JP"/>
        </w:rPr>
      </w:pPr>
      <w:r>
        <w:rPr>
          <w:noProof/>
        </w:rPr>
        <w:t>6.3.3</w:t>
      </w:r>
      <w:r>
        <w:rPr>
          <w:noProof/>
          <w:sz w:val="24"/>
          <w:lang w:eastAsia="ja-JP"/>
        </w:rPr>
        <w:tab/>
      </w:r>
      <w:r>
        <w:rPr>
          <w:noProof/>
        </w:rPr>
        <w:t>Das Beispiel Colorado</w:t>
      </w:r>
      <w:r>
        <w:rPr>
          <w:noProof/>
        </w:rPr>
        <w:tab/>
      </w:r>
      <w:r>
        <w:rPr>
          <w:noProof/>
        </w:rPr>
        <w:fldChar w:fldCharType="begin"/>
      </w:r>
      <w:r>
        <w:rPr>
          <w:noProof/>
        </w:rPr>
        <w:instrText xml:space="preserve"> PAGEREF _Toc349300387 \h </w:instrText>
      </w:r>
      <w:r>
        <w:rPr>
          <w:noProof/>
        </w:rPr>
      </w:r>
      <w:r>
        <w:rPr>
          <w:noProof/>
        </w:rPr>
        <w:fldChar w:fldCharType="separate"/>
      </w:r>
      <w:r>
        <w:rPr>
          <w:noProof/>
        </w:rPr>
        <w:t>89</w:t>
      </w:r>
      <w:r>
        <w:rPr>
          <w:noProof/>
        </w:rPr>
        <w:fldChar w:fldCharType="end"/>
      </w:r>
    </w:p>
    <w:p w14:paraId="3F09DE59" w14:textId="77777777" w:rsidR="00CA217E" w:rsidRDefault="00CA217E">
      <w:pPr>
        <w:pStyle w:val="Verzeichnis3"/>
        <w:tabs>
          <w:tab w:val="left" w:pos="1136"/>
          <w:tab w:val="right" w:leader="dot" w:pos="9056"/>
        </w:tabs>
        <w:rPr>
          <w:noProof/>
          <w:sz w:val="24"/>
          <w:lang w:eastAsia="ja-JP"/>
        </w:rPr>
      </w:pPr>
      <w:r>
        <w:rPr>
          <w:noProof/>
        </w:rPr>
        <w:t>6.3.4</w:t>
      </w:r>
      <w:r>
        <w:rPr>
          <w:noProof/>
          <w:sz w:val="24"/>
          <w:lang w:eastAsia="ja-JP"/>
        </w:rPr>
        <w:tab/>
      </w:r>
      <w:r>
        <w:rPr>
          <w:noProof/>
        </w:rPr>
        <w:t>Drogenpolitische Schlussfolgerungen</w:t>
      </w:r>
      <w:r>
        <w:rPr>
          <w:noProof/>
        </w:rPr>
        <w:tab/>
      </w:r>
      <w:r>
        <w:rPr>
          <w:noProof/>
        </w:rPr>
        <w:fldChar w:fldCharType="begin"/>
      </w:r>
      <w:r>
        <w:rPr>
          <w:noProof/>
        </w:rPr>
        <w:instrText xml:space="preserve"> PAGEREF _Toc349300388 \h </w:instrText>
      </w:r>
      <w:r>
        <w:rPr>
          <w:noProof/>
        </w:rPr>
      </w:r>
      <w:r>
        <w:rPr>
          <w:noProof/>
        </w:rPr>
        <w:fldChar w:fldCharType="separate"/>
      </w:r>
      <w:r>
        <w:rPr>
          <w:noProof/>
        </w:rPr>
        <w:t>90</w:t>
      </w:r>
      <w:r>
        <w:rPr>
          <w:noProof/>
        </w:rPr>
        <w:fldChar w:fldCharType="end"/>
      </w:r>
    </w:p>
    <w:p w14:paraId="78A3D605" w14:textId="77777777" w:rsidR="00CA217E" w:rsidRDefault="00CA217E">
      <w:pPr>
        <w:pStyle w:val="Verzeichnis2"/>
        <w:tabs>
          <w:tab w:val="right" w:leader="dot" w:pos="9056"/>
        </w:tabs>
        <w:rPr>
          <w:noProof/>
          <w:sz w:val="24"/>
          <w:lang w:eastAsia="ja-JP"/>
        </w:rPr>
      </w:pPr>
      <w:r>
        <w:rPr>
          <w:noProof/>
        </w:rPr>
        <w:t>Literatur</w:t>
      </w:r>
      <w:r>
        <w:rPr>
          <w:noProof/>
        </w:rPr>
        <w:tab/>
      </w:r>
      <w:r>
        <w:rPr>
          <w:noProof/>
        </w:rPr>
        <w:fldChar w:fldCharType="begin"/>
      </w:r>
      <w:r>
        <w:rPr>
          <w:noProof/>
        </w:rPr>
        <w:instrText xml:space="preserve"> PAGEREF _Toc349300389 \h </w:instrText>
      </w:r>
      <w:r>
        <w:rPr>
          <w:noProof/>
        </w:rPr>
      </w:r>
      <w:r>
        <w:rPr>
          <w:noProof/>
        </w:rPr>
        <w:fldChar w:fldCharType="separate"/>
      </w:r>
      <w:r>
        <w:rPr>
          <w:noProof/>
        </w:rPr>
        <w:t>91</w:t>
      </w:r>
      <w:r>
        <w:rPr>
          <w:noProof/>
        </w:rPr>
        <w:fldChar w:fldCharType="end"/>
      </w:r>
    </w:p>
    <w:p w14:paraId="405667EA" w14:textId="77777777" w:rsidR="00CA217E" w:rsidRDefault="00CA217E">
      <w:pPr>
        <w:pStyle w:val="Verzeichnis1"/>
        <w:rPr>
          <w:noProof/>
          <w:sz w:val="24"/>
          <w:lang w:eastAsia="ja-JP"/>
        </w:rPr>
      </w:pPr>
      <w:r>
        <w:rPr>
          <w:noProof/>
        </w:rPr>
        <w:t>7</w:t>
      </w:r>
      <w:r>
        <w:rPr>
          <w:noProof/>
          <w:sz w:val="24"/>
          <w:lang w:eastAsia="ja-JP"/>
        </w:rPr>
        <w:tab/>
      </w:r>
      <w:r>
        <w:rPr>
          <w:noProof/>
        </w:rPr>
        <w:t>Drogenpolitische Neuregelungen und die Entwicklung der Kriminalität</w:t>
      </w:r>
      <w:r>
        <w:rPr>
          <w:noProof/>
        </w:rPr>
        <w:tab/>
      </w:r>
      <w:r>
        <w:rPr>
          <w:noProof/>
        </w:rPr>
        <w:fldChar w:fldCharType="begin"/>
      </w:r>
      <w:r>
        <w:rPr>
          <w:noProof/>
        </w:rPr>
        <w:instrText xml:space="preserve"> PAGEREF _Toc349300390 \h </w:instrText>
      </w:r>
      <w:r>
        <w:rPr>
          <w:noProof/>
        </w:rPr>
      </w:r>
      <w:r>
        <w:rPr>
          <w:noProof/>
        </w:rPr>
        <w:fldChar w:fldCharType="separate"/>
      </w:r>
      <w:r>
        <w:rPr>
          <w:noProof/>
        </w:rPr>
        <w:t>92</w:t>
      </w:r>
      <w:r>
        <w:rPr>
          <w:noProof/>
        </w:rPr>
        <w:fldChar w:fldCharType="end"/>
      </w:r>
    </w:p>
    <w:p w14:paraId="4DDD5DA4" w14:textId="77777777" w:rsidR="00CA217E" w:rsidRDefault="00CA217E">
      <w:pPr>
        <w:pStyle w:val="Verzeichnis2"/>
        <w:tabs>
          <w:tab w:val="left" w:pos="749"/>
          <w:tab w:val="right" w:leader="dot" w:pos="9056"/>
        </w:tabs>
        <w:rPr>
          <w:noProof/>
          <w:sz w:val="24"/>
          <w:lang w:eastAsia="ja-JP"/>
        </w:rPr>
      </w:pPr>
      <w:r>
        <w:rPr>
          <w:noProof/>
        </w:rPr>
        <w:t>7.1</w:t>
      </w:r>
      <w:r>
        <w:rPr>
          <w:noProof/>
          <w:sz w:val="24"/>
          <w:lang w:eastAsia="ja-JP"/>
        </w:rPr>
        <w:tab/>
      </w:r>
      <w:r>
        <w:rPr>
          <w:noProof/>
        </w:rPr>
        <w:t>Die drogenpolitischen Grundannahmen</w:t>
      </w:r>
      <w:r>
        <w:rPr>
          <w:noProof/>
        </w:rPr>
        <w:tab/>
      </w:r>
      <w:r>
        <w:rPr>
          <w:noProof/>
        </w:rPr>
        <w:fldChar w:fldCharType="begin"/>
      </w:r>
      <w:r>
        <w:rPr>
          <w:noProof/>
        </w:rPr>
        <w:instrText xml:space="preserve"> PAGEREF _Toc349300391 \h </w:instrText>
      </w:r>
      <w:r>
        <w:rPr>
          <w:noProof/>
        </w:rPr>
      </w:r>
      <w:r>
        <w:rPr>
          <w:noProof/>
        </w:rPr>
        <w:fldChar w:fldCharType="separate"/>
      </w:r>
      <w:r>
        <w:rPr>
          <w:noProof/>
        </w:rPr>
        <w:t>92</w:t>
      </w:r>
      <w:r>
        <w:rPr>
          <w:noProof/>
        </w:rPr>
        <w:fldChar w:fldCharType="end"/>
      </w:r>
    </w:p>
    <w:p w14:paraId="405E2A0E" w14:textId="77777777" w:rsidR="00CA217E" w:rsidRDefault="00CA217E">
      <w:pPr>
        <w:pStyle w:val="Verzeichnis2"/>
        <w:tabs>
          <w:tab w:val="left" w:pos="749"/>
          <w:tab w:val="right" w:leader="dot" w:pos="9056"/>
        </w:tabs>
        <w:rPr>
          <w:noProof/>
          <w:sz w:val="24"/>
          <w:lang w:eastAsia="ja-JP"/>
        </w:rPr>
      </w:pPr>
      <w:r>
        <w:rPr>
          <w:noProof/>
        </w:rPr>
        <w:t>7.2</w:t>
      </w:r>
      <w:r>
        <w:rPr>
          <w:noProof/>
          <w:sz w:val="24"/>
          <w:lang w:eastAsia="ja-JP"/>
        </w:rPr>
        <w:tab/>
      </w:r>
      <w:r>
        <w:rPr>
          <w:noProof/>
        </w:rPr>
        <w:t>Regulierungsprozesse: Radical is the Shift!</w:t>
      </w:r>
      <w:r>
        <w:rPr>
          <w:noProof/>
        </w:rPr>
        <w:tab/>
      </w:r>
      <w:r>
        <w:rPr>
          <w:noProof/>
        </w:rPr>
        <w:fldChar w:fldCharType="begin"/>
      </w:r>
      <w:r>
        <w:rPr>
          <w:noProof/>
        </w:rPr>
        <w:instrText xml:space="preserve"> PAGEREF _Toc349300392 \h </w:instrText>
      </w:r>
      <w:r>
        <w:rPr>
          <w:noProof/>
        </w:rPr>
      </w:r>
      <w:r>
        <w:rPr>
          <w:noProof/>
        </w:rPr>
        <w:fldChar w:fldCharType="separate"/>
      </w:r>
      <w:r>
        <w:rPr>
          <w:noProof/>
        </w:rPr>
        <w:t>92</w:t>
      </w:r>
      <w:r>
        <w:rPr>
          <w:noProof/>
        </w:rPr>
        <w:fldChar w:fldCharType="end"/>
      </w:r>
    </w:p>
    <w:p w14:paraId="77802DE1" w14:textId="77777777" w:rsidR="00CA217E" w:rsidRDefault="00CA217E">
      <w:pPr>
        <w:pStyle w:val="Verzeichnis2"/>
        <w:tabs>
          <w:tab w:val="left" w:pos="749"/>
          <w:tab w:val="right" w:leader="dot" w:pos="9056"/>
        </w:tabs>
        <w:rPr>
          <w:noProof/>
          <w:sz w:val="24"/>
          <w:lang w:eastAsia="ja-JP"/>
        </w:rPr>
      </w:pPr>
      <w:r>
        <w:rPr>
          <w:noProof/>
        </w:rPr>
        <w:t>7.3</w:t>
      </w:r>
      <w:r>
        <w:rPr>
          <w:noProof/>
          <w:sz w:val="24"/>
          <w:lang w:eastAsia="ja-JP"/>
        </w:rPr>
        <w:tab/>
      </w:r>
      <w:r>
        <w:rPr>
          <w:noProof/>
        </w:rPr>
        <w:t>Das Beispiel Washington</w:t>
      </w:r>
      <w:r>
        <w:rPr>
          <w:noProof/>
        </w:rPr>
        <w:tab/>
      </w:r>
      <w:r>
        <w:rPr>
          <w:noProof/>
        </w:rPr>
        <w:fldChar w:fldCharType="begin"/>
      </w:r>
      <w:r>
        <w:rPr>
          <w:noProof/>
        </w:rPr>
        <w:instrText xml:space="preserve"> PAGEREF _Toc349300393 \h </w:instrText>
      </w:r>
      <w:r>
        <w:rPr>
          <w:noProof/>
        </w:rPr>
      </w:r>
      <w:r>
        <w:rPr>
          <w:noProof/>
        </w:rPr>
        <w:fldChar w:fldCharType="separate"/>
      </w:r>
      <w:r>
        <w:rPr>
          <w:noProof/>
        </w:rPr>
        <w:t>93</w:t>
      </w:r>
      <w:r>
        <w:rPr>
          <w:noProof/>
        </w:rPr>
        <w:fldChar w:fldCharType="end"/>
      </w:r>
    </w:p>
    <w:p w14:paraId="0B6D05EE" w14:textId="77777777" w:rsidR="00CA217E" w:rsidRDefault="00CA217E">
      <w:pPr>
        <w:pStyle w:val="Verzeichnis2"/>
        <w:tabs>
          <w:tab w:val="left" w:pos="749"/>
          <w:tab w:val="right" w:leader="dot" w:pos="9056"/>
        </w:tabs>
        <w:rPr>
          <w:noProof/>
          <w:sz w:val="24"/>
          <w:lang w:eastAsia="ja-JP"/>
        </w:rPr>
      </w:pPr>
      <w:r>
        <w:rPr>
          <w:noProof/>
        </w:rPr>
        <w:t>7.4</w:t>
      </w:r>
      <w:r>
        <w:rPr>
          <w:noProof/>
          <w:sz w:val="24"/>
          <w:lang w:eastAsia="ja-JP"/>
        </w:rPr>
        <w:tab/>
      </w:r>
      <w:r>
        <w:rPr>
          <w:noProof/>
        </w:rPr>
        <w:t>Das Beispiel Colorado</w:t>
      </w:r>
      <w:r>
        <w:rPr>
          <w:noProof/>
        </w:rPr>
        <w:tab/>
      </w:r>
      <w:r>
        <w:rPr>
          <w:noProof/>
        </w:rPr>
        <w:fldChar w:fldCharType="begin"/>
      </w:r>
      <w:r>
        <w:rPr>
          <w:noProof/>
        </w:rPr>
        <w:instrText xml:space="preserve"> PAGEREF _Toc349300394 \h </w:instrText>
      </w:r>
      <w:r>
        <w:rPr>
          <w:noProof/>
        </w:rPr>
      </w:r>
      <w:r>
        <w:rPr>
          <w:noProof/>
        </w:rPr>
        <w:fldChar w:fldCharType="separate"/>
      </w:r>
      <w:r>
        <w:rPr>
          <w:noProof/>
        </w:rPr>
        <w:t>94</w:t>
      </w:r>
      <w:r>
        <w:rPr>
          <w:noProof/>
        </w:rPr>
        <w:fldChar w:fldCharType="end"/>
      </w:r>
    </w:p>
    <w:p w14:paraId="7089323B" w14:textId="77777777" w:rsidR="00CA217E" w:rsidRDefault="00CA217E">
      <w:pPr>
        <w:pStyle w:val="Verzeichnis2"/>
        <w:tabs>
          <w:tab w:val="left" w:pos="749"/>
          <w:tab w:val="right" w:leader="dot" w:pos="9056"/>
        </w:tabs>
        <w:rPr>
          <w:noProof/>
          <w:sz w:val="24"/>
          <w:lang w:eastAsia="ja-JP"/>
        </w:rPr>
      </w:pPr>
      <w:r>
        <w:rPr>
          <w:noProof/>
        </w:rPr>
        <w:t>7.5</w:t>
      </w:r>
      <w:r>
        <w:rPr>
          <w:noProof/>
          <w:sz w:val="24"/>
          <w:lang w:eastAsia="ja-JP"/>
        </w:rPr>
        <w:tab/>
      </w:r>
      <w:r>
        <w:rPr>
          <w:noProof/>
        </w:rPr>
        <w:t>Drogenpolitische Schlussfolgerungen</w:t>
      </w:r>
      <w:r>
        <w:rPr>
          <w:noProof/>
        </w:rPr>
        <w:tab/>
      </w:r>
      <w:r>
        <w:rPr>
          <w:noProof/>
        </w:rPr>
        <w:fldChar w:fldCharType="begin"/>
      </w:r>
      <w:r>
        <w:rPr>
          <w:noProof/>
        </w:rPr>
        <w:instrText xml:space="preserve"> PAGEREF _Toc349300395 \h </w:instrText>
      </w:r>
      <w:r>
        <w:rPr>
          <w:noProof/>
        </w:rPr>
      </w:r>
      <w:r>
        <w:rPr>
          <w:noProof/>
        </w:rPr>
        <w:fldChar w:fldCharType="separate"/>
      </w:r>
      <w:r>
        <w:rPr>
          <w:noProof/>
        </w:rPr>
        <w:t>96</w:t>
      </w:r>
      <w:r>
        <w:rPr>
          <w:noProof/>
        </w:rPr>
        <w:fldChar w:fldCharType="end"/>
      </w:r>
    </w:p>
    <w:p w14:paraId="5A58F92B" w14:textId="77777777" w:rsidR="00CA217E" w:rsidRDefault="00CA217E">
      <w:pPr>
        <w:pStyle w:val="Verzeichnis2"/>
        <w:tabs>
          <w:tab w:val="right" w:leader="dot" w:pos="9056"/>
        </w:tabs>
        <w:rPr>
          <w:noProof/>
          <w:sz w:val="24"/>
          <w:lang w:eastAsia="ja-JP"/>
        </w:rPr>
      </w:pPr>
      <w:r>
        <w:rPr>
          <w:noProof/>
        </w:rPr>
        <w:t>Literatur</w:t>
      </w:r>
      <w:r>
        <w:rPr>
          <w:noProof/>
        </w:rPr>
        <w:tab/>
      </w:r>
      <w:r>
        <w:rPr>
          <w:noProof/>
        </w:rPr>
        <w:fldChar w:fldCharType="begin"/>
      </w:r>
      <w:r>
        <w:rPr>
          <w:noProof/>
        </w:rPr>
        <w:instrText xml:space="preserve"> PAGEREF _Toc349300396 \h </w:instrText>
      </w:r>
      <w:r>
        <w:rPr>
          <w:noProof/>
        </w:rPr>
      </w:r>
      <w:r>
        <w:rPr>
          <w:noProof/>
        </w:rPr>
        <w:fldChar w:fldCharType="separate"/>
      </w:r>
      <w:r>
        <w:rPr>
          <w:noProof/>
        </w:rPr>
        <w:t>97</w:t>
      </w:r>
      <w:r>
        <w:rPr>
          <w:noProof/>
        </w:rPr>
        <w:fldChar w:fldCharType="end"/>
      </w:r>
    </w:p>
    <w:p w14:paraId="225BCAA7" w14:textId="77777777" w:rsidR="00CA217E" w:rsidRDefault="00CA217E">
      <w:pPr>
        <w:pStyle w:val="Verzeichnis1"/>
        <w:rPr>
          <w:noProof/>
          <w:sz w:val="24"/>
          <w:lang w:eastAsia="ja-JP"/>
        </w:rPr>
      </w:pPr>
      <w:r>
        <w:rPr>
          <w:noProof/>
        </w:rPr>
        <w:t>8</w:t>
      </w:r>
      <w:r>
        <w:rPr>
          <w:noProof/>
          <w:sz w:val="24"/>
          <w:lang w:eastAsia="ja-JP"/>
        </w:rPr>
        <w:tab/>
      </w:r>
      <w:r>
        <w:rPr>
          <w:noProof/>
        </w:rPr>
        <w:t>Ausblick</w:t>
      </w:r>
      <w:r>
        <w:rPr>
          <w:noProof/>
        </w:rPr>
        <w:tab/>
      </w:r>
      <w:r>
        <w:rPr>
          <w:noProof/>
        </w:rPr>
        <w:fldChar w:fldCharType="begin"/>
      </w:r>
      <w:r>
        <w:rPr>
          <w:noProof/>
        </w:rPr>
        <w:instrText xml:space="preserve"> PAGEREF _Toc349300397 \h </w:instrText>
      </w:r>
      <w:r>
        <w:rPr>
          <w:noProof/>
        </w:rPr>
      </w:r>
      <w:r>
        <w:rPr>
          <w:noProof/>
        </w:rPr>
        <w:fldChar w:fldCharType="separate"/>
      </w:r>
      <w:r>
        <w:rPr>
          <w:noProof/>
        </w:rPr>
        <w:t>98</w:t>
      </w:r>
      <w:r>
        <w:rPr>
          <w:noProof/>
        </w:rPr>
        <w:fldChar w:fldCharType="end"/>
      </w:r>
    </w:p>
    <w:p w14:paraId="367A2EF4" w14:textId="77777777" w:rsidR="00CA217E" w:rsidRDefault="00CA217E">
      <w:pPr>
        <w:pStyle w:val="Verzeichnis2"/>
        <w:tabs>
          <w:tab w:val="left" w:pos="749"/>
          <w:tab w:val="right" w:leader="dot" w:pos="9056"/>
        </w:tabs>
        <w:rPr>
          <w:noProof/>
          <w:sz w:val="24"/>
          <w:lang w:eastAsia="ja-JP"/>
        </w:rPr>
      </w:pPr>
      <w:r>
        <w:rPr>
          <w:noProof/>
        </w:rPr>
        <w:t>8.1</w:t>
      </w:r>
      <w:r>
        <w:rPr>
          <w:noProof/>
          <w:sz w:val="24"/>
          <w:lang w:eastAsia="ja-JP"/>
        </w:rPr>
        <w:tab/>
      </w:r>
      <w:r>
        <w:rPr>
          <w:noProof/>
        </w:rPr>
        <w:t>Die Marihuana-Industrie: David gegen Goliath?</w:t>
      </w:r>
      <w:r>
        <w:rPr>
          <w:noProof/>
        </w:rPr>
        <w:tab/>
      </w:r>
      <w:r>
        <w:rPr>
          <w:noProof/>
        </w:rPr>
        <w:fldChar w:fldCharType="begin"/>
      </w:r>
      <w:r>
        <w:rPr>
          <w:noProof/>
        </w:rPr>
        <w:instrText xml:space="preserve"> PAGEREF _Toc349300398 \h </w:instrText>
      </w:r>
      <w:r>
        <w:rPr>
          <w:noProof/>
        </w:rPr>
      </w:r>
      <w:r>
        <w:rPr>
          <w:noProof/>
        </w:rPr>
        <w:fldChar w:fldCharType="separate"/>
      </w:r>
      <w:r>
        <w:rPr>
          <w:noProof/>
        </w:rPr>
        <w:t>98</w:t>
      </w:r>
      <w:r>
        <w:rPr>
          <w:noProof/>
        </w:rPr>
        <w:fldChar w:fldCharType="end"/>
      </w:r>
    </w:p>
    <w:p w14:paraId="086808A8" w14:textId="77777777" w:rsidR="00CA217E" w:rsidRDefault="00CA217E">
      <w:pPr>
        <w:pStyle w:val="Verzeichnis2"/>
        <w:tabs>
          <w:tab w:val="left" w:pos="749"/>
          <w:tab w:val="right" w:leader="dot" w:pos="9056"/>
        </w:tabs>
        <w:rPr>
          <w:noProof/>
          <w:sz w:val="24"/>
          <w:lang w:eastAsia="ja-JP"/>
        </w:rPr>
      </w:pPr>
      <w:r>
        <w:rPr>
          <w:noProof/>
        </w:rPr>
        <w:t>8.2</w:t>
      </w:r>
      <w:r>
        <w:rPr>
          <w:noProof/>
          <w:sz w:val="24"/>
          <w:lang w:eastAsia="ja-JP"/>
        </w:rPr>
        <w:tab/>
      </w:r>
      <w:r>
        <w:rPr>
          <w:noProof/>
        </w:rPr>
        <w:t>Fazit: Wir schaffen das auch!</w:t>
      </w:r>
      <w:r>
        <w:rPr>
          <w:noProof/>
        </w:rPr>
        <w:tab/>
      </w:r>
      <w:r>
        <w:rPr>
          <w:noProof/>
        </w:rPr>
        <w:fldChar w:fldCharType="begin"/>
      </w:r>
      <w:r>
        <w:rPr>
          <w:noProof/>
        </w:rPr>
        <w:instrText xml:space="preserve"> PAGEREF _Toc349300399 \h </w:instrText>
      </w:r>
      <w:r>
        <w:rPr>
          <w:noProof/>
        </w:rPr>
      </w:r>
      <w:r>
        <w:rPr>
          <w:noProof/>
        </w:rPr>
        <w:fldChar w:fldCharType="separate"/>
      </w:r>
      <w:r>
        <w:rPr>
          <w:noProof/>
        </w:rPr>
        <w:t>99</w:t>
      </w:r>
      <w:r>
        <w:rPr>
          <w:noProof/>
        </w:rPr>
        <w:fldChar w:fldCharType="end"/>
      </w:r>
    </w:p>
    <w:p w14:paraId="1A20C97C" w14:textId="77777777" w:rsidR="00CA217E" w:rsidRDefault="00CA217E">
      <w:pPr>
        <w:pStyle w:val="Verzeichnis2"/>
        <w:tabs>
          <w:tab w:val="right" w:leader="dot" w:pos="9056"/>
        </w:tabs>
        <w:rPr>
          <w:noProof/>
          <w:sz w:val="24"/>
          <w:lang w:eastAsia="ja-JP"/>
        </w:rPr>
      </w:pPr>
      <w:r>
        <w:rPr>
          <w:noProof/>
        </w:rPr>
        <w:t>Literatur</w:t>
      </w:r>
      <w:r>
        <w:rPr>
          <w:noProof/>
        </w:rPr>
        <w:tab/>
      </w:r>
      <w:r>
        <w:rPr>
          <w:noProof/>
        </w:rPr>
        <w:fldChar w:fldCharType="begin"/>
      </w:r>
      <w:r>
        <w:rPr>
          <w:noProof/>
        </w:rPr>
        <w:instrText xml:space="preserve"> PAGEREF _Toc349300400 \h </w:instrText>
      </w:r>
      <w:r>
        <w:rPr>
          <w:noProof/>
        </w:rPr>
      </w:r>
      <w:r>
        <w:rPr>
          <w:noProof/>
        </w:rPr>
        <w:fldChar w:fldCharType="separate"/>
      </w:r>
      <w:r>
        <w:rPr>
          <w:noProof/>
        </w:rPr>
        <w:t>100</w:t>
      </w:r>
      <w:r>
        <w:rPr>
          <w:noProof/>
        </w:rPr>
        <w:fldChar w:fldCharType="end"/>
      </w:r>
    </w:p>
    <w:p w14:paraId="59A14777" w14:textId="77777777" w:rsidR="0097654D" w:rsidRDefault="0097654D" w:rsidP="009D7629">
      <w:pPr>
        <w:spacing w:line="276" w:lineRule="auto"/>
        <w:jc w:val="both"/>
        <w:rPr>
          <w:b/>
          <w:szCs w:val="22"/>
        </w:rPr>
        <w:sectPr w:rsidR="0097654D" w:rsidSect="008901F7">
          <w:pgSz w:w="11900" w:h="16840"/>
          <w:pgMar w:top="1417" w:right="1417" w:bottom="1134" w:left="1417" w:header="708" w:footer="708" w:gutter="0"/>
          <w:cols w:space="708"/>
          <w:docGrid w:linePitch="360"/>
        </w:sectPr>
      </w:pPr>
      <w:r>
        <w:rPr>
          <w:b/>
          <w:szCs w:val="22"/>
        </w:rPr>
        <w:fldChar w:fldCharType="end"/>
      </w:r>
    </w:p>
    <w:p w14:paraId="0C198F49" w14:textId="3E3242B3" w:rsidR="008901F7" w:rsidRDefault="00AF5540" w:rsidP="00AF5540">
      <w:pPr>
        <w:spacing w:line="276" w:lineRule="auto"/>
        <w:jc w:val="center"/>
        <w:rPr>
          <w:b/>
          <w:sz w:val="28"/>
          <w:szCs w:val="28"/>
        </w:rPr>
      </w:pPr>
      <w:r>
        <w:rPr>
          <w:b/>
          <w:sz w:val="28"/>
          <w:szCs w:val="28"/>
        </w:rPr>
        <w:t xml:space="preserve">Der Prozess der Umsetzung der </w:t>
      </w:r>
      <w:r w:rsidR="00D01097">
        <w:rPr>
          <w:b/>
          <w:sz w:val="28"/>
          <w:szCs w:val="28"/>
        </w:rPr>
        <w:t>Regulierung</w:t>
      </w:r>
      <w:r>
        <w:rPr>
          <w:b/>
          <w:sz w:val="28"/>
          <w:szCs w:val="28"/>
        </w:rPr>
        <w:t xml:space="preserve"> von </w:t>
      </w:r>
      <w:r w:rsidRPr="000236B7">
        <w:rPr>
          <w:b/>
          <w:sz w:val="28"/>
          <w:szCs w:val="28"/>
        </w:rPr>
        <w:t>Marihuana in den USA</w:t>
      </w:r>
      <w:r>
        <w:rPr>
          <w:b/>
          <w:sz w:val="28"/>
          <w:szCs w:val="28"/>
        </w:rPr>
        <w:t xml:space="preserve">: </w:t>
      </w:r>
      <w:r w:rsidR="001C1EE3" w:rsidRPr="000236B7">
        <w:rPr>
          <w:b/>
          <w:sz w:val="28"/>
          <w:szCs w:val="28"/>
        </w:rPr>
        <w:t>Effekte und Nebeneffekte</w:t>
      </w:r>
      <w:r>
        <w:rPr>
          <w:b/>
          <w:sz w:val="28"/>
          <w:szCs w:val="28"/>
        </w:rPr>
        <w:t>.</w:t>
      </w:r>
      <w:r w:rsidR="001C1EE3" w:rsidRPr="000236B7">
        <w:rPr>
          <w:b/>
          <w:sz w:val="28"/>
          <w:szCs w:val="28"/>
        </w:rPr>
        <w:t xml:space="preserve"> </w:t>
      </w:r>
      <w:r w:rsidR="00DD165C">
        <w:rPr>
          <w:b/>
          <w:sz w:val="28"/>
          <w:szCs w:val="28"/>
        </w:rPr>
        <w:t xml:space="preserve">Stand </w:t>
      </w:r>
      <w:r w:rsidR="00761F41" w:rsidRPr="000236B7">
        <w:rPr>
          <w:b/>
          <w:sz w:val="28"/>
          <w:szCs w:val="28"/>
        </w:rPr>
        <w:t>Herbst 2016</w:t>
      </w:r>
    </w:p>
    <w:p w14:paraId="2D890888" w14:textId="2232C5C5" w:rsidR="00FD1963" w:rsidRPr="00FD1963" w:rsidRDefault="00FD1963" w:rsidP="00FD1963">
      <w:pPr>
        <w:pStyle w:val="berschrift1"/>
        <w:spacing w:line="276" w:lineRule="auto"/>
        <w:jc w:val="both"/>
        <w:rPr>
          <w:szCs w:val="22"/>
        </w:rPr>
      </w:pPr>
      <w:bookmarkStart w:id="0" w:name="_Toc349300331"/>
      <w:r w:rsidRPr="00FD1963">
        <w:rPr>
          <w:szCs w:val="22"/>
        </w:rPr>
        <w:t>Ein paar Spots zu den Entwicklungen bis 2016</w:t>
      </w:r>
      <w:r w:rsidR="00227607">
        <w:rPr>
          <w:szCs w:val="22"/>
        </w:rPr>
        <w:t>:</w:t>
      </w:r>
      <w:r w:rsidR="00227607" w:rsidRPr="00227607">
        <w:t xml:space="preserve"> </w:t>
      </w:r>
      <w:r w:rsidR="006B7750">
        <w:t>Z</w:t>
      </w:r>
      <w:r w:rsidR="00227607">
        <w:t>u den Ergebnissen</w:t>
      </w:r>
      <w:r w:rsidR="006B7750">
        <w:t xml:space="preserve"> im Überblick</w:t>
      </w:r>
      <w:bookmarkEnd w:id="0"/>
    </w:p>
    <w:p w14:paraId="7D8167F9" w14:textId="77777777" w:rsidR="00FD1963" w:rsidRPr="00B30F9D" w:rsidRDefault="00FD1963" w:rsidP="00FD1963">
      <w:pPr>
        <w:pStyle w:val="berschrift2"/>
      </w:pPr>
      <w:bookmarkStart w:id="1" w:name="_Toc349300332"/>
      <w:r w:rsidRPr="00B30F9D">
        <w:t>Die Umsetzung von Regulierungsmodellen – ein tiefgreifender sozialer Prozess</w:t>
      </w:r>
      <w:bookmarkEnd w:id="1"/>
    </w:p>
    <w:p w14:paraId="687EAC39" w14:textId="676D7B79" w:rsidR="00FD1963" w:rsidRDefault="00FD1963" w:rsidP="00FD1963">
      <w:pPr>
        <w:spacing w:line="276" w:lineRule="auto"/>
        <w:jc w:val="both"/>
        <w:rPr>
          <w:szCs w:val="22"/>
        </w:rPr>
      </w:pPr>
      <w:r>
        <w:rPr>
          <w:szCs w:val="22"/>
        </w:rPr>
        <w:t xml:space="preserve">Wenngleich das Interesse an diesem Radical political Shift groß ist und Geduld schwer fällt, ist nicht zu </w:t>
      </w:r>
      <w:r w:rsidRPr="00E15792">
        <w:rPr>
          <w:szCs w:val="22"/>
        </w:rPr>
        <w:t>überseh</w:t>
      </w:r>
      <w:r>
        <w:rPr>
          <w:szCs w:val="22"/>
        </w:rPr>
        <w:t xml:space="preserve">en, </w:t>
      </w:r>
      <w:r w:rsidRPr="00E15792">
        <w:rPr>
          <w:szCs w:val="22"/>
        </w:rPr>
        <w:t xml:space="preserve">dass es </w:t>
      </w:r>
      <w:r>
        <w:rPr>
          <w:szCs w:val="22"/>
        </w:rPr>
        <w:t>e</w:t>
      </w:r>
      <w:r w:rsidRPr="00E15792">
        <w:rPr>
          <w:i/>
          <w:szCs w:val="22"/>
        </w:rPr>
        <w:t>rstens</w:t>
      </w:r>
      <w:r w:rsidRPr="00E15792">
        <w:rPr>
          <w:szCs w:val="22"/>
        </w:rPr>
        <w:t xml:space="preserve"> zu früh ist, Schlussfolgerungen </w:t>
      </w:r>
      <w:r>
        <w:rPr>
          <w:szCs w:val="22"/>
        </w:rPr>
        <w:t>zu</w:t>
      </w:r>
      <w:r w:rsidRPr="00E15792">
        <w:rPr>
          <w:szCs w:val="22"/>
        </w:rPr>
        <w:t xml:space="preserve"> potentielle</w:t>
      </w:r>
      <w:r>
        <w:rPr>
          <w:szCs w:val="22"/>
        </w:rPr>
        <w:t>n</w:t>
      </w:r>
      <w:r w:rsidRPr="00E15792">
        <w:rPr>
          <w:szCs w:val="22"/>
        </w:rPr>
        <w:t xml:space="preserve"> Effekte</w:t>
      </w:r>
      <w:r>
        <w:rPr>
          <w:szCs w:val="22"/>
        </w:rPr>
        <w:t>n</w:t>
      </w:r>
      <w:r w:rsidRPr="00E15792">
        <w:rPr>
          <w:szCs w:val="22"/>
        </w:rPr>
        <w:t xml:space="preserve"> einer </w:t>
      </w:r>
      <w:r>
        <w:rPr>
          <w:szCs w:val="22"/>
        </w:rPr>
        <w:t>Regulierung</w:t>
      </w:r>
      <w:r w:rsidRPr="00E15792">
        <w:rPr>
          <w:szCs w:val="22"/>
        </w:rPr>
        <w:t xml:space="preserve"> abzuleiten</w:t>
      </w:r>
      <w:r>
        <w:rPr>
          <w:szCs w:val="22"/>
        </w:rPr>
        <w:t xml:space="preserve">: </w:t>
      </w:r>
      <w:r w:rsidRPr="00E15792">
        <w:rPr>
          <w:szCs w:val="22"/>
        </w:rPr>
        <w:t>Im Herbst 2016 konnte</w:t>
      </w:r>
      <w:r>
        <w:rPr>
          <w:szCs w:val="22"/>
        </w:rPr>
        <w:t>n</w:t>
      </w:r>
      <w:r w:rsidRPr="00E15792">
        <w:rPr>
          <w:szCs w:val="22"/>
        </w:rPr>
        <w:t xml:space="preserve"> ausschließlich </w:t>
      </w:r>
      <w:r>
        <w:rPr>
          <w:szCs w:val="22"/>
        </w:rPr>
        <w:t>die</w:t>
      </w:r>
      <w:r w:rsidRPr="00E15792">
        <w:rPr>
          <w:szCs w:val="22"/>
        </w:rPr>
        <w:t xml:space="preserve"> Bundesstaaten Washington und Colorado Daten vorlegen</w:t>
      </w:r>
      <w:r>
        <w:rPr>
          <w:szCs w:val="22"/>
        </w:rPr>
        <w:t>, die zwei Jahre</w:t>
      </w:r>
      <w:r w:rsidRPr="00E15792">
        <w:rPr>
          <w:szCs w:val="22"/>
        </w:rPr>
        <w:t xml:space="preserve"> </w:t>
      </w:r>
      <w:r>
        <w:rPr>
          <w:szCs w:val="22"/>
        </w:rPr>
        <w:t>Praxis beleuchten</w:t>
      </w:r>
      <w:r w:rsidRPr="00E15792">
        <w:rPr>
          <w:szCs w:val="22"/>
        </w:rPr>
        <w:t>.</w:t>
      </w:r>
      <w:r>
        <w:rPr>
          <w:szCs w:val="22"/>
        </w:rPr>
        <w:t xml:space="preserve"> </w:t>
      </w:r>
      <w:r w:rsidRPr="00404A1C">
        <w:rPr>
          <w:i/>
          <w:szCs w:val="22"/>
        </w:rPr>
        <w:t>Zweitens</w:t>
      </w:r>
      <w:r>
        <w:rPr>
          <w:szCs w:val="22"/>
        </w:rPr>
        <w:t xml:space="preserve"> mahnt</w:t>
      </w:r>
      <w:r w:rsidRPr="00E15792">
        <w:rPr>
          <w:szCs w:val="22"/>
        </w:rPr>
        <w:t xml:space="preserve"> auch dieser D</w:t>
      </w:r>
      <w:r w:rsidRPr="00E15792">
        <w:rPr>
          <w:szCs w:val="22"/>
        </w:rPr>
        <w:t>a</w:t>
      </w:r>
      <w:r w:rsidRPr="00E15792">
        <w:rPr>
          <w:szCs w:val="22"/>
        </w:rPr>
        <w:t xml:space="preserve">tenschnitt </w:t>
      </w:r>
      <w:r>
        <w:rPr>
          <w:szCs w:val="22"/>
        </w:rPr>
        <w:t>zu</w:t>
      </w:r>
      <w:r w:rsidRPr="00E15792">
        <w:rPr>
          <w:szCs w:val="22"/>
        </w:rPr>
        <w:t xml:space="preserve"> Vorsicht, weil </w:t>
      </w:r>
      <w:r>
        <w:rPr>
          <w:szCs w:val="22"/>
        </w:rPr>
        <w:t>die</w:t>
      </w:r>
      <w:r w:rsidRPr="00E15792">
        <w:rPr>
          <w:szCs w:val="22"/>
        </w:rPr>
        <w:t xml:space="preserve"> </w:t>
      </w:r>
      <w:r>
        <w:rPr>
          <w:szCs w:val="22"/>
        </w:rPr>
        <w:t>Regulierung</w:t>
      </w:r>
      <w:r w:rsidRPr="00E15792">
        <w:rPr>
          <w:szCs w:val="22"/>
        </w:rPr>
        <w:t xml:space="preserve"> Schritt für Schritt </w:t>
      </w:r>
      <w:r>
        <w:rPr>
          <w:szCs w:val="22"/>
        </w:rPr>
        <w:t>in die Praxis überführt wird</w:t>
      </w:r>
      <w:r w:rsidRPr="00E15792">
        <w:rPr>
          <w:szCs w:val="22"/>
        </w:rPr>
        <w:t xml:space="preserve">: In Colorado öffneten beispielsweise die ersten legalen Abgabestellen für Marihuana erst am 01.01.2014, </w:t>
      </w:r>
      <w:r>
        <w:rPr>
          <w:szCs w:val="22"/>
        </w:rPr>
        <w:t>weshalb</w:t>
      </w:r>
      <w:r w:rsidRPr="00E15792">
        <w:rPr>
          <w:szCs w:val="22"/>
        </w:rPr>
        <w:t xml:space="preserve"> sich wesentliche Entwicklungen </w:t>
      </w:r>
      <w:r>
        <w:rPr>
          <w:szCs w:val="22"/>
        </w:rPr>
        <w:t>u. a. der</w:t>
      </w:r>
      <w:r w:rsidRPr="00E15792">
        <w:rPr>
          <w:szCs w:val="22"/>
        </w:rPr>
        <w:t xml:space="preserve"> Kriminalitätsraten erst </w:t>
      </w:r>
      <w:r>
        <w:rPr>
          <w:szCs w:val="22"/>
        </w:rPr>
        <w:t>mit</w:t>
      </w:r>
      <w:r w:rsidRPr="00E15792">
        <w:rPr>
          <w:szCs w:val="22"/>
        </w:rPr>
        <w:t xml:space="preserve"> dieser freien Zu</w:t>
      </w:r>
      <w:r>
        <w:rPr>
          <w:szCs w:val="22"/>
        </w:rPr>
        <w:t xml:space="preserve">gänglichkeit vollziehen konnten. </w:t>
      </w:r>
      <w:r>
        <w:rPr>
          <w:i/>
          <w:szCs w:val="22"/>
        </w:rPr>
        <w:t>Drittens</w:t>
      </w:r>
      <w:r w:rsidRPr="00E15792">
        <w:rPr>
          <w:szCs w:val="22"/>
        </w:rPr>
        <w:t xml:space="preserve"> existieren oft nur unzureichende Daten, die den Status vor einer </w:t>
      </w:r>
      <w:r>
        <w:rPr>
          <w:szCs w:val="22"/>
        </w:rPr>
        <w:t>Regulierung</w:t>
      </w:r>
      <w:r w:rsidRPr="00E15792">
        <w:rPr>
          <w:szCs w:val="22"/>
        </w:rPr>
        <w:t xml:space="preserve"> festhalten</w:t>
      </w:r>
      <w:r>
        <w:rPr>
          <w:szCs w:val="22"/>
        </w:rPr>
        <w:t>, so dass ein belastbarer Prä-Post-Vergleich nicht möglich ist</w:t>
      </w:r>
      <w:r w:rsidRPr="00E15792">
        <w:rPr>
          <w:szCs w:val="22"/>
        </w:rPr>
        <w:t xml:space="preserve">. </w:t>
      </w:r>
      <w:r>
        <w:rPr>
          <w:i/>
          <w:szCs w:val="22"/>
        </w:rPr>
        <w:t>Viertens</w:t>
      </w:r>
      <w:r w:rsidRPr="00E15792">
        <w:rPr>
          <w:szCs w:val="22"/>
        </w:rPr>
        <w:t xml:space="preserve"> </w:t>
      </w:r>
      <w:r>
        <w:rPr>
          <w:szCs w:val="22"/>
        </w:rPr>
        <w:t>findet</w:t>
      </w:r>
      <w:r w:rsidRPr="00E15792">
        <w:rPr>
          <w:szCs w:val="22"/>
        </w:rPr>
        <w:t xml:space="preserve"> ein systematisch</w:t>
      </w:r>
      <w:r>
        <w:rPr>
          <w:szCs w:val="22"/>
        </w:rPr>
        <w:t>es</w:t>
      </w:r>
      <w:r w:rsidRPr="00E15792">
        <w:rPr>
          <w:szCs w:val="22"/>
        </w:rPr>
        <w:t xml:space="preserve"> drogenpolitisches Monitoring </w:t>
      </w:r>
      <w:r>
        <w:rPr>
          <w:szCs w:val="22"/>
        </w:rPr>
        <w:t>in den</w:t>
      </w:r>
      <w:r w:rsidRPr="00E15792">
        <w:rPr>
          <w:szCs w:val="22"/>
        </w:rPr>
        <w:t xml:space="preserve"> Bundessta</w:t>
      </w:r>
      <w:r w:rsidRPr="00E15792">
        <w:rPr>
          <w:szCs w:val="22"/>
        </w:rPr>
        <w:t>a</w:t>
      </w:r>
      <w:r w:rsidRPr="00E15792">
        <w:rPr>
          <w:szCs w:val="22"/>
        </w:rPr>
        <w:t>ten</w:t>
      </w:r>
      <w:r>
        <w:rPr>
          <w:szCs w:val="22"/>
        </w:rPr>
        <w:t xml:space="preserve">, das zudem Vergleiche zwischen den unterschiedlich umgesetzten Modellen ermöglichen, nicht statt. </w:t>
      </w:r>
      <w:r>
        <w:rPr>
          <w:i/>
          <w:szCs w:val="22"/>
        </w:rPr>
        <w:t>Fünftens</w:t>
      </w:r>
      <w:r w:rsidRPr="00E15792">
        <w:rPr>
          <w:szCs w:val="22"/>
        </w:rPr>
        <w:t xml:space="preserve"> gibt es bisher keinen wissenschaftlichen Konsens, welche Daten überhaupt geeignet sind, eine Rückmeldung zu der Passfähigkeit </w:t>
      </w:r>
      <w:r>
        <w:rPr>
          <w:szCs w:val="22"/>
        </w:rPr>
        <w:t>von</w:t>
      </w:r>
      <w:r w:rsidRPr="00E15792">
        <w:rPr>
          <w:szCs w:val="22"/>
        </w:rPr>
        <w:t xml:space="preserve"> Regulierungsmodelle</w:t>
      </w:r>
      <w:r>
        <w:rPr>
          <w:szCs w:val="22"/>
        </w:rPr>
        <w:t>n</w:t>
      </w:r>
      <w:r w:rsidRPr="00E15792">
        <w:rPr>
          <w:szCs w:val="22"/>
        </w:rPr>
        <w:t xml:space="preserve"> zu</w:t>
      </w:r>
      <w:r>
        <w:rPr>
          <w:szCs w:val="22"/>
        </w:rPr>
        <w:t xml:space="preserve"> </w:t>
      </w:r>
      <w:r w:rsidRPr="00E15792">
        <w:rPr>
          <w:szCs w:val="22"/>
        </w:rPr>
        <w:t xml:space="preserve">geben. </w:t>
      </w:r>
      <w:r>
        <w:rPr>
          <w:szCs w:val="22"/>
        </w:rPr>
        <w:t>Für</w:t>
      </w:r>
      <w:r w:rsidRPr="00E15792">
        <w:rPr>
          <w:szCs w:val="22"/>
        </w:rPr>
        <w:t xml:space="preserve"> al</w:t>
      </w:r>
      <w:r>
        <w:rPr>
          <w:szCs w:val="22"/>
        </w:rPr>
        <w:t>le</w:t>
      </w:r>
      <w:r w:rsidRPr="00E15792">
        <w:rPr>
          <w:szCs w:val="22"/>
        </w:rPr>
        <w:t xml:space="preserve"> Debatten ist </w:t>
      </w:r>
      <w:r>
        <w:rPr>
          <w:i/>
          <w:szCs w:val="22"/>
        </w:rPr>
        <w:t>sechstens</w:t>
      </w:r>
      <w:r w:rsidRPr="00E15792">
        <w:rPr>
          <w:szCs w:val="22"/>
        </w:rPr>
        <w:t xml:space="preserve"> herauszustellen, dass der Radical political Shift von der Totalprohib</w:t>
      </w:r>
      <w:r w:rsidRPr="00E15792">
        <w:rPr>
          <w:szCs w:val="22"/>
        </w:rPr>
        <w:t>i</w:t>
      </w:r>
      <w:r w:rsidRPr="00E15792">
        <w:rPr>
          <w:szCs w:val="22"/>
        </w:rPr>
        <w:t>tion zur Regulierung/Legalisierung kein alternierendes Ereignis ist, getan mit einer Abstimmung über neue drogengesetzliche Rege</w:t>
      </w:r>
      <w:r>
        <w:rPr>
          <w:szCs w:val="22"/>
        </w:rPr>
        <w:t>lungen!</w:t>
      </w:r>
      <w:r w:rsidRPr="00E15792">
        <w:rPr>
          <w:szCs w:val="22"/>
        </w:rPr>
        <w:t xml:space="preserve"> </w:t>
      </w:r>
      <w:r>
        <w:rPr>
          <w:szCs w:val="22"/>
        </w:rPr>
        <w:t>D</w:t>
      </w:r>
      <w:r w:rsidRPr="00E15792">
        <w:rPr>
          <w:szCs w:val="22"/>
        </w:rPr>
        <w:t xml:space="preserve">ie </w:t>
      </w:r>
      <w:r>
        <w:rPr>
          <w:szCs w:val="22"/>
        </w:rPr>
        <w:t xml:space="preserve">tatsächliche </w:t>
      </w:r>
      <w:r w:rsidRPr="00E15792">
        <w:rPr>
          <w:szCs w:val="22"/>
        </w:rPr>
        <w:t>Umsetzung eines neuen drogenpolit</w:t>
      </w:r>
      <w:r w:rsidRPr="00E15792">
        <w:rPr>
          <w:szCs w:val="22"/>
        </w:rPr>
        <w:t>i</w:t>
      </w:r>
      <w:r w:rsidRPr="00E15792">
        <w:rPr>
          <w:szCs w:val="22"/>
        </w:rPr>
        <w:t xml:space="preserve">schen Denkens und Handelns </w:t>
      </w:r>
      <w:r>
        <w:rPr>
          <w:szCs w:val="22"/>
        </w:rPr>
        <w:t xml:space="preserve">erfolgt </w:t>
      </w:r>
      <w:r w:rsidRPr="00E15792">
        <w:rPr>
          <w:szCs w:val="22"/>
        </w:rPr>
        <w:t>in vielen Einzelschritten</w:t>
      </w:r>
      <w:r>
        <w:rPr>
          <w:szCs w:val="22"/>
        </w:rPr>
        <w:t>, mit denen</w:t>
      </w:r>
      <w:r w:rsidRPr="00E15792">
        <w:rPr>
          <w:szCs w:val="22"/>
        </w:rPr>
        <w:t xml:space="preserve"> eine neue soziale Pr</w:t>
      </w:r>
      <w:r w:rsidRPr="00E15792">
        <w:rPr>
          <w:szCs w:val="22"/>
        </w:rPr>
        <w:t>a</w:t>
      </w:r>
      <w:r w:rsidRPr="00E15792">
        <w:rPr>
          <w:szCs w:val="22"/>
        </w:rPr>
        <w:t>xis entwi</w:t>
      </w:r>
      <w:r>
        <w:rPr>
          <w:szCs w:val="22"/>
        </w:rPr>
        <w:t>ckelt</w:t>
      </w:r>
      <w:r w:rsidRPr="00E15792">
        <w:rPr>
          <w:szCs w:val="22"/>
        </w:rPr>
        <w:t xml:space="preserve"> und durch</w:t>
      </w:r>
      <w:r>
        <w:rPr>
          <w:szCs w:val="22"/>
        </w:rPr>
        <w:t xml:space="preserve">gesetzt wird. Gerade </w:t>
      </w:r>
      <w:r w:rsidRPr="00E15792">
        <w:rPr>
          <w:szCs w:val="22"/>
        </w:rPr>
        <w:t>diese</w:t>
      </w:r>
      <w:r>
        <w:rPr>
          <w:szCs w:val="22"/>
        </w:rPr>
        <w:t>s</w:t>
      </w:r>
      <w:r w:rsidRPr="00E15792">
        <w:rPr>
          <w:szCs w:val="22"/>
        </w:rPr>
        <w:t xml:space="preserve"> Prozess</w:t>
      </w:r>
      <w:r>
        <w:rPr>
          <w:szCs w:val="22"/>
        </w:rPr>
        <w:t xml:space="preserve">hafte muss </w:t>
      </w:r>
      <w:r w:rsidRPr="00E15792">
        <w:rPr>
          <w:szCs w:val="22"/>
        </w:rPr>
        <w:t xml:space="preserve">auch </w:t>
      </w:r>
      <w:r>
        <w:rPr>
          <w:szCs w:val="22"/>
        </w:rPr>
        <w:t>als</w:t>
      </w:r>
      <w:r w:rsidRPr="00E15792">
        <w:rPr>
          <w:szCs w:val="22"/>
        </w:rPr>
        <w:t xml:space="preserve"> Chance</w:t>
      </w:r>
      <w:r>
        <w:rPr>
          <w:szCs w:val="22"/>
        </w:rPr>
        <w:t xml:space="preserve"> ve</w:t>
      </w:r>
      <w:r>
        <w:rPr>
          <w:szCs w:val="22"/>
        </w:rPr>
        <w:t>r</w:t>
      </w:r>
      <w:r>
        <w:rPr>
          <w:szCs w:val="22"/>
        </w:rPr>
        <w:t>standen werden</w:t>
      </w:r>
      <w:r w:rsidRPr="00E15792">
        <w:rPr>
          <w:szCs w:val="22"/>
        </w:rPr>
        <w:t xml:space="preserve">, sich tastend einer neuen Wirklichkeit nähern und ggf. mit Nachjustierung und Feinkorrekturen auf nicht vorhersehbare Entwicklungen reagieren zu können. </w:t>
      </w:r>
    </w:p>
    <w:p w14:paraId="5EA1EEC8" w14:textId="77777777" w:rsidR="00FD1963" w:rsidRDefault="00FD1963" w:rsidP="00FD1963">
      <w:pPr>
        <w:spacing w:line="276" w:lineRule="auto"/>
        <w:jc w:val="both"/>
        <w:rPr>
          <w:szCs w:val="22"/>
        </w:rPr>
      </w:pPr>
      <w:r>
        <w:rPr>
          <w:szCs w:val="22"/>
        </w:rPr>
        <w:t>Die drogenpolitische Neuregelung</w:t>
      </w:r>
      <w:r w:rsidRPr="00E15792">
        <w:rPr>
          <w:szCs w:val="22"/>
        </w:rPr>
        <w:t xml:space="preserve"> setzt </w:t>
      </w:r>
      <w:r>
        <w:rPr>
          <w:szCs w:val="22"/>
        </w:rPr>
        <w:t>auch</w:t>
      </w:r>
      <w:r w:rsidRPr="00E15792">
        <w:rPr>
          <w:szCs w:val="22"/>
        </w:rPr>
        <w:t xml:space="preserve"> eine </w:t>
      </w:r>
      <w:r>
        <w:rPr>
          <w:szCs w:val="22"/>
        </w:rPr>
        <w:t>Um</w:t>
      </w:r>
      <w:r w:rsidRPr="00E15792">
        <w:rPr>
          <w:szCs w:val="22"/>
        </w:rPr>
        <w:t>strukturierung der an diesem Prozess b</w:t>
      </w:r>
      <w:r w:rsidRPr="00E15792">
        <w:rPr>
          <w:szCs w:val="22"/>
        </w:rPr>
        <w:t>e</w:t>
      </w:r>
      <w:r w:rsidRPr="00E15792">
        <w:rPr>
          <w:szCs w:val="22"/>
        </w:rPr>
        <w:t>teiligten Institutionen voraus. D</w:t>
      </w:r>
      <w:r>
        <w:rPr>
          <w:szCs w:val="22"/>
        </w:rPr>
        <w:t>ie hier handelnden Personen</w:t>
      </w:r>
      <w:r w:rsidRPr="00E15792">
        <w:rPr>
          <w:szCs w:val="22"/>
        </w:rPr>
        <w:t xml:space="preserve"> sind oft </w:t>
      </w:r>
      <w:r>
        <w:rPr>
          <w:szCs w:val="22"/>
        </w:rPr>
        <w:t>zu</w:t>
      </w:r>
      <w:r w:rsidRPr="00E15792">
        <w:rPr>
          <w:szCs w:val="22"/>
        </w:rPr>
        <w:t xml:space="preserve"> ei</w:t>
      </w:r>
      <w:r>
        <w:rPr>
          <w:szCs w:val="22"/>
        </w:rPr>
        <w:t>ner</w:t>
      </w:r>
      <w:r w:rsidRPr="00E15792">
        <w:rPr>
          <w:szCs w:val="22"/>
        </w:rPr>
        <w:t xml:space="preserve"> grundsätzli</w:t>
      </w:r>
      <w:r>
        <w:rPr>
          <w:szCs w:val="22"/>
        </w:rPr>
        <w:t>chen</w:t>
      </w:r>
      <w:r w:rsidRPr="00E15792">
        <w:rPr>
          <w:szCs w:val="22"/>
        </w:rPr>
        <w:t xml:space="preserve"> </w:t>
      </w:r>
      <w:r>
        <w:rPr>
          <w:szCs w:val="22"/>
        </w:rPr>
        <w:t>Änderung ihrer bisherigen Haltungen und K</w:t>
      </w:r>
      <w:r w:rsidRPr="00E15792">
        <w:rPr>
          <w:szCs w:val="22"/>
        </w:rPr>
        <w:t xml:space="preserve">onzepte </w:t>
      </w:r>
      <w:r>
        <w:rPr>
          <w:szCs w:val="22"/>
        </w:rPr>
        <w:t>aufgefordert</w:t>
      </w:r>
      <w:r w:rsidRPr="00E15792">
        <w:rPr>
          <w:szCs w:val="22"/>
        </w:rPr>
        <w:t xml:space="preserve"> und müssen sich auch organ</w:t>
      </w:r>
      <w:r w:rsidRPr="00E15792">
        <w:rPr>
          <w:szCs w:val="22"/>
        </w:rPr>
        <w:t>i</w:t>
      </w:r>
      <w:r w:rsidRPr="00E15792">
        <w:rPr>
          <w:szCs w:val="22"/>
        </w:rPr>
        <w:t>satorisch neuen Aufgaben</w:t>
      </w:r>
      <w:r>
        <w:rPr>
          <w:szCs w:val="22"/>
        </w:rPr>
        <w:t xml:space="preserve"> stellen</w:t>
      </w:r>
      <w:r w:rsidRPr="00E15792">
        <w:rPr>
          <w:szCs w:val="22"/>
        </w:rPr>
        <w:t xml:space="preserve">. </w:t>
      </w:r>
      <w:r>
        <w:rPr>
          <w:szCs w:val="22"/>
        </w:rPr>
        <w:t>W</w:t>
      </w:r>
      <w:r w:rsidRPr="00E15792">
        <w:rPr>
          <w:szCs w:val="22"/>
        </w:rPr>
        <w:t>ichtige</w:t>
      </w:r>
      <w:r>
        <w:rPr>
          <w:szCs w:val="22"/>
        </w:rPr>
        <w:t xml:space="preserve">, </w:t>
      </w:r>
      <w:r w:rsidRPr="00E15792">
        <w:rPr>
          <w:szCs w:val="22"/>
        </w:rPr>
        <w:t>beteiligt</w:t>
      </w:r>
      <w:r>
        <w:rPr>
          <w:szCs w:val="22"/>
        </w:rPr>
        <w:t>e</w:t>
      </w:r>
      <w:r w:rsidRPr="00E15792">
        <w:rPr>
          <w:szCs w:val="22"/>
        </w:rPr>
        <w:t xml:space="preserve"> Institutionen </w:t>
      </w:r>
      <w:r>
        <w:rPr>
          <w:szCs w:val="22"/>
        </w:rPr>
        <w:t>müssen zudem</w:t>
      </w:r>
      <w:r w:rsidRPr="00E15792">
        <w:rPr>
          <w:szCs w:val="22"/>
        </w:rPr>
        <w:t xml:space="preserve"> erst auf</w:t>
      </w:r>
      <w:r>
        <w:rPr>
          <w:szCs w:val="22"/>
        </w:rPr>
        <w:t>g</w:t>
      </w:r>
      <w:r>
        <w:rPr>
          <w:szCs w:val="22"/>
        </w:rPr>
        <w:t>e</w:t>
      </w:r>
      <w:r w:rsidRPr="00E15792">
        <w:rPr>
          <w:szCs w:val="22"/>
        </w:rPr>
        <w:t>bau</w:t>
      </w:r>
      <w:r>
        <w:rPr>
          <w:szCs w:val="22"/>
        </w:rPr>
        <w:t>t werd</w:t>
      </w:r>
      <w:r w:rsidRPr="00E15792">
        <w:rPr>
          <w:szCs w:val="22"/>
        </w:rPr>
        <w:t xml:space="preserve">en. Dazu kommen </w:t>
      </w:r>
      <w:r>
        <w:rPr>
          <w:szCs w:val="22"/>
        </w:rPr>
        <w:t xml:space="preserve">schließlich </w:t>
      </w:r>
      <w:r w:rsidRPr="00E15792">
        <w:rPr>
          <w:szCs w:val="22"/>
        </w:rPr>
        <w:t>Lern- und Entwicklungsprozesse in den konsumiere</w:t>
      </w:r>
      <w:r w:rsidRPr="00E15792">
        <w:rPr>
          <w:szCs w:val="22"/>
        </w:rPr>
        <w:t>n</w:t>
      </w:r>
      <w:r w:rsidRPr="00E15792">
        <w:rPr>
          <w:szCs w:val="22"/>
        </w:rPr>
        <w:t>den, aber auch nichtkonsumierenden Bevölkerungsgruppen</w:t>
      </w:r>
      <w:r>
        <w:rPr>
          <w:szCs w:val="22"/>
        </w:rPr>
        <w:t xml:space="preserve"> und sozialen Milieus</w:t>
      </w:r>
      <w:r w:rsidRPr="00E15792">
        <w:rPr>
          <w:szCs w:val="22"/>
        </w:rPr>
        <w:t>, in der</w:t>
      </w:r>
      <w:r>
        <w:rPr>
          <w:szCs w:val="22"/>
        </w:rPr>
        <w:t>en L</w:t>
      </w:r>
      <w:r>
        <w:rPr>
          <w:szCs w:val="22"/>
        </w:rPr>
        <w:t>e</w:t>
      </w:r>
      <w:r>
        <w:rPr>
          <w:szCs w:val="22"/>
        </w:rPr>
        <w:t>ben die Effekte der neuen D</w:t>
      </w:r>
      <w:r w:rsidRPr="00E15792">
        <w:rPr>
          <w:szCs w:val="22"/>
        </w:rPr>
        <w:t>rogenpoliti</w:t>
      </w:r>
      <w:r>
        <w:rPr>
          <w:szCs w:val="22"/>
        </w:rPr>
        <w:t xml:space="preserve">k </w:t>
      </w:r>
      <w:r w:rsidRPr="00E15792">
        <w:rPr>
          <w:szCs w:val="22"/>
        </w:rPr>
        <w:t>ankom</w:t>
      </w:r>
      <w:r>
        <w:rPr>
          <w:szCs w:val="22"/>
        </w:rPr>
        <w:t xml:space="preserve">men und </w:t>
      </w:r>
      <w:r w:rsidRPr="00E15792">
        <w:rPr>
          <w:szCs w:val="22"/>
        </w:rPr>
        <w:t>sich bewähren, ggf. auch tariert, entw</w:t>
      </w:r>
      <w:r w:rsidRPr="00E15792">
        <w:rPr>
          <w:szCs w:val="22"/>
        </w:rPr>
        <w:t>i</w:t>
      </w:r>
      <w:r w:rsidRPr="00E15792">
        <w:rPr>
          <w:szCs w:val="22"/>
        </w:rPr>
        <w:t>ckelt oder berichtigt werden müssen – oft gegen Widerstände von Interessengruppen, die bis dahin von der Prohibition profitier</w:t>
      </w:r>
      <w:r>
        <w:rPr>
          <w:szCs w:val="22"/>
        </w:rPr>
        <w:t>t</w:t>
      </w:r>
      <w:r w:rsidRPr="00E15792">
        <w:rPr>
          <w:szCs w:val="22"/>
        </w:rPr>
        <w:t>en. Insofern besteht in Expert</w:t>
      </w:r>
      <w:r>
        <w:rPr>
          <w:szCs w:val="22"/>
        </w:rPr>
        <w:t>en</w:t>
      </w:r>
      <w:r w:rsidRPr="00E15792">
        <w:rPr>
          <w:szCs w:val="22"/>
        </w:rPr>
        <w:t xml:space="preserve">kreisen Einigkeit dazu, dass die in den US-amerikanischen Bundesstaaten bisher überschaubaren Zeiträume für die nötigen umfassenden sozialen Veränderungen zu kurz sind, um belastbare Beurteilungen vornehmen zu können. </w:t>
      </w:r>
    </w:p>
    <w:p w14:paraId="055253F7" w14:textId="77777777" w:rsidR="00FD1963" w:rsidRDefault="00FD1963" w:rsidP="00FD1963">
      <w:pPr>
        <w:spacing w:line="276" w:lineRule="auto"/>
        <w:jc w:val="both"/>
        <w:rPr>
          <w:szCs w:val="22"/>
        </w:rPr>
      </w:pPr>
    </w:p>
    <w:p w14:paraId="426BCE06" w14:textId="77777777" w:rsidR="00FD1963" w:rsidRPr="00314A2F" w:rsidRDefault="00FD1963" w:rsidP="00FD1963">
      <w:pPr>
        <w:spacing w:line="276" w:lineRule="auto"/>
        <w:jc w:val="both"/>
        <w:rPr>
          <w:b/>
          <w:szCs w:val="22"/>
        </w:rPr>
      </w:pPr>
      <w:r w:rsidRPr="00314A2F">
        <w:rPr>
          <w:b/>
          <w:szCs w:val="22"/>
        </w:rPr>
        <w:t>Die Cruz mit dem drogenpolitischen Monitoring</w:t>
      </w:r>
    </w:p>
    <w:p w14:paraId="3CCB84DC" w14:textId="6E26C65E" w:rsidR="00FD1963" w:rsidRDefault="00FD1963" w:rsidP="00FD1963">
      <w:pPr>
        <w:spacing w:line="276" w:lineRule="auto"/>
        <w:jc w:val="both"/>
        <w:rPr>
          <w:szCs w:val="22"/>
        </w:rPr>
      </w:pPr>
      <w:r>
        <w:rPr>
          <w:szCs w:val="22"/>
        </w:rPr>
        <w:t xml:space="preserve">Zu bedenken ist auch, dass </w:t>
      </w:r>
      <w:r w:rsidRPr="00E15792">
        <w:rPr>
          <w:szCs w:val="22"/>
        </w:rPr>
        <w:t xml:space="preserve">unabhängig von Entscheidungen </w:t>
      </w:r>
      <w:r>
        <w:rPr>
          <w:szCs w:val="22"/>
        </w:rPr>
        <w:t>einzelner</w:t>
      </w:r>
      <w:r w:rsidRPr="00E15792">
        <w:rPr>
          <w:szCs w:val="22"/>
        </w:rPr>
        <w:t xml:space="preserve"> Bundesstaaten, auf g</w:t>
      </w:r>
      <w:r w:rsidRPr="00E15792">
        <w:rPr>
          <w:szCs w:val="22"/>
        </w:rPr>
        <w:t>e</w:t>
      </w:r>
      <w:r w:rsidRPr="00E15792">
        <w:rPr>
          <w:szCs w:val="22"/>
        </w:rPr>
        <w:t xml:space="preserve">samtstaatlicher Ebene Cannabis </w:t>
      </w:r>
      <w:r>
        <w:rPr>
          <w:szCs w:val="22"/>
        </w:rPr>
        <w:t xml:space="preserve">in den USA </w:t>
      </w:r>
      <w:r w:rsidRPr="00E15792">
        <w:rPr>
          <w:szCs w:val="22"/>
        </w:rPr>
        <w:t>weiterhin in Anlage 1 des Federal Controlled Su</w:t>
      </w:r>
      <w:r w:rsidRPr="00E15792">
        <w:rPr>
          <w:szCs w:val="22"/>
        </w:rPr>
        <w:t>b</w:t>
      </w:r>
      <w:r w:rsidRPr="00E15792">
        <w:rPr>
          <w:szCs w:val="22"/>
        </w:rPr>
        <w:t xml:space="preserve">stances Act von 1970 aufgeführt und damit  illegalisiert ist. Unter der Obama-Präsidentschaft wurde </w:t>
      </w:r>
      <w:r>
        <w:rPr>
          <w:szCs w:val="22"/>
        </w:rPr>
        <w:t xml:space="preserve">allerdings </w:t>
      </w:r>
      <w:r w:rsidRPr="00E15792">
        <w:rPr>
          <w:szCs w:val="22"/>
        </w:rPr>
        <w:t xml:space="preserve">eine Duldung des einzelstaatlichen Vorgehens beispielsweise durch ein Nicht-aktiv-Werden der Bundespolizei praktiziert, durch die sich die drogenpolitischen Möglichkeiten für die Bundesstaaten und deren Countys/Landkreise erweiterten. Diese widersprüchliche Rechtslage setzt </w:t>
      </w:r>
      <w:r>
        <w:rPr>
          <w:szCs w:val="22"/>
        </w:rPr>
        <w:t xml:space="preserve">aber </w:t>
      </w:r>
      <w:r w:rsidRPr="00E15792">
        <w:rPr>
          <w:szCs w:val="22"/>
        </w:rPr>
        <w:t>sowohl für die sich entwickelnde Praxis als auch für eine begleitende Fo</w:t>
      </w:r>
      <w:r w:rsidRPr="00E15792">
        <w:rPr>
          <w:szCs w:val="22"/>
        </w:rPr>
        <w:t>r</w:t>
      </w:r>
      <w:r w:rsidRPr="00E15792">
        <w:rPr>
          <w:szCs w:val="22"/>
        </w:rPr>
        <w:t>schung Grenzen</w:t>
      </w:r>
      <w:r>
        <w:rPr>
          <w:szCs w:val="22"/>
        </w:rPr>
        <w:t xml:space="preserve">: </w:t>
      </w:r>
      <w:r w:rsidRPr="0098247E">
        <w:rPr>
          <w:i/>
          <w:szCs w:val="22"/>
        </w:rPr>
        <w:t>Erstens</w:t>
      </w:r>
      <w:r w:rsidRPr="00E15792">
        <w:rPr>
          <w:szCs w:val="22"/>
        </w:rPr>
        <w:t xml:space="preserve"> können viele Prozesse nicht so konsequent umgesetzt werden, wie es konzeptionell nötig wär</w:t>
      </w:r>
      <w:r>
        <w:rPr>
          <w:szCs w:val="22"/>
        </w:rPr>
        <w:t>e</w:t>
      </w:r>
      <w:r w:rsidRPr="00E15792">
        <w:rPr>
          <w:szCs w:val="22"/>
        </w:rPr>
        <w:t xml:space="preserve">. </w:t>
      </w:r>
      <w:r w:rsidRPr="00E15792">
        <w:rPr>
          <w:i/>
          <w:szCs w:val="22"/>
        </w:rPr>
        <w:t>Zweitens</w:t>
      </w:r>
      <w:r w:rsidRPr="00E15792">
        <w:rPr>
          <w:szCs w:val="22"/>
        </w:rPr>
        <w:t xml:space="preserve"> müssen Judikative und Exekutive oftmals entgegengesetzten Leitideen entsprechen. Da die Mehrheit der Gelder für Forschung zu Drogen</w:t>
      </w:r>
      <w:r>
        <w:rPr>
          <w:szCs w:val="22"/>
        </w:rPr>
        <w:t>politik</w:t>
      </w:r>
      <w:r w:rsidRPr="00E15792">
        <w:rPr>
          <w:szCs w:val="22"/>
        </w:rPr>
        <w:t>themen aus nationalen Fonds kommt und Frage</w:t>
      </w:r>
      <w:r>
        <w:rPr>
          <w:szCs w:val="22"/>
        </w:rPr>
        <w:t>n zu Regulierungs-/Legalisierungsprozessen</w:t>
      </w:r>
      <w:r w:rsidRPr="00E15792">
        <w:rPr>
          <w:szCs w:val="22"/>
        </w:rPr>
        <w:t xml:space="preserve"> aus nationaler Sicht immer noch verbotene</w:t>
      </w:r>
      <w:r>
        <w:rPr>
          <w:szCs w:val="22"/>
        </w:rPr>
        <w:t xml:space="preserve"> und</w:t>
      </w:r>
      <w:r w:rsidRPr="00E15792">
        <w:rPr>
          <w:szCs w:val="22"/>
        </w:rPr>
        <w:t xml:space="preserve"> mit Stigmata belegt</w:t>
      </w:r>
      <w:r>
        <w:rPr>
          <w:szCs w:val="22"/>
        </w:rPr>
        <w:t>e</w:t>
      </w:r>
      <w:r w:rsidRPr="00E15792">
        <w:rPr>
          <w:szCs w:val="22"/>
        </w:rPr>
        <w:t xml:space="preserve"> Praxis </w:t>
      </w:r>
      <w:r>
        <w:rPr>
          <w:szCs w:val="22"/>
        </w:rPr>
        <w:t>sind</w:t>
      </w:r>
      <w:r w:rsidRPr="00E15792">
        <w:rPr>
          <w:szCs w:val="22"/>
        </w:rPr>
        <w:t xml:space="preserve">, </w:t>
      </w:r>
      <w:r>
        <w:rPr>
          <w:szCs w:val="22"/>
        </w:rPr>
        <w:t>werden</w:t>
      </w:r>
      <w:r w:rsidRPr="00E15792">
        <w:rPr>
          <w:szCs w:val="22"/>
        </w:rPr>
        <w:t xml:space="preserve"> entsprechende B</w:t>
      </w:r>
      <w:r w:rsidRPr="00E15792">
        <w:rPr>
          <w:szCs w:val="22"/>
        </w:rPr>
        <w:t>e</w:t>
      </w:r>
      <w:r w:rsidRPr="00E15792">
        <w:rPr>
          <w:szCs w:val="22"/>
        </w:rPr>
        <w:t xml:space="preserve">gleitforschungen </w:t>
      </w:r>
      <w:r w:rsidRPr="00E15792">
        <w:rPr>
          <w:i/>
          <w:szCs w:val="22"/>
        </w:rPr>
        <w:t>drittens</w:t>
      </w:r>
      <w:r w:rsidRPr="00E15792">
        <w:rPr>
          <w:szCs w:val="22"/>
        </w:rPr>
        <w:t xml:space="preserve"> </w:t>
      </w:r>
      <w:r>
        <w:rPr>
          <w:szCs w:val="22"/>
        </w:rPr>
        <w:t>nur bedingt gefördert. Die</w:t>
      </w:r>
      <w:r w:rsidRPr="00E15792">
        <w:rPr>
          <w:szCs w:val="22"/>
        </w:rPr>
        <w:t>s erklärt, weshalb bisher viele Entwicklu</w:t>
      </w:r>
      <w:r w:rsidRPr="00E15792">
        <w:rPr>
          <w:szCs w:val="22"/>
        </w:rPr>
        <w:t>n</w:t>
      </w:r>
      <w:r w:rsidRPr="00E15792">
        <w:rPr>
          <w:szCs w:val="22"/>
        </w:rPr>
        <w:t xml:space="preserve">gen nicht umfassend empirisch abgebildet, konsultativ begleitet oder über das Bereitstellen </w:t>
      </w:r>
      <w:r>
        <w:rPr>
          <w:szCs w:val="22"/>
        </w:rPr>
        <w:t>von F</w:t>
      </w:r>
      <w:r w:rsidRPr="00E15792">
        <w:rPr>
          <w:szCs w:val="22"/>
        </w:rPr>
        <w:t>orschungs</w:t>
      </w:r>
      <w:r>
        <w:rPr>
          <w:szCs w:val="22"/>
        </w:rPr>
        <w:t>m</w:t>
      </w:r>
      <w:r w:rsidRPr="00E15792">
        <w:rPr>
          <w:szCs w:val="22"/>
        </w:rPr>
        <w:t>ittel</w:t>
      </w:r>
      <w:r>
        <w:rPr>
          <w:szCs w:val="22"/>
        </w:rPr>
        <w:t>n</w:t>
      </w:r>
      <w:r w:rsidRPr="00E15792">
        <w:rPr>
          <w:szCs w:val="22"/>
        </w:rPr>
        <w:t xml:space="preserve"> unterstützt werden. </w:t>
      </w:r>
      <w:r>
        <w:rPr>
          <w:szCs w:val="22"/>
        </w:rPr>
        <w:t>D</w:t>
      </w:r>
      <w:r w:rsidRPr="00E15792">
        <w:rPr>
          <w:szCs w:val="22"/>
        </w:rPr>
        <w:t xml:space="preserve">ie gesetzlich vorgeschriebene Berichterstattung zu den Effekten </w:t>
      </w:r>
      <w:r>
        <w:rPr>
          <w:szCs w:val="22"/>
        </w:rPr>
        <w:t xml:space="preserve">von </w:t>
      </w:r>
      <w:r w:rsidRPr="00E15792">
        <w:rPr>
          <w:szCs w:val="22"/>
        </w:rPr>
        <w:t>Regulier</w:t>
      </w:r>
      <w:r>
        <w:rPr>
          <w:szCs w:val="22"/>
        </w:rPr>
        <w:t>ungsprozessen</w:t>
      </w:r>
      <w:r w:rsidRPr="00E15792">
        <w:rPr>
          <w:szCs w:val="22"/>
        </w:rPr>
        <w:t xml:space="preserve"> wird </w:t>
      </w:r>
      <w:r>
        <w:rPr>
          <w:szCs w:val="22"/>
        </w:rPr>
        <w:t xml:space="preserve">deshalb </w:t>
      </w:r>
      <w:r w:rsidRPr="00246CDB">
        <w:rPr>
          <w:i/>
          <w:szCs w:val="22"/>
        </w:rPr>
        <w:t>viertens</w:t>
      </w:r>
      <w:r>
        <w:rPr>
          <w:szCs w:val="22"/>
        </w:rPr>
        <w:t xml:space="preserve"> </w:t>
      </w:r>
      <w:r w:rsidRPr="00E15792">
        <w:rPr>
          <w:szCs w:val="22"/>
        </w:rPr>
        <w:t>von bereits existierenden Instituti</w:t>
      </w:r>
      <w:r w:rsidRPr="00E15792">
        <w:rPr>
          <w:szCs w:val="22"/>
        </w:rPr>
        <w:t>o</w:t>
      </w:r>
      <w:r w:rsidRPr="00E15792">
        <w:rPr>
          <w:szCs w:val="22"/>
        </w:rPr>
        <w:t>nen vorgenom</w:t>
      </w:r>
      <w:r>
        <w:rPr>
          <w:szCs w:val="22"/>
        </w:rPr>
        <w:t xml:space="preserve">men. </w:t>
      </w:r>
      <w:r w:rsidRPr="00E15792">
        <w:rPr>
          <w:szCs w:val="22"/>
        </w:rPr>
        <w:t>Insofern ist bei den bisher vorgelegten Übersichtsarbeiten die Interessenl</w:t>
      </w:r>
      <w:r w:rsidRPr="00E15792">
        <w:rPr>
          <w:szCs w:val="22"/>
        </w:rPr>
        <w:t>a</w:t>
      </w:r>
      <w:r w:rsidRPr="00E15792">
        <w:rPr>
          <w:szCs w:val="22"/>
        </w:rPr>
        <w:t>ge der Berichterstatter mitzudenken. Es bleibt abzuwarten, wie sich diese drogenpolitische G</w:t>
      </w:r>
      <w:r w:rsidRPr="00E15792">
        <w:rPr>
          <w:szCs w:val="22"/>
        </w:rPr>
        <w:t>e</w:t>
      </w:r>
      <w:r w:rsidRPr="00E15792">
        <w:rPr>
          <w:szCs w:val="22"/>
        </w:rPr>
        <w:t>mengelage unter einer neuen Präsidentschaft entwickel</w:t>
      </w:r>
      <w:r>
        <w:rPr>
          <w:szCs w:val="22"/>
        </w:rPr>
        <w:t xml:space="preserve">t </w:t>
      </w:r>
      <w:r w:rsidRPr="00E15792">
        <w:rPr>
          <w:szCs w:val="22"/>
        </w:rPr>
        <w:t>und wie sich eine unabhängige wisse</w:t>
      </w:r>
      <w:r w:rsidRPr="00E15792">
        <w:rPr>
          <w:szCs w:val="22"/>
        </w:rPr>
        <w:t>n</w:t>
      </w:r>
      <w:r w:rsidRPr="00E15792">
        <w:rPr>
          <w:szCs w:val="22"/>
        </w:rPr>
        <w:t>schaftliche Begleitforschung etablieren kann.</w:t>
      </w:r>
      <w:r>
        <w:rPr>
          <w:szCs w:val="22"/>
        </w:rPr>
        <w:t xml:space="preserve"> Diese Mahnungen zu einem besonnenen Umgang mit Daten aus den Bundesstaaten Colorado und Washington sollen keineswegs verhindern, sich mit E</w:t>
      </w:r>
      <w:r w:rsidRPr="00E15792">
        <w:rPr>
          <w:szCs w:val="22"/>
        </w:rPr>
        <w:t xml:space="preserve">ntwicklungen und Trends </w:t>
      </w:r>
      <w:r>
        <w:rPr>
          <w:szCs w:val="22"/>
        </w:rPr>
        <w:t>der Anfangszeit eines Radical political Shifts auseinanderzuse</w:t>
      </w:r>
      <w:r>
        <w:rPr>
          <w:szCs w:val="22"/>
        </w:rPr>
        <w:t>t</w:t>
      </w:r>
      <w:r>
        <w:rPr>
          <w:szCs w:val="22"/>
        </w:rPr>
        <w:t>zen und daraus für eigene Konzepte und Strategien zu lernen.</w:t>
      </w:r>
    </w:p>
    <w:p w14:paraId="412D4ED7" w14:textId="61C7FF8E" w:rsidR="00FD1963" w:rsidRPr="00E977A0" w:rsidRDefault="00C17576" w:rsidP="00FD1963">
      <w:pPr>
        <w:pStyle w:val="berschrift2"/>
      </w:pPr>
      <w:bookmarkStart w:id="2" w:name="_Toc343418237"/>
      <w:bookmarkStart w:id="3" w:name="_Toc349300333"/>
      <w:r>
        <w:t>Der</w:t>
      </w:r>
      <w:r w:rsidR="00FD1963" w:rsidRPr="00E977A0">
        <w:t xml:space="preserve"> Einfluss politischer Maßnahmen auf den </w:t>
      </w:r>
      <w:r>
        <w:t>Marihuana-K</w:t>
      </w:r>
      <w:r w:rsidRPr="00E977A0">
        <w:t xml:space="preserve">onsum </w:t>
      </w:r>
      <w:r w:rsidR="00FD1963" w:rsidRPr="00E977A0">
        <w:t>in der Bevö</w:t>
      </w:r>
      <w:r w:rsidR="00FD1963" w:rsidRPr="00E977A0">
        <w:t>l</w:t>
      </w:r>
      <w:r w:rsidR="00FD1963" w:rsidRPr="00E977A0">
        <w:t>kerung</w:t>
      </w:r>
      <w:bookmarkEnd w:id="2"/>
      <w:bookmarkEnd w:id="3"/>
    </w:p>
    <w:p w14:paraId="02365345" w14:textId="77777777" w:rsidR="00FD1963" w:rsidRDefault="00FD1963" w:rsidP="00FD1963">
      <w:pPr>
        <w:spacing w:line="276" w:lineRule="auto"/>
        <w:jc w:val="both"/>
        <w:rPr>
          <w:szCs w:val="22"/>
        </w:rPr>
      </w:pPr>
      <w:r>
        <w:rPr>
          <w:szCs w:val="22"/>
        </w:rPr>
        <w:t xml:space="preserve">Mit der </w:t>
      </w:r>
      <w:r w:rsidRPr="00E15792">
        <w:rPr>
          <w:szCs w:val="22"/>
        </w:rPr>
        <w:t>drogenpolitische</w:t>
      </w:r>
      <w:r>
        <w:rPr>
          <w:szCs w:val="22"/>
        </w:rPr>
        <w:t>n</w:t>
      </w:r>
      <w:r w:rsidRPr="00E15792">
        <w:rPr>
          <w:szCs w:val="22"/>
        </w:rPr>
        <w:t xml:space="preserve"> Regulierung </w:t>
      </w:r>
      <w:r>
        <w:rPr>
          <w:szCs w:val="22"/>
        </w:rPr>
        <w:t>verbunden ist die Grundfrage, welche</w:t>
      </w:r>
      <w:r w:rsidRPr="00E15792">
        <w:rPr>
          <w:szCs w:val="22"/>
        </w:rPr>
        <w:t xml:space="preserve"> Effek</w:t>
      </w:r>
      <w:r>
        <w:rPr>
          <w:szCs w:val="22"/>
        </w:rPr>
        <w:t xml:space="preserve">te </w:t>
      </w:r>
      <w:r w:rsidRPr="00E15792">
        <w:rPr>
          <w:szCs w:val="22"/>
        </w:rPr>
        <w:t>politische Regelungen auf die Verbrei</w:t>
      </w:r>
      <w:r>
        <w:rPr>
          <w:szCs w:val="22"/>
        </w:rPr>
        <w:t>tung des Konsums von Drogen in ein</w:t>
      </w:r>
      <w:r w:rsidRPr="00E15792">
        <w:rPr>
          <w:szCs w:val="22"/>
        </w:rPr>
        <w:t>er Bevölkerung tatsächli</w:t>
      </w:r>
      <w:r>
        <w:rPr>
          <w:szCs w:val="22"/>
        </w:rPr>
        <w:t>ch</w:t>
      </w:r>
      <w:r w:rsidRPr="00E15792">
        <w:rPr>
          <w:szCs w:val="22"/>
        </w:rPr>
        <w:t xml:space="preserve"> h</w:t>
      </w:r>
      <w:r w:rsidRPr="00E15792">
        <w:rPr>
          <w:szCs w:val="22"/>
        </w:rPr>
        <w:t>a</w:t>
      </w:r>
      <w:r>
        <w:rPr>
          <w:szCs w:val="22"/>
        </w:rPr>
        <w:t>ben:</w:t>
      </w:r>
    </w:p>
    <w:p w14:paraId="79252447" w14:textId="77777777" w:rsidR="00FD1963" w:rsidRPr="00795254" w:rsidRDefault="00FD1963" w:rsidP="00FD1963">
      <w:pPr>
        <w:pStyle w:val="Listenabsatz"/>
        <w:numPr>
          <w:ilvl w:val="0"/>
          <w:numId w:val="26"/>
        </w:numPr>
        <w:spacing w:line="276" w:lineRule="auto"/>
        <w:jc w:val="both"/>
        <w:rPr>
          <w:szCs w:val="22"/>
        </w:rPr>
      </w:pPr>
      <w:r w:rsidRPr="00795254">
        <w:rPr>
          <w:szCs w:val="22"/>
        </w:rPr>
        <w:t xml:space="preserve">Sowohl in Colorado als auch Washington sind die Konsumraten sowohl in Bezug auf die Lebenszeit- als auch auf die 30-Tages-Prävalenz </w:t>
      </w:r>
      <w:r>
        <w:rPr>
          <w:szCs w:val="22"/>
        </w:rPr>
        <w:t>mit</w:t>
      </w:r>
      <w:r w:rsidRPr="00795254">
        <w:rPr>
          <w:szCs w:val="22"/>
        </w:rPr>
        <w:t xml:space="preserve"> Beginn der Umsetzung der Reguli</w:t>
      </w:r>
      <w:r w:rsidRPr="00795254">
        <w:rPr>
          <w:szCs w:val="22"/>
        </w:rPr>
        <w:t>e</w:t>
      </w:r>
      <w:r w:rsidRPr="00795254">
        <w:rPr>
          <w:szCs w:val="22"/>
        </w:rPr>
        <w:t xml:space="preserve">rung insgesamt weiter sanft gestiegen. </w:t>
      </w:r>
      <w:r>
        <w:rPr>
          <w:szCs w:val="22"/>
        </w:rPr>
        <w:t>Diese Entwicklungen sind weit entfernt von e</w:t>
      </w:r>
      <w:r>
        <w:rPr>
          <w:szCs w:val="22"/>
        </w:rPr>
        <w:t>i</w:t>
      </w:r>
      <w:r>
        <w:rPr>
          <w:szCs w:val="22"/>
        </w:rPr>
        <w:t xml:space="preserve">nem Dammbruch-Szenarium. Vielmehr </w:t>
      </w:r>
      <w:r w:rsidRPr="00795254">
        <w:rPr>
          <w:szCs w:val="22"/>
        </w:rPr>
        <w:t xml:space="preserve">setzt sich </w:t>
      </w:r>
      <w:r>
        <w:rPr>
          <w:szCs w:val="22"/>
        </w:rPr>
        <w:t>d</w:t>
      </w:r>
      <w:r w:rsidRPr="00795254">
        <w:rPr>
          <w:szCs w:val="22"/>
        </w:rPr>
        <w:t xml:space="preserve">amit der Trend fort, der bereits seit 2002 und zudem USA-weit beobachtet </w:t>
      </w:r>
      <w:r>
        <w:rPr>
          <w:szCs w:val="22"/>
        </w:rPr>
        <w:t>wird</w:t>
      </w:r>
      <w:r w:rsidRPr="00795254">
        <w:rPr>
          <w:szCs w:val="22"/>
        </w:rPr>
        <w:t xml:space="preserve">. Durch diesen ist Cannabis in den USA zu der </w:t>
      </w:r>
      <w:r>
        <w:rPr>
          <w:szCs w:val="22"/>
        </w:rPr>
        <w:t>meist</w:t>
      </w:r>
      <w:r w:rsidRPr="00795254">
        <w:rPr>
          <w:szCs w:val="22"/>
        </w:rPr>
        <w:t xml:space="preserve"> konsumierten illegalisierten psychoaktiven Substanz geworden und dies scheinbar unbeeinflusst durch die Regulierung. </w:t>
      </w:r>
    </w:p>
    <w:p w14:paraId="20EDAA10" w14:textId="77922FA2" w:rsidR="00FD1963" w:rsidRDefault="00FD1963" w:rsidP="00FD1963">
      <w:pPr>
        <w:pStyle w:val="Listenabsatz"/>
        <w:widowControl w:val="0"/>
        <w:numPr>
          <w:ilvl w:val="0"/>
          <w:numId w:val="26"/>
        </w:numPr>
        <w:autoSpaceDE w:val="0"/>
        <w:autoSpaceDN w:val="0"/>
        <w:adjustRightInd w:val="0"/>
        <w:spacing w:line="276" w:lineRule="auto"/>
        <w:jc w:val="both"/>
        <w:rPr>
          <w:szCs w:val="22"/>
        </w:rPr>
      </w:pPr>
      <w:r>
        <w:rPr>
          <w:szCs w:val="22"/>
        </w:rPr>
        <w:t>Interessant ist, dass die</w:t>
      </w:r>
      <w:r w:rsidRPr="00784A31">
        <w:rPr>
          <w:szCs w:val="22"/>
        </w:rPr>
        <w:t xml:space="preserve"> Erhöhung der Konsumrate für die Gesamtbevölkerung haup</w:t>
      </w:r>
      <w:r w:rsidRPr="00784A31">
        <w:rPr>
          <w:szCs w:val="22"/>
        </w:rPr>
        <w:t>t</w:t>
      </w:r>
      <w:r w:rsidRPr="00784A31">
        <w:rPr>
          <w:szCs w:val="22"/>
        </w:rPr>
        <w:t>sächlich auf die Steigerung des Konsums in der erwachsenen Bevölkerung (älter als 26 Jahre) und mit einem geringen Antei</w:t>
      </w:r>
      <w:r>
        <w:rPr>
          <w:szCs w:val="22"/>
        </w:rPr>
        <w:t>l in der Altersgruppe der 12-17-J</w:t>
      </w:r>
      <w:r w:rsidRPr="00784A31">
        <w:rPr>
          <w:szCs w:val="22"/>
        </w:rPr>
        <w:t>ährigen zurüc</w:t>
      </w:r>
      <w:r w:rsidRPr="00784A31">
        <w:rPr>
          <w:szCs w:val="22"/>
        </w:rPr>
        <w:t>k</w:t>
      </w:r>
      <w:r w:rsidRPr="00784A31">
        <w:rPr>
          <w:szCs w:val="22"/>
        </w:rPr>
        <w:t>geht; für die 18-25</w:t>
      </w:r>
      <w:r>
        <w:rPr>
          <w:szCs w:val="22"/>
        </w:rPr>
        <w:t>-</w:t>
      </w:r>
      <w:r w:rsidRPr="00784A31">
        <w:rPr>
          <w:szCs w:val="22"/>
        </w:rPr>
        <w:t>Jährigen finden sich sogar rückläufige Konsumraten. Diese Befr</w:t>
      </w:r>
      <w:r w:rsidRPr="00784A31">
        <w:rPr>
          <w:szCs w:val="22"/>
        </w:rPr>
        <w:t>a</w:t>
      </w:r>
      <w:r w:rsidRPr="00784A31">
        <w:rPr>
          <w:szCs w:val="22"/>
        </w:rPr>
        <w:t xml:space="preserve">gungsergebnisse unterstreichen, dass im Gefolge von </w:t>
      </w:r>
      <w:r>
        <w:t>Regulierungs</w:t>
      </w:r>
      <w:r w:rsidRPr="00784A31">
        <w:rPr>
          <w:szCs w:val="22"/>
        </w:rPr>
        <w:t>prozessen damit g</w:t>
      </w:r>
      <w:r w:rsidRPr="00784A31">
        <w:rPr>
          <w:szCs w:val="22"/>
        </w:rPr>
        <w:t>e</w:t>
      </w:r>
      <w:r w:rsidRPr="00784A31">
        <w:rPr>
          <w:szCs w:val="22"/>
        </w:rPr>
        <w:t>rechnet werden kann, dass bestimmte Bevölkerungsgruppen – in der Regel ältere E</w:t>
      </w:r>
      <w:r w:rsidRPr="00784A31">
        <w:rPr>
          <w:szCs w:val="22"/>
        </w:rPr>
        <w:t>r</w:t>
      </w:r>
      <w:r w:rsidRPr="00784A31">
        <w:rPr>
          <w:szCs w:val="22"/>
        </w:rPr>
        <w:t>wachsene, die mit Blick auf die angedrohten Strafen bisher auf den Konsum verzichtet haben – die Chance nutzen, Erfahrungen mit diesem Konsum nachzuholen, ohne diesen als regelmäßigen Konsum in ihren Lebensstil zu integrieren. Es gilt deshalb im Zeitve</w:t>
      </w:r>
      <w:r w:rsidRPr="00784A31">
        <w:rPr>
          <w:szCs w:val="22"/>
        </w:rPr>
        <w:t>r</w:t>
      </w:r>
      <w:r w:rsidRPr="00784A31">
        <w:rPr>
          <w:szCs w:val="22"/>
        </w:rPr>
        <w:t xml:space="preserve">lauf zu prüfen, ob sich dieser </w:t>
      </w:r>
      <w:r>
        <w:rPr>
          <w:szCs w:val="22"/>
        </w:rPr>
        <w:t xml:space="preserve">anfänglich </w:t>
      </w:r>
      <w:r w:rsidRPr="00784A31">
        <w:rPr>
          <w:szCs w:val="22"/>
        </w:rPr>
        <w:t>verstärkte P</w:t>
      </w:r>
      <w:r>
        <w:rPr>
          <w:szCs w:val="22"/>
        </w:rPr>
        <w:t>robierkonsum normalisieren wird</w:t>
      </w:r>
      <w:r w:rsidRPr="00784A31">
        <w:rPr>
          <w:szCs w:val="22"/>
        </w:rPr>
        <w:t>. Drogenerziehung und Prävention sollten diese sich offensichtlich regelmäßig einstelle</w:t>
      </w:r>
      <w:r w:rsidRPr="00784A31">
        <w:rPr>
          <w:szCs w:val="22"/>
        </w:rPr>
        <w:t>n</w:t>
      </w:r>
      <w:r w:rsidRPr="00784A31">
        <w:rPr>
          <w:szCs w:val="22"/>
        </w:rPr>
        <w:t>den Entwicklungen im Auge haben und mit entsprechender Information, Aufklärung und begleitenden Angeboten dazu beitragen, dass dieser Neugier-Konsum ohne physische, psychische und soziale Folgen bleib</w:t>
      </w:r>
      <w:r>
        <w:rPr>
          <w:szCs w:val="22"/>
        </w:rPr>
        <w:t>t</w:t>
      </w:r>
      <w:r w:rsidRPr="00784A31">
        <w:rPr>
          <w:szCs w:val="22"/>
        </w:rPr>
        <w:t xml:space="preserve">. </w:t>
      </w:r>
    </w:p>
    <w:p w14:paraId="58A1F25D" w14:textId="49A6DF59" w:rsidR="00FD1963" w:rsidRPr="00FD1963" w:rsidRDefault="00FD1963" w:rsidP="00FD1963">
      <w:pPr>
        <w:pStyle w:val="Listenabsatz"/>
        <w:widowControl w:val="0"/>
        <w:numPr>
          <w:ilvl w:val="0"/>
          <w:numId w:val="26"/>
        </w:numPr>
        <w:autoSpaceDE w:val="0"/>
        <w:autoSpaceDN w:val="0"/>
        <w:adjustRightInd w:val="0"/>
        <w:spacing w:line="276" w:lineRule="auto"/>
        <w:jc w:val="both"/>
        <w:rPr>
          <w:szCs w:val="22"/>
        </w:rPr>
      </w:pPr>
      <w:r w:rsidRPr="002E78A9">
        <w:t xml:space="preserve">Die </w:t>
      </w:r>
      <w:r>
        <w:t xml:space="preserve">USA-weiten </w:t>
      </w:r>
      <w:r w:rsidRPr="002E78A9">
        <w:t>Daten zu</w:t>
      </w:r>
      <w:r>
        <w:t xml:space="preserve">r </w:t>
      </w:r>
      <w:r w:rsidRPr="00784A31">
        <w:rPr>
          <w:szCs w:val="22"/>
        </w:rPr>
        <w:t>30-Tage-Prävalenz</w:t>
      </w:r>
      <w:r>
        <w:rPr>
          <w:rStyle w:val="Funotenzeichen"/>
          <w:szCs w:val="22"/>
        </w:rPr>
        <w:footnoteReference w:id="1"/>
      </w:r>
      <w:r w:rsidRPr="002E78A9">
        <w:t xml:space="preserve"> und </w:t>
      </w:r>
      <w:r>
        <w:t>zum sporadischen</w:t>
      </w:r>
      <w:r w:rsidRPr="002E78A9">
        <w:t xml:space="preserve"> Konsum</w:t>
      </w:r>
      <w:r>
        <w:t xml:space="preserve"> (Konsum im letzten Jahr) </w:t>
      </w:r>
      <w:r w:rsidRPr="002E78A9">
        <w:t xml:space="preserve">stützen </w:t>
      </w:r>
      <w:r>
        <w:t xml:space="preserve">zudem </w:t>
      </w:r>
      <w:r w:rsidRPr="002E78A9">
        <w:t>die Hypothese, dass drogenpolitische Regelungen nur bedingt Einfluss auf die Verbreitung des Konsums einer Substanz in der Bevölkerung haben</w:t>
      </w:r>
      <w:r>
        <w:t xml:space="preserve">. </w:t>
      </w:r>
      <w:r w:rsidRPr="00784A31">
        <w:rPr>
          <w:rFonts w:cs="Lucida Grande"/>
          <w:szCs w:val="22"/>
        </w:rPr>
        <w:t xml:space="preserve">Aufschlussreich diesbezüglich sind </w:t>
      </w:r>
      <w:r>
        <w:rPr>
          <w:rFonts w:cs="Lucida Grande"/>
          <w:szCs w:val="22"/>
        </w:rPr>
        <w:t xml:space="preserve">sowohl </w:t>
      </w:r>
      <w:r w:rsidRPr="00784A31">
        <w:rPr>
          <w:rFonts w:cs="Lucida Grande"/>
          <w:szCs w:val="22"/>
        </w:rPr>
        <w:t>die Unterschiede in der Verbreitung des Marihuana-Konsums zwischen</w:t>
      </w:r>
      <w:r>
        <w:rPr>
          <w:rFonts w:cs="Lucida Grande"/>
          <w:szCs w:val="22"/>
        </w:rPr>
        <w:t xml:space="preserve"> den Bundesstaaten</w:t>
      </w:r>
      <w:r w:rsidRPr="00784A31">
        <w:rPr>
          <w:rFonts w:cs="Lucida Grande"/>
          <w:szCs w:val="22"/>
        </w:rPr>
        <w:t xml:space="preserve">, als auch </w:t>
      </w:r>
      <w:r>
        <w:rPr>
          <w:rFonts w:cs="Lucida Grande"/>
          <w:szCs w:val="22"/>
        </w:rPr>
        <w:t>zwischen den</w:t>
      </w:r>
      <w:r w:rsidRPr="00784A31">
        <w:rPr>
          <w:rFonts w:cs="Lucida Grande"/>
          <w:szCs w:val="22"/>
        </w:rPr>
        <w:t xml:space="preserve"> einzelnen Counties/Landkreise</w:t>
      </w:r>
      <w:r>
        <w:rPr>
          <w:rFonts w:cs="Lucida Grande"/>
          <w:szCs w:val="22"/>
        </w:rPr>
        <w:t>n</w:t>
      </w:r>
      <w:r w:rsidRPr="00784A31">
        <w:rPr>
          <w:rFonts w:cs="Lucida Grande"/>
          <w:szCs w:val="22"/>
        </w:rPr>
        <w:t xml:space="preserve"> innerhalb </w:t>
      </w:r>
      <w:r>
        <w:rPr>
          <w:rFonts w:cs="Lucida Grande"/>
          <w:szCs w:val="22"/>
        </w:rPr>
        <w:t>eines</w:t>
      </w:r>
      <w:r w:rsidRPr="00784A31">
        <w:rPr>
          <w:rFonts w:cs="Lucida Grande"/>
          <w:szCs w:val="22"/>
        </w:rPr>
        <w:t xml:space="preserve"> Bundesstaat</w:t>
      </w:r>
      <w:r>
        <w:rPr>
          <w:rFonts w:cs="Lucida Grande"/>
          <w:szCs w:val="22"/>
        </w:rPr>
        <w:t>es</w:t>
      </w:r>
      <w:r w:rsidRPr="00784A31">
        <w:rPr>
          <w:rFonts w:cs="Lucida Grande"/>
          <w:szCs w:val="22"/>
        </w:rPr>
        <w:t xml:space="preserve">. Darin werden </w:t>
      </w:r>
      <w:r>
        <w:rPr>
          <w:rFonts w:cs="Lucida Grande"/>
          <w:szCs w:val="22"/>
        </w:rPr>
        <w:t>deutliche</w:t>
      </w:r>
      <w:r w:rsidRPr="00784A31">
        <w:rPr>
          <w:rFonts w:cs="Lucida Grande"/>
          <w:szCs w:val="22"/>
        </w:rPr>
        <w:t xml:space="preserve"> Unte</w:t>
      </w:r>
      <w:r w:rsidRPr="00784A31">
        <w:rPr>
          <w:rFonts w:cs="Lucida Grande"/>
          <w:szCs w:val="22"/>
        </w:rPr>
        <w:t>r</w:t>
      </w:r>
      <w:r w:rsidRPr="00784A31">
        <w:rPr>
          <w:rFonts w:cs="Lucida Grande"/>
          <w:szCs w:val="22"/>
        </w:rPr>
        <w:t>schiede in den ermittelten durchschnittlich Raten des aktuellen Marihuana-Konsums (Konsum im letzten Monat) in der Bevölkerung (älter als 12 Jahre) sichtbar</w:t>
      </w:r>
      <w:r>
        <w:rPr>
          <w:rFonts w:cs="Lucida Grande"/>
          <w:szCs w:val="22"/>
        </w:rPr>
        <w:t xml:space="preserve">, die nicht in einem Zusammenhang zu den drogenpolitischen Regelungen gebracht werden können. </w:t>
      </w:r>
      <w:r w:rsidRPr="00FD1963">
        <w:rPr>
          <w:rFonts w:cs="Lucida Grande"/>
        </w:rPr>
        <w:t>Erkennbar wird</w:t>
      </w:r>
      <w:r>
        <w:rPr>
          <w:rFonts w:cs="Lucida Grande"/>
        </w:rPr>
        <w:t xml:space="preserve"> auch auf diese Weise</w:t>
      </w:r>
      <w:r w:rsidRPr="00FD1963">
        <w:rPr>
          <w:rFonts w:cs="Lucida Grande"/>
        </w:rPr>
        <w:t xml:space="preserve">, dass selbst in Bundesstaaten, die im Rahmen ihrer Hoheitsrechte liberale drogenpolitische Regelungen durchgesetzt haben, der Marihuana-Konsum regional sehr unterschiedlichen verbreitet ist. </w:t>
      </w:r>
      <w:r w:rsidRPr="00FD1963">
        <w:rPr>
          <w:szCs w:val="22"/>
        </w:rPr>
        <w:t xml:space="preserve">Insofern bestätigt sich, dass die legale Verfügbarkeit einer psychoaktiven Substanz </w:t>
      </w:r>
      <w:r w:rsidRPr="00FD1963">
        <w:rPr>
          <w:i/>
          <w:szCs w:val="22"/>
        </w:rPr>
        <w:t>erstens</w:t>
      </w:r>
      <w:r w:rsidRPr="00FD1963">
        <w:rPr>
          <w:szCs w:val="22"/>
        </w:rPr>
        <w:t xml:space="preserve"> nur einer von vielen Faktoren ist, die die Verbreitung des Konsums beeinflussen, </w:t>
      </w:r>
      <w:r w:rsidRPr="00FD1963">
        <w:rPr>
          <w:i/>
          <w:szCs w:val="22"/>
        </w:rPr>
        <w:t>zweitens</w:t>
      </w:r>
      <w:r w:rsidRPr="00FD1963">
        <w:rPr>
          <w:szCs w:val="22"/>
        </w:rPr>
        <w:t xml:space="preserve"> aus anderen sozialen Bez</w:t>
      </w:r>
      <w:r w:rsidRPr="00FD1963">
        <w:rPr>
          <w:szCs w:val="22"/>
        </w:rPr>
        <w:t>ü</w:t>
      </w:r>
      <w:r w:rsidRPr="00FD1963">
        <w:rPr>
          <w:szCs w:val="22"/>
        </w:rPr>
        <w:t>gen weit gravierendere Einflüsse auf Beginn, Fortsetzung und das mögliche problemat</w:t>
      </w:r>
      <w:r w:rsidRPr="00FD1963">
        <w:rPr>
          <w:szCs w:val="22"/>
        </w:rPr>
        <w:t>i</w:t>
      </w:r>
      <w:r w:rsidRPr="00FD1963">
        <w:rPr>
          <w:szCs w:val="22"/>
        </w:rPr>
        <w:t xml:space="preserve">sche Entgleiten des Konsums kommen, die jedoch </w:t>
      </w:r>
      <w:r w:rsidRPr="00FD1963">
        <w:rPr>
          <w:i/>
          <w:szCs w:val="22"/>
        </w:rPr>
        <w:t>drittens</w:t>
      </w:r>
      <w:r w:rsidRPr="00FD1963">
        <w:rPr>
          <w:szCs w:val="22"/>
        </w:rPr>
        <w:t xml:space="preserve"> politischen Maßnahmen eher nicht zugänglich sind. </w:t>
      </w:r>
    </w:p>
    <w:p w14:paraId="57DBCFB9" w14:textId="77777777" w:rsidR="00FD1963" w:rsidRDefault="00FD1963" w:rsidP="00FD1963">
      <w:pPr>
        <w:spacing w:line="276" w:lineRule="auto"/>
        <w:jc w:val="both"/>
      </w:pPr>
    </w:p>
    <w:p w14:paraId="26BCC24D" w14:textId="77777777" w:rsidR="00FD1963" w:rsidRPr="001E58DF" w:rsidRDefault="00FD1963" w:rsidP="00FD1963">
      <w:pPr>
        <w:spacing w:line="276" w:lineRule="auto"/>
        <w:jc w:val="both"/>
        <w:rPr>
          <w:b/>
        </w:rPr>
      </w:pPr>
      <w:r w:rsidRPr="001E58DF">
        <w:rPr>
          <w:b/>
        </w:rPr>
        <w:t>Forschungsdilemmata</w:t>
      </w:r>
    </w:p>
    <w:p w14:paraId="3276D280" w14:textId="5BA615C3" w:rsidR="00FD1963" w:rsidRDefault="00FD1963" w:rsidP="00FD1963">
      <w:pPr>
        <w:spacing w:line="276" w:lineRule="auto"/>
        <w:jc w:val="both"/>
      </w:pPr>
      <w:r>
        <w:t xml:space="preserve">Die </w:t>
      </w:r>
      <w:r w:rsidRPr="002E78A9">
        <w:t>Hypothese</w:t>
      </w:r>
      <w:r>
        <w:t xml:space="preserve"> von einem geringen Einfluss drogenpolitischer Regelungen auf Konsumraten ist keineswegs neu und findet nun im Zuge der Regulierung/Legalisierung des Freizeitkonsums von Marihuana in USA-Bundesstaaten erneut ihre Bestätigung</w:t>
      </w:r>
      <w:r w:rsidRPr="002E78A9">
        <w:t xml:space="preserve">. Bis heute ist unklar, wieweit </w:t>
      </w:r>
      <w:r>
        <w:t>verä</w:t>
      </w:r>
      <w:r>
        <w:t>n</w:t>
      </w:r>
      <w:r>
        <w:t>derte</w:t>
      </w:r>
      <w:r w:rsidRPr="002E78A9">
        <w:t xml:space="preserve"> Lebensstile </w:t>
      </w:r>
      <w:r>
        <w:t>von</w:t>
      </w:r>
      <w:r w:rsidRPr="002E78A9">
        <w:t xml:space="preserve"> Jugendlichen, eine andere Wahrnehmung der Risiken, ein Umstieg auf legale (Alkohol) oder </w:t>
      </w:r>
      <w:r>
        <w:t xml:space="preserve">auf </w:t>
      </w:r>
      <w:r w:rsidRPr="002E78A9">
        <w:t>andere illegalisierte Drogen</w:t>
      </w:r>
      <w:r>
        <w:t>,</w:t>
      </w:r>
      <w:r w:rsidRPr="002E78A9">
        <w:t xml:space="preserve"> </w:t>
      </w:r>
      <w:r>
        <w:t>ein</w:t>
      </w:r>
      <w:r w:rsidRPr="002E78A9">
        <w:t xml:space="preserve"> rückläufige</w:t>
      </w:r>
      <w:r>
        <w:t>r</w:t>
      </w:r>
      <w:r w:rsidRPr="002E78A9">
        <w:t xml:space="preserve"> Zigarettenkonsum oder </w:t>
      </w:r>
      <w:r>
        <w:t xml:space="preserve">noch ganz andere Faktoren </w:t>
      </w:r>
      <w:r w:rsidRPr="002E78A9">
        <w:t>Einfluss</w:t>
      </w:r>
      <w:r>
        <w:t xml:space="preserve"> auf </w:t>
      </w:r>
      <w:r w:rsidRPr="002E78A9">
        <w:t xml:space="preserve">die Verbreitung des Cannabiskonsums </w:t>
      </w:r>
      <w:r>
        <w:t>haben</w:t>
      </w:r>
      <w:r w:rsidRPr="002E78A9">
        <w:t xml:space="preserve">. </w:t>
      </w:r>
      <w:r>
        <w:t>Diesen Bezügen sollte in weiteren Forschungen nachgegangen werden.</w:t>
      </w:r>
    </w:p>
    <w:p w14:paraId="137639C4" w14:textId="77777777" w:rsidR="00FD1963" w:rsidRDefault="00FD1963" w:rsidP="00FD1963">
      <w:pPr>
        <w:spacing w:line="276" w:lineRule="auto"/>
        <w:jc w:val="both"/>
        <w:rPr>
          <w:szCs w:val="22"/>
        </w:rPr>
      </w:pPr>
      <w:r>
        <w:rPr>
          <w:szCs w:val="22"/>
        </w:rPr>
        <w:t>Zudem sind auch indirekte Einflü</w:t>
      </w:r>
      <w:r w:rsidRPr="00762252">
        <w:rPr>
          <w:szCs w:val="22"/>
        </w:rPr>
        <w:t>ss</w:t>
      </w:r>
      <w:r>
        <w:rPr>
          <w:szCs w:val="22"/>
        </w:rPr>
        <w:t>e</w:t>
      </w:r>
      <w:r w:rsidRPr="00762252">
        <w:rPr>
          <w:szCs w:val="22"/>
        </w:rPr>
        <w:t xml:space="preserve"> von </w:t>
      </w:r>
      <w:r>
        <w:rPr>
          <w:szCs w:val="22"/>
        </w:rPr>
        <w:t>Maßnahmen der Entkrimi</w:t>
      </w:r>
      <w:r w:rsidRPr="00762252">
        <w:rPr>
          <w:szCs w:val="22"/>
        </w:rPr>
        <w:t xml:space="preserve">nalisierung und Regulierung </w:t>
      </w:r>
      <w:r>
        <w:rPr>
          <w:szCs w:val="22"/>
        </w:rPr>
        <w:t>auf die Verbreitung des Konsums zu prüfen. Hypothetisch lässt sich annehmen, dass Liberalisi</w:t>
      </w:r>
      <w:r>
        <w:rPr>
          <w:szCs w:val="22"/>
        </w:rPr>
        <w:t>e</w:t>
      </w:r>
      <w:r>
        <w:rPr>
          <w:szCs w:val="22"/>
        </w:rPr>
        <w:t>rungsmaßnahmen</w:t>
      </w:r>
      <w:r w:rsidRPr="00762252">
        <w:rPr>
          <w:szCs w:val="22"/>
        </w:rPr>
        <w:t xml:space="preserve"> auf der einen Seite eine Entstigmatisierung von Konsument</w:t>
      </w:r>
      <w:r>
        <w:rPr>
          <w:szCs w:val="22"/>
        </w:rPr>
        <w:t xml:space="preserve">en </w:t>
      </w:r>
      <w:r w:rsidRPr="00762252">
        <w:rPr>
          <w:szCs w:val="22"/>
        </w:rPr>
        <w:t xml:space="preserve">anschieben, weshalb sich mehr </w:t>
      </w:r>
      <w:r>
        <w:rPr>
          <w:szCs w:val="22"/>
        </w:rPr>
        <w:t xml:space="preserve">Interessenten </w:t>
      </w:r>
      <w:r w:rsidRPr="00762252">
        <w:rPr>
          <w:szCs w:val="22"/>
        </w:rPr>
        <w:t xml:space="preserve">zu einem Konsum entschließen. </w:t>
      </w:r>
      <w:r>
        <w:rPr>
          <w:szCs w:val="22"/>
        </w:rPr>
        <w:t>Auf der anderen Seite</w:t>
      </w:r>
      <w:r w:rsidRPr="00762252">
        <w:rPr>
          <w:szCs w:val="22"/>
        </w:rPr>
        <w:t xml:space="preserve"> kommt aber auch eine Normalisierung in Gang, </w:t>
      </w:r>
      <w:r>
        <w:rPr>
          <w:szCs w:val="22"/>
        </w:rPr>
        <w:t xml:space="preserve">weshalb sich der Umgang mit </w:t>
      </w:r>
      <w:r w:rsidRPr="00762252">
        <w:rPr>
          <w:szCs w:val="22"/>
        </w:rPr>
        <w:t>d</w:t>
      </w:r>
      <w:r>
        <w:rPr>
          <w:szCs w:val="22"/>
        </w:rPr>
        <w:t>ies</w:t>
      </w:r>
      <w:r w:rsidRPr="00762252">
        <w:rPr>
          <w:szCs w:val="22"/>
        </w:rPr>
        <w:t>er</w:t>
      </w:r>
      <w:r>
        <w:rPr>
          <w:szCs w:val="22"/>
        </w:rPr>
        <w:t xml:space="preserve"> Substanz </w:t>
      </w:r>
      <w:r w:rsidRPr="00762252">
        <w:rPr>
          <w:szCs w:val="22"/>
        </w:rPr>
        <w:t>weniger als Statussymbol und Distinktion</w:t>
      </w:r>
      <w:r>
        <w:rPr>
          <w:szCs w:val="22"/>
        </w:rPr>
        <w:t>s</w:t>
      </w:r>
      <w:r w:rsidRPr="00762252">
        <w:rPr>
          <w:szCs w:val="22"/>
        </w:rPr>
        <w:t xml:space="preserve">medium </w:t>
      </w:r>
      <w:r>
        <w:rPr>
          <w:szCs w:val="22"/>
        </w:rPr>
        <w:t xml:space="preserve">z. B. </w:t>
      </w:r>
      <w:r w:rsidRPr="00762252">
        <w:rPr>
          <w:szCs w:val="22"/>
        </w:rPr>
        <w:t>für opponierende Lebensstile eig</w:t>
      </w:r>
      <w:r>
        <w:rPr>
          <w:szCs w:val="22"/>
        </w:rPr>
        <w:t xml:space="preserve">net und nun </w:t>
      </w:r>
      <w:r w:rsidRPr="00762252">
        <w:rPr>
          <w:szCs w:val="22"/>
        </w:rPr>
        <w:t xml:space="preserve">für </w:t>
      </w:r>
      <w:r>
        <w:rPr>
          <w:szCs w:val="22"/>
        </w:rPr>
        <w:t>bestimmte</w:t>
      </w:r>
      <w:r w:rsidRPr="00762252">
        <w:rPr>
          <w:szCs w:val="22"/>
        </w:rPr>
        <w:t xml:space="preserve"> Bevölkerungsgruppe</w:t>
      </w:r>
      <w:r>
        <w:rPr>
          <w:szCs w:val="22"/>
        </w:rPr>
        <w:t>n</w:t>
      </w:r>
      <w:r w:rsidRPr="00762252">
        <w:rPr>
          <w:szCs w:val="22"/>
        </w:rPr>
        <w:t xml:space="preserve"> an Attraktivität</w:t>
      </w:r>
      <w:r>
        <w:rPr>
          <w:szCs w:val="22"/>
        </w:rPr>
        <w:t xml:space="preserve"> verliert</w:t>
      </w:r>
      <w:r w:rsidRPr="00762252">
        <w:rPr>
          <w:szCs w:val="22"/>
        </w:rPr>
        <w:t xml:space="preserve">. </w:t>
      </w:r>
      <w:r>
        <w:rPr>
          <w:szCs w:val="22"/>
        </w:rPr>
        <w:t xml:space="preserve">Insofern können sich </w:t>
      </w:r>
      <w:r w:rsidRPr="00762252">
        <w:rPr>
          <w:szCs w:val="22"/>
        </w:rPr>
        <w:t>überlagernde Entwicklungen</w:t>
      </w:r>
      <w:r>
        <w:rPr>
          <w:szCs w:val="22"/>
        </w:rPr>
        <w:t xml:space="preserve"> stattfinden</w:t>
      </w:r>
      <w:r w:rsidRPr="00762252">
        <w:rPr>
          <w:szCs w:val="22"/>
        </w:rPr>
        <w:t xml:space="preserve">, </w:t>
      </w:r>
      <w:r>
        <w:rPr>
          <w:szCs w:val="22"/>
        </w:rPr>
        <w:t xml:space="preserve">die sich allerdings mit den bisher durchgeführten Studiendesigns </w:t>
      </w:r>
      <w:r w:rsidRPr="000E7234">
        <w:rPr>
          <w:i/>
          <w:szCs w:val="22"/>
        </w:rPr>
        <w:t>erstens</w:t>
      </w:r>
      <w:r>
        <w:rPr>
          <w:szCs w:val="22"/>
        </w:rPr>
        <w:t xml:space="preserve"> nicht erfassen lassen, </w:t>
      </w:r>
      <w:r w:rsidRPr="000E7234">
        <w:rPr>
          <w:i/>
          <w:szCs w:val="22"/>
        </w:rPr>
        <w:t>zweitens</w:t>
      </w:r>
      <w:r>
        <w:rPr>
          <w:szCs w:val="22"/>
        </w:rPr>
        <w:t xml:space="preserve"> </w:t>
      </w:r>
      <w:r w:rsidRPr="00762252">
        <w:rPr>
          <w:szCs w:val="22"/>
        </w:rPr>
        <w:t xml:space="preserve">keine direkten Folgen drogenpolitischer Maßnahmen sind, aber </w:t>
      </w:r>
      <w:r w:rsidRPr="000E7234">
        <w:rPr>
          <w:i/>
          <w:szCs w:val="22"/>
        </w:rPr>
        <w:t>drittens</w:t>
      </w:r>
      <w:r>
        <w:rPr>
          <w:szCs w:val="22"/>
        </w:rPr>
        <w:t xml:space="preserve"> </w:t>
      </w:r>
      <w:r w:rsidRPr="00762252">
        <w:rPr>
          <w:szCs w:val="22"/>
        </w:rPr>
        <w:t>von diesen beeinflusst werden</w:t>
      </w:r>
      <w:r>
        <w:rPr>
          <w:szCs w:val="22"/>
        </w:rPr>
        <w:t>. Auch hierzu zeichnet sich Forschungsbedarf ab.</w:t>
      </w:r>
    </w:p>
    <w:p w14:paraId="5036C20B" w14:textId="77777777" w:rsidR="00FD1963" w:rsidRPr="00FD4027" w:rsidRDefault="00FD1963" w:rsidP="00FD1963">
      <w:pPr>
        <w:pStyle w:val="berschrift2"/>
      </w:pPr>
      <w:bookmarkStart w:id="4" w:name="_Toc343418246"/>
      <w:bookmarkStart w:id="5" w:name="_Toc349300334"/>
      <w:r>
        <w:t xml:space="preserve">Regulierungsprozesse und deren  </w:t>
      </w:r>
      <w:r w:rsidRPr="00FD4027">
        <w:t>Auswirkungen auf Jugendliche</w:t>
      </w:r>
      <w:bookmarkEnd w:id="4"/>
      <w:bookmarkEnd w:id="5"/>
    </w:p>
    <w:p w14:paraId="5FBF0CCA" w14:textId="5603BCEF" w:rsidR="00FD1963" w:rsidRDefault="00FD1963" w:rsidP="00FD1963">
      <w:pPr>
        <w:spacing w:line="276" w:lineRule="auto"/>
        <w:jc w:val="both"/>
      </w:pPr>
      <w:r>
        <w:t>Welchen Einfluss Regulierungsprozesse</w:t>
      </w:r>
      <w:r w:rsidRPr="00741D23">
        <w:t xml:space="preserve"> auf die gesundheitliche und soziale Entwicklung J</w:t>
      </w:r>
      <w:r w:rsidRPr="00741D23">
        <w:t>u</w:t>
      </w:r>
      <w:r w:rsidRPr="00741D23">
        <w:t>gendlicher</w:t>
      </w:r>
      <w:r>
        <w:t xml:space="preserve"> (12-17 Jahre)</w:t>
      </w:r>
      <w:r w:rsidRPr="00741D23">
        <w:t xml:space="preserve"> und Heranwachsender </w:t>
      </w:r>
      <w:r>
        <w:t>(18-21 Jahre) haben, ist</w:t>
      </w:r>
      <w:r w:rsidRPr="00741D23">
        <w:t xml:space="preserve"> in drogenpolitischen Diskussionen </w:t>
      </w:r>
      <w:r>
        <w:t>eine zentrale Frage</w:t>
      </w:r>
      <w:r w:rsidRPr="00741D23">
        <w:t>.</w:t>
      </w:r>
      <w:r>
        <w:t xml:space="preserve"> In den beiden Bundesstaaten, die bereits an einem Radical political Shift arbeiten, sind allerdings Jugendliche bis 21 Jahre von Regulierungsbemühungen ausgeschlossen und weiterhin einer Totalprohibition unterstellt. Insofern lässt sich nur skizzi</w:t>
      </w:r>
      <w:r>
        <w:t>e</w:t>
      </w:r>
      <w:r>
        <w:t>ren, welche Einflüsse sich für Jugendliche aus der veränderten Umgangsweise der Erwachsenen mit Marihuana ergeben. Für die Beurteilung der Regulierungsprozesse werden oft Risikobewe</w:t>
      </w:r>
      <w:r>
        <w:t>r</w:t>
      </w:r>
      <w:r>
        <w:t>tungen des Konsums, Verfügbarkeit und Konsum trotz Verbot, in einigen Übersichtsarbeiten auch Schulverweise/-ausschlüsse, medizinische Notfälle, Erkrankungen und Therapieaufna</w:t>
      </w:r>
      <w:r>
        <w:t>h</w:t>
      </w:r>
      <w:r>
        <w:t>men herangezogen, deren Eignung aber konträr diskutiert</w:t>
      </w:r>
      <w:r w:rsidRPr="004A3E5E">
        <w:t xml:space="preserve"> </w:t>
      </w:r>
      <w:r>
        <w:t xml:space="preserve">wird.  </w:t>
      </w:r>
    </w:p>
    <w:p w14:paraId="117A5A3D" w14:textId="77777777" w:rsidR="00FD1963" w:rsidRPr="006154FB" w:rsidRDefault="00FD1963" w:rsidP="00FD1963">
      <w:pPr>
        <w:pStyle w:val="Listenabsatz"/>
        <w:numPr>
          <w:ilvl w:val="0"/>
          <w:numId w:val="32"/>
        </w:numPr>
        <w:spacing w:line="276" w:lineRule="auto"/>
        <w:ind w:left="284" w:hanging="284"/>
        <w:jc w:val="both"/>
      </w:pPr>
      <w:r w:rsidRPr="006154FB">
        <w:rPr>
          <w:rFonts w:cs="Times"/>
          <w:szCs w:val="22"/>
        </w:rPr>
        <w:t>Für die Altersgruppe der 12-18Jährigen werden in den USA insgesamt bereits seit 2011 si</w:t>
      </w:r>
      <w:r w:rsidRPr="006154FB">
        <w:rPr>
          <w:rFonts w:cs="Times"/>
          <w:szCs w:val="22"/>
        </w:rPr>
        <w:t>n</w:t>
      </w:r>
      <w:r w:rsidRPr="006154FB">
        <w:rPr>
          <w:rFonts w:cs="Times"/>
          <w:szCs w:val="22"/>
        </w:rPr>
        <w:t>kende Konsumraten ausgewiesen. Schon seit den 1990er Jahren kommen 20-22 % aller M</w:t>
      </w:r>
      <w:r w:rsidRPr="006154FB">
        <w:rPr>
          <w:rFonts w:cs="Times"/>
          <w:szCs w:val="22"/>
        </w:rPr>
        <w:t>a</w:t>
      </w:r>
      <w:r w:rsidRPr="006154FB">
        <w:rPr>
          <w:rFonts w:cs="Times"/>
          <w:szCs w:val="22"/>
        </w:rPr>
        <w:t xml:space="preserve">rihuana-Konsumenten aus der Gruppe der 18-25Jährigen. In der Gesamtbevölkerung weist diese Gruppe schon lange die höchsten Konsumraten auf. Insofern hat auch in den USA der Marihuana-Konsum eher unter jungen Erwachsenden Bedeutung. </w:t>
      </w:r>
    </w:p>
    <w:p w14:paraId="1DE49015" w14:textId="3E3A3F15" w:rsidR="00FD1963" w:rsidRPr="0027732E" w:rsidRDefault="00FD1963" w:rsidP="00FD1963">
      <w:pPr>
        <w:pStyle w:val="Listenabsatz"/>
        <w:numPr>
          <w:ilvl w:val="0"/>
          <w:numId w:val="32"/>
        </w:numPr>
        <w:spacing w:line="276" w:lineRule="auto"/>
        <w:ind w:left="284" w:hanging="284"/>
        <w:jc w:val="both"/>
      </w:pPr>
      <w:r w:rsidRPr="006154FB">
        <w:rPr>
          <w:rFonts w:cs="Times"/>
          <w:szCs w:val="22"/>
        </w:rPr>
        <w:t xml:space="preserve">Zudem zeigen die </w:t>
      </w:r>
      <w:r>
        <w:t xml:space="preserve">nationalen Intervalluntersuchungen unter Schülern, dass die Raten des regelmäßigen Konsums auch in dieser Gruppe keine außergewöhnliche Dynamik haben: Auch in Colorado und Washington sind sie schon seit vielen Jahren konstant (12. Klasse), für Schüler der 8.-10. Klasse sogar rückläufig und unter Älteren (18-25 Jahre, älter als 26 Jahre) sanft, aber nicht mit statistischer Signifikanz angestiegen. </w:t>
      </w:r>
    </w:p>
    <w:p w14:paraId="647838C3" w14:textId="7C5B86E5" w:rsidR="00FD1963" w:rsidRPr="003809F7" w:rsidRDefault="00FD1963" w:rsidP="00FD1963">
      <w:pPr>
        <w:pStyle w:val="KeinLeerraum"/>
        <w:numPr>
          <w:ilvl w:val="0"/>
          <w:numId w:val="17"/>
        </w:numPr>
        <w:spacing w:line="276" w:lineRule="auto"/>
        <w:ind w:left="284" w:hanging="284"/>
        <w:jc w:val="both"/>
        <w:rPr>
          <w:szCs w:val="22"/>
        </w:rPr>
      </w:pPr>
      <w:r>
        <w:rPr>
          <w:szCs w:val="22"/>
        </w:rPr>
        <w:t>Interessant ist e</w:t>
      </w:r>
      <w:r w:rsidRPr="003809F7">
        <w:rPr>
          <w:szCs w:val="22"/>
        </w:rPr>
        <w:t>in Blick auf die berichtete Konsumintensität von Marihuana</w:t>
      </w:r>
      <w:r w:rsidR="00F41DB0">
        <w:rPr>
          <w:szCs w:val="22"/>
        </w:rPr>
        <w:t xml:space="preserve"> (30-Tage-P</w:t>
      </w:r>
      <w:r>
        <w:rPr>
          <w:szCs w:val="22"/>
        </w:rPr>
        <w:t xml:space="preserve">rävalenz): Diese </w:t>
      </w:r>
      <w:r w:rsidRPr="003809F7">
        <w:rPr>
          <w:szCs w:val="22"/>
        </w:rPr>
        <w:t xml:space="preserve"> schwankt seit 2005 und folgt keinem deutlichen Trend. Allerdings zeichnet sich </w:t>
      </w:r>
      <w:r>
        <w:rPr>
          <w:szCs w:val="22"/>
        </w:rPr>
        <w:t xml:space="preserve">für den Bundesstaat Colorado </w:t>
      </w:r>
      <w:r w:rsidRPr="003809F7">
        <w:rPr>
          <w:szCs w:val="22"/>
        </w:rPr>
        <w:t xml:space="preserve">ab, dass seit 2013 Konsumformen mit hoher Intensität (20-39 Mal und mehr als 40 Mal konsumiert) abnehmen, während </w:t>
      </w:r>
      <w:r>
        <w:rPr>
          <w:szCs w:val="22"/>
        </w:rPr>
        <w:t>der 1-2malige</w:t>
      </w:r>
      <w:r w:rsidR="00F41DB0">
        <w:rPr>
          <w:szCs w:val="22"/>
        </w:rPr>
        <w:t xml:space="preserve"> </w:t>
      </w:r>
      <w:r w:rsidRPr="003809F7">
        <w:rPr>
          <w:szCs w:val="22"/>
        </w:rPr>
        <w:t xml:space="preserve">und </w:t>
      </w:r>
      <w:r>
        <w:rPr>
          <w:szCs w:val="22"/>
        </w:rPr>
        <w:t>3-9malige</w:t>
      </w:r>
      <w:r w:rsidRPr="003809F7">
        <w:rPr>
          <w:szCs w:val="22"/>
        </w:rPr>
        <w:t xml:space="preserve"> </w:t>
      </w:r>
      <w:r w:rsidR="00F41DB0">
        <w:rPr>
          <w:szCs w:val="22"/>
        </w:rPr>
        <w:t>K</w:t>
      </w:r>
      <w:r w:rsidR="00F41DB0" w:rsidRPr="003809F7">
        <w:rPr>
          <w:szCs w:val="22"/>
        </w:rPr>
        <w:t xml:space="preserve">onsum </w:t>
      </w:r>
      <w:r>
        <w:rPr>
          <w:szCs w:val="22"/>
        </w:rPr>
        <w:t>zur</w:t>
      </w:r>
      <w:r w:rsidRPr="003809F7">
        <w:rPr>
          <w:szCs w:val="22"/>
        </w:rPr>
        <w:t xml:space="preserve"> gleichen Zeit leicht zugenommen haben</w:t>
      </w:r>
      <w:r>
        <w:t>.</w:t>
      </w:r>
      <w:r w:rsidRPr="003809F7">
        <w:rPr>
          <w:color w:val="FF6600"/>
          <w:szCs w:val="22"/>
        </w:rPr>
        <w:t xml:space="preserve"> </w:t>
      </w:r>
      <w:r w:rsidRPr="003809F7">
        <w:rPr>
          <w:szCs w:val="22"/>
        </w:rPr>
        <w:t>Es bleibt abzuwarten, ob da</w:t>
      </w:r>
      <w:r w:rsidRPr="003809F7">
        <w:rPr>
          <w:szCs w:val="22"/>
        </w:rPr>
        <w:t>r</w:t>
      </w:r>
      <w:r w:rsidRPr="003809F7">
        <w:rPr>
          <w:szCs w:val="22"/>
        </w:rPr>
        <w:t>aus ein tatsächlicher Trend wird.</w:t>
      </w:r>
    </w:p>
    <w:p w14:paraId="73268773" w14:textId="3B151D86" w:rsidR="00FD1963" w:rsidRDefault="00FD1963" w:rsidP="00FD1963">
      <w:pPr>
        <w:pStyle w:val="KeinLeerraum"/>
        <w:numPr>
          <w:ilvl w:val="0"/>
          <w:numId w:val="17"/>
        </w:numPr>
        <w:spacing w:line="276" w:lineRule="auto"/>
        <w:ind w:left="284" w:hanging="284"/>
        <w:jc w:val="both"/>
        <w:rPr>
          <w:szCs w:val="22"/>
        </w:rPr>
      </w:pPr>
      <w:r w:rsidRPr="00482083">
        <w:rPr>
          <w:szCs w:val="22"/>
        </w:rPr>
        <w:t xml:space="preserve">Das Probieralter für Marihuana hat sich zwischen 2013 und 2015 nicht signifikant </w:t>
      </w:r>
      <w:r w:rsidRPr="00642089">
        <w:rPr>
          <w:szCs w:val="22"/>
        </w:rPr>
        <w:t>verändert: 84.4 % der High-School-Schüler, die schon einmal</w:t>
      </w:r>
      <w:r>
        <w:rPr>
          <w:szCs w:val="22"/>
        </w:rPr>
        <w:t xml:space="preserve"> Marihuana konsumiert hatten, </w:t>
      </w:r>
      <w:r w:rsidRPr="00642089">
        <w:rPr>
          <w:szCs w:val="22"/>
        </w:rPr>
        <w:t>berichteten, das</w:t>
      </w:r>
      <w:r>
        <w:rPr>
          <w:szCs w:val="22"/>
        </w:rPr>
        <w:t>s</w:t>
      </w:r>
      <w:r w:rsidRPr="00642089">
        <w:rPr>
          <w:szCs w:val="22"/>
        </w:rPr>
        <w:t xml:space="preserve"> sie dabei 16 Jahre oder jünger waren, </w:t>
      </w:r>
      <w:r>
        <w:rPr>
          <w:szCs w:val="22"/>
        </w:rPr>
        <w:t>davon</w:t>
      </w:r>
      <w:r w:rsidR="007C55FB">
        <w:rPr>
          <w:szCs w:val="22"/>
        </w:rPr>
        <w:t xml:space="preserve"> waren 41,3</w:t>
      </w:r>
      <w:r w:rsidRPr="00642089">
        <w:rPr>
          <w:szCs w:val="22"/>
        </w:rPr>
        <w:t>% bei</w:t>
      </w:r>
      <w:r>
        <w:rPr>
          <w:szCs w:val="22"/>
        </w:rPr>
        <w:t>m</w:t>
      </w:r>
      <w:r w:rsidRPr="00642089">
        <w:rPr>
          <w:szCs w:val="22"/>
        </w:rPr>
        <w:t xml:space="preserve"> ersten </w:t>
      </w:r>
      <w:r w:rsidR="007C55FB">
        <w:rPr>
          <w:szCs w:val="22"/>
        </w:rPr>
        <w:t>Konsum 14 Jahre oder jünger, 14,</w:t>
      </w:r>
      <w:r w:rsidRPr="00642089">
        <w:rPr>
          <w:szCs w:val="22"/>
        </w:rPr>
        <w:t>3 % waren 12 Jahre alt oder jünger</w:t>
      </w:r>
      <w:r w:rsidRPr="00642089">
        <w:t>.</w:t>
      </w:r>
      <w:r w:rsidRPr="00642089">
        <w:rPr>
          <w:szCs w:val="22"/>
        </w:rPr>
        <w:t xml:space="preserve"> </w:t>
      </w:r>
      <w:r>
        <w:rPr>
          <w:szCs w:val="22"/>
        </w:rPr>
        <w:t>I</w:t>
      </w:r>
      <w:r w:rsidRPr="00642089">
        <w:rPr>
          <w:szCs w:val="22"/>
        </w:rPr>
        <w:t xml:space="preserve">nsgesamt </w:t>
      </w:r>
      <w:r>
        <w:rPr>
          <w:szCs w:val="22"/>
        </w:rPr>
        <w:t xml:space="preserve">deutet sich </w:t>
      </w:r>
      <w:r w:rsidRPr="00642089">
        <w:rPr>
          <w:szCs w:val="22"/>
        </w:rPr>
        <w:t>eine</w:t>
      </w:r>
      <w:r>
        <w:rPr>
          <w:szCs w:val="22"/>
        </w:rPr>
        <w:t xml:space="preserve"> leichte Ve</w:t>
      </w:r>
      <w:r>
        <w:rPr>
          <w:szCs w:val="22"/>
        </w:rPr>
        <w:t>r</w:t>
      </w:r>
      <w:r>
        <w:rPr>
          <w:szCs w:val="22"/>
        </w:rPr>
        <w:t>schiebung des Probieralters in höhere Altersgruppen an. Zur Kenntnis zu nehmen</w:t>
      </w:r>
      <w:r w:rsidRPr="00E455FC">
        <w:rPr>
          <w:szCs w:val="22"/>
        </w:rPr>
        <w:t xml:space="preserve"> </w:t>
      </w:r>
      <w:r>
        <w:rPr>
          <w:szCs w:val="22"/>
        </w:rPr>
        <w:t>ist, dass sich der Anteil derjenigen, die angaben, schon zwischen dem 11.-12. Lebensjahr erstmals M</w:t>
      </w:r>
      <w:r>
        <w:rPr>
          <w:szCs w:val="22"/>
        </w:rPr>
        <w:t>a</w:t>
      </w:r>
      <w:r>
        <w:rPr>
          <w:szCs w:val="22"/>
        </w:rPr>
        <w:t>rihuana konsumiert zu haben, erhöht hat. Die Hintergründe dieser Ergebnisse sind aufzukl</w:t>
      </w:r>
      <w:r>
        <w:rPr>
          <w:szCs w:val="22"/>
        </w:rPr>
        <w:t>ä</w:t>
      </w:r>
      <w:r>
        <w:rPr>
          <w:szCs w:val="22"/>
        </w:rPr>
        <w:t>ren: Verwiesen sei auf das Phänomen des Scham-Managements, durch das sozial geächtetes Verhalten in Befragungen nicht sachgerecht berichtet wird. Ob und wenn ja, in welchem U</w:t>
      </w:r>
      <w:r>
        <w:rPr>
          <w:szCs w:val="22"/>
        </w:rPr>
        <w:t>m</w:t>
      </w:r>
      <w:r>
        <w:rPr>
          <w:szCs w:val="22"/>
        </w:rPr>
        <w:t>fang eine verändert wahrgenommene Beschämung wegen Marihuana-Konsums durch Reg</w:t>
      </w:r>
      <w:r>
        <w:rPr>
          <w:szCs w:val="22"/>
        </w:rPr>
        <w:t>u</w:t>
      </w:r>
      <w:r>
        <w:rPr>
          <w:szCs w:val="22"/>
        </w:rPr>
        <w:t>lierungsprozesse angeschoben wird und welchen Einfluss das auf das Antwortverhalten der Jugendlichen hat, kann in diesen Untersuchungen nicht geprüft werden. Abzuwarten</w:t>
      </w:r>
      <w:r w:rsidRPr="00CF1081">
        <w:rPr>
          <w:szCs w:val="22"/>
        </w:rPr>
        <w:t xml:space="preserve"> </w:t>
      </w:r>
      <w:r>
        <w:rPr>
          <w:szCs w:val="22"/>
        </w:rPr>
        <w:t>ist auch, ob die sich abzeichnenden Entwicklungen tatsächlich zu einem Trend werden.</w:t>
      </w:r>
    </w:p>
    <w:p w14:paraId="28273539" w14:textId="3210E97E" w:rsidR="00FD1963" w:rsidRPr="00482083" w:rsidRDefault="00FD1963" w:rsidP="00FD1963">
      <w:pPr>
        <w:pStyle w:val="KeinLeerraum"/>
        <w:numPr>
          <w:ilvl w:val="0"/>
          <w:numId w:val="17"/>
        </w:numPr>
        <w:spacing w:line="276" w:lineRule="auto"/>
        <w:ind w:left="284" w:hanging="284"/>
        <w:jc w:val="both"/>
        <w:rPr>
          <w:szCs w:val="22"/>
        </w:rPr>
      </w:pPr>
      <w:r>
        <w:rPr>
          <w:szCs w:val="22"/>
        </w:rPr>
        <w:t>Die Jugendlichen</w:t>
      </w:r>
      <w:r w:rsidRPr="00482083">
        <w:rPr>
          <w:szCs w:val="22"/>
        </w:rPr>
        <w:t xml:space="preserve"> berichteten mehrheitlich, dass es für sie </w:t>
      </w:r>
      <w:r>
        <w:rPr>
          <w:szCs w:val="22"/>
        </w:rPr>
        <w:t xml:space="preserve">trotz Totalprohibition </w:t>
      </w:r>
      <w:r w:rsidRPr="00482083">
        <w:rPr>
          <w:szCs w:val="22"/>
        </w:rPr>
        <w:t xml:space="preserve">einfach sei, an Marihuana heranzukommen. </w:t>
      </w:r>
    </w:p>
    <w:p w14:paraId="03319BA9" w14:textId="288D7665" w:rsidR="00FD1963" w:rsidRPr="000671F1" w:rsidRDefault="00FD1963" w:rsidP="00FD1963">
      <w:pPr>
        <w:pStyle w:val="KeinLeerraum"/>
        <w:numPr>
          <w:ilvl w:val="0"/>
          <w:numId w:val="17"/>
        </w:numPr>
        <w:spacing w:line="276" w:lineRule="auto"/>
        <w:ind w:left="284" w:hanging="284"/>
        <w:jc w:val="both"/>
        <w:rPr>
          <w:rFonts w:cs="Times New Roman"/>
          <w:szCs w:val="22"/>
        </w:rPr>
      </w:pPr>
      <w:r>
        <w:rPr>
          <w:rFonts w:cs="Times New Roman"/>
          <w:szCs w:val="22"/>
        </w:rPr>
        <w:t>Allerdings gaben</w:t>
      </w:r>
      <w:r w:rsidRPr="000671F1">
        <w:rPr>
          <w:rFonts w:cs="Times New Roman"/>
          <w:szCs w:val="22"/>
        </w:rPr>
        <w:t xml:space="preserve"> High-School-Schüler </w:t>
      </w:r>
      <w:r>
        <w:rPr>
          <w:rFonts w:cs="Times New Roman"/>
          <w:szCs w:val="22"/>
        </w:rPr>
        <w:t xml:space="preserve">Colorados (16,5 %) </w:t>
      </w:r>
      <w:r w:rsidRPr="000671F1">
        <w:rPr>
          <w:rFonts w:cs="Times New Roman"/>
          <w:szCs w:val="22"/>
        </w:rPr>
        <w:t>deutlich weniger als im nationalen Durchschnitt</w:t>
      </w:r>
      <w:r>
        <w:rPr>
          <w:rFonts w:cs="Times New Roman"/>
          <w:szCs w:val="22"/>
        </w:rPr>
        <w:t xml:space="preserve"> (21,7 %) an</w:t>
      </w:r>
      <w:r w:rsidRPr="000671F1">
        <w:rPr>
          <w:rFonts w:cs="Times New Roman"/>
          <w:szCs w:val="22"/>
        </w:rPr>
        <w:t>, dass ihnen auf dem Schulgelände angeboten wurden.</w:t>
      </w:r>
      <w:r>
        <w:rPr>
          <w:rFonts w:cs="Times New Roman"/>
          <w:szCs w:val="22"/>
        </w:rPr>
        <w:t xml:space="preserve"> Zu klären ist, ob nunmehr andere Möglichkeiten der Beschaffung von Marihuana erschlossen werden kö</w:t>
      </w:r>
      <w:r>
        <w:rPr>
          <w:rFonts w:cs="Times New Roman"/>
          <w:szCs w:val="22"/>
        </w:rPr>
        <w:t>n</w:t>
      </w:r>
      <w:r>
        <w:rPr>
          <w:rFonts w:cs="Times New Roman"/>
          <w:szCs w:val="22"/>
        </w:rPr>
        <w:t>nen, als in der Institution Schule, die weiterhin mit strengen Sanktionen droht.</w:t>
      </w:r>
    </w:p>
    <w:p w14:paraId="212D4E9B" w14:textId="2E0FE8DE" w:rsidR="00FD1963" w:rsidRPr="008E11E3" w:rsidRDefault="00FD1963" w:rsidP="00FD1963">
      <w:pPr>
        <w:pStyle w:val="KeinLeerraum"/>
        <w:numPr>
          <w:ilvl w:val="0"/>
          <w:numId w:val="17"/>
        </w:numPr>
        <w:spacing w:line="276" w:lineRule="auto"/>
        <w:ind w:left="284" w:hanging="284"/>
        <w:jc w:val="both"/>
        <w:rPr>
          <w:rFonts w:cs="Times"/>
          <w:color w:val="000000"/>
          <w:szCs w:val="22"/>
        </w:rPr>
      </w:pPr>
      <w:r w:rsidRPr="008E11E3">
        <w:rPr>
          <w:szCs w:val="22"/>
        </w:rPr>
        <w:t xml:space="preserve">Werden die von Jugendlichen berichteten Konsumraten nach Regionen differenziert, </w:t>
      </w:r>
      <w:r>
        <w:rPr>
          <w:szCs w:val="22"/>
        </w:rPr>
        <w:t>wiede</w:t>
      </w:r>
      <w:r>
        <w:rPr>
          <w:szCs w:val="22"/>
        </w:rPr>
        <w:t>r</w:t>
      </w:r>
      <w:r>
        <w:rPr>
          <w:szCs w:val="22"/>
        </w:rPr>
        <w:t xml:space="preserve">holt sich, </w:t>
      </w:r>
      <w:r w:rsidRPr="008E11E3">
        <w:rPr>
          <w:szCs w:val="22"/>
        </w:rPr>
        <w:t xml:space="preserve">dass </w:t>
      </w:r>
      <w:r>
        <w:rPr>
          <w:szCs w:val="22"/>
        </w:rPr>
        <w:t xml:space="preserve">sich </w:t>
      </w:r>
      <w:r w:rsidRPr="008E11E3">
        <w:rPr>
          <w:szCs w:val="22"/>
        </w:rPr>
        <w:t>unter gleich</w:t>
      </w:r>
      <w:r>
        <w:rPr>
          <w:szCs w:val="22"/>
        </w:rPr>
        <w:t xml:space="preserve">artigen </w:t>
      </w:r>
      <w:r w:rsidRPr="008E11E3">
        <w:rPr>
          <w:szCs w:val="22"/>
        </w:rPr>
        <w:t>drogenpolitischen Bedingungen Colorado</w:t>
      </w:r>
      <w:r>
        <w:rPr>
          <w:szCs w:val="22"/>
        </w:rPr>
        <w:t>s</w:t>
      </w:r>
      <w:r w:rsidRPr="008E11E3">
        <w:rPr>
          <w:szCs w:val="22"/>
        </w:rPr>
        <w:t xml:space="preserve"> im Jahr 2013 Regionen </w:t>
      </w:r>
      <w:r>
        <w:rPr>
          <w:szCs w:val="22"/>
        </w:rPr>
        <w:t xml:space="preserve">mit </w:t>
      </w:r>
      <w:r w:rsidRPr="008E11E3">
        <w:rPr>
          <w:szCs w:val="22"/>
        </w:rPr>
        <w:t>hohe</w:t>
      </w:r>
      <w:r>
        <w:rPr>
          <w:szCs w:val="22"/>
        </w:rPr>
        <w:t>r</w:t>
      </w:r>
      <w:r w:rsidRPr="008E11E3">
        <w:rPr>
          <w:szCs w:val="22"/>
        </w:rPr>
        <w:t xml:space="preserve"> 30-Tages-Prävalenz abzeichnen</w:t>
      </w:r>
      <w:r>
        <w:rPr>
          <w:szCs w:val="22"/>
        </w:rPr>
        <w:t xml:space="preserve">, denen </w:t>
      </w:r>
      <w:r w:rsidRPr="008E11E3">
        <w:rPr>
          <w:szCs w:val="22"/>
        </w:rPr>
        <w:t>Gegenden gegenüber</w:t>
      </w:r>
      <w:r>
        <w:rPr>
          <w:szCs w:val="22"/>
        </w:rPr>
        <w:t xml:space="preserve"> st</w:t>
      </w:r>
      <w:r>
        <w:rPr>
          <w:szCs w:val="22"/>
        </w:rPr>
        <w:t>e</w:t>
      </w:r>
      <w:r>
        <w:rPr>
          <w:szCs w:val="22"/>
        </w:rPr>
        <w:t>hen</w:t>
      </w:r>
      <w:r w:rsidRPr="008E11E3">
        <w:rPr>
          <w:szCs w:val="22"/>
        </w:rPr>
        <w:t>, in denen</w:t>
      </w:r>
      <w:r>
        <w:rPr>
          <w:szCs w:val="22"/>
        </w:rPr>
        <w:t xml:space="preserve"> </w:t>
      </w:r>
      <w:r w:rsidRPr="008E11E3">
        <w:rPr>
          <w:szCs w:val="22"/>
        </w:rPr>
        <w:t>deutlich geringere Prävalenzraten berichtet werden</w:t>
      </w:r>
      <w:r w:rsidRPr="008E11E3">
        <w:rPr>
          <w:rFonts w:cs="Calibri"/>
          <w:color w:val="000000"/>
          <w:szCs w:val="22"/>
        </w:rPr>
        <w:t xml:space="preserve">. </w:t>
      </w:r>
    </w:p>
    <w:p w14:paraId="622D4A3B" w14:textId="33656285" w:rsidR="00FD1963" w:rsidRPr="00BC53A0" w:rsidRDefault="00FD1963" w:rsidP="00FD1963">
      <w:pPr>
        <w:pStyle w:val="KeinLeerraum"/>
        <w:numPr>
          <w:ilvl w:val="0"/>
          <w:numId w:val="17"/>
        </w:numPr>
        <w:spacing w:line="276" w:lineRule="auto"/>
        <w:ind w:left="284" w:hanging="284"/>
        <w:jc w:val="both"/>
        <w:rPr>
          <w:rFonts w:cs="Tahoma"/>
          <w:color w:val="000000"/>
        </w:rPr>
      </w:pPr>
      <w:r w:rsidRPr="001227E1">
        <w:t>Mit den drogenpolitischen Veränderungen offensichtlich deutlich</w:t>
      </w:r>
      <w:r>
        <w:t>er</w:t>
      </w:r>
      <w:r w:rsidRPr="001227E1">
        <w:t xml:space="preserve"> in </w:t>
      </w:r>
      <w:r>
        <w:t>Bezug</w:t>
      </w:r>
      <w:r w:rsidRPr="001227E1">
        <w:t xml:space="preserve"> st</w:t>
      </w:r>
      <w:r>
        <w:t>ehen Risik</w:t>
      </w:r>
      <w:r>
        <w:t>o</w:t>
      </w:r>
      <w:r>
        <w:t>beurteilungen, die im</w:t>
      </w:r>
      <w:r w:rsidRPr="001227E1">
        <w:t xml:space="preserve"> </w:t>
      </w:r>
      <w:r w:rsidRPr="00BC53A0">
        <w:rPr>
          <w:rFonts w:cs="Calibri"/>
          <w:i/>
          <w:color w:val="000000"/>
        </w:rPr>
        <w:t>Nationalen Survey on Drug Use and Health</w:t>
      </w:r>
      <w:r w:rsidRPr="00BC53A0">
        <w:rPr>
          <w:rFonts w:cs="Calibri"/>
          <w:color w:val="000000"/>
        </w:rPr>
        <w:t xml:space="preserve"> </w:t>
      </w:r>
      <w:r w:rsidRPr="001227E1">
        <w:t>als „Großes Risiko eines M</w:t>
      </w:r>
      <w:r w:rsidRPr="001227E1">
        <w:t>a</w:t>
      </w:r>
      <w:r w:rsidRPr="001227E1">
        <w:t>ri</w:t>
      </w:r>
      <w:r>
        <w:t>huana-K</w:t>
      </w:r>
      <w:r w:rsidRPr="001227E1">
        <w:t>onsums ein Mal pro Monat“ abgefragt werden. Diese sind sowohl in den USA insg</w:t>
      </w:r>
      <w:r w:rsidRPr="001227E1">
        <w:t>e</w:t>
      </w:r>
      <w:r>
        <w:t>samt als auch in</w:t>
      </w:r>
      <w:r w:rsidRPr="001227E1">
        <w:t xml:space="preserve"> Colorado kontinuierlich gefallen</w:t>
      </w:r>
      <w:r>
        <w:t xml:space="preserve"> – hier </w:t>
      </w:r>
      <w:r w:rsidRPr="001227E1">
        <w:t xml:space="preserve">wurde </w:t>
      </w:r>
      <w:r>
        <w:t>der</w:t>
      </w:r>
      <w:r w:rsidRPr="001227E1">
        <w:t xml:space="preserve"> Marihuana</w:t>
      </w:r>
      <w:r>
        <w:t>-K</w:t>
      </w:r>
      <w:r w:rsidRPr="001227E1">
        <w:t>on</w:t>
      </w:r>
      <w:r>
        <w:t>sum</w:t>
      </w:r>
      <w:r w:rsidRPr="001227E1">
        <w:t xml:space="preserve"> schon seit 2006 </w:t>
      </w:r>
      <w:r>
        <w:t>um</w:t>
      </w:r>
      <w:r w:rsidRPr="001227E1">
        <w:t xml:space="preserve"> 5-6 Prozent</w:t>
      </w:r>
      <w:r>
        <w:t xml:space="preserve">punkte </w:t>
      </w:r>
      <w:r w:rsidRPr="001227E1">
        <w:t xml:space="preserve">weniger riskant beurteilt als im nationalen Durchschnitt. </w:t>
      </w:r>
      <w:r>
        <w:t>E</w:t>
      </w:r>
      <w:r w:rsidRPr="001227E1">
        <w:t xml:space="preserve">in Jahr nach </w:t>
      </w:r>
      <w:r>
        <w:t>Beginn der Regulierungsprozesse</w:t>
      </w:r>
      <w:r w:rsidRPr="001227E1">
        <w:t xml:space="preserve"> </w:t>
      </w:r>
      <w:r>
        <w:t>waren</w:t>
      </w:r>
      <w:r w:rsidRPr="001227E1">
        <w:t xml:space="preserve"> diese Risikoeinschätzungen </w:t>
      </w:r>
      <w:r>
        <w:t>nochmals</w:t>
      </w:r>
      <w:r w:rsidRPr="001227E1">
        <w:t xml:space="preserve"> </w:t>
      </w:r>
      <w:r>
        <w:t xml:space="preserve">(aber nicht </w:t>
      </w:r>
      <w:r w:rsidRPr="001227E1">
        <w:t>signifikant</w:t>
      </w:r>
      <w:r>
        <w:t>)</w:t>
      </w:r>
      <w:r w:rsidRPr="001227E1">
        <w:t xml:space="preserve"> </w:t>
      </w:r>
      <w:r>
        <w:t>niedriger als in den Vorjahren</w:t>
      </w:r>
      <w:r w:rsidRPr="00EF7E04">
        <w:t>.</w:t>
      </w:r>
      <w:r>
        <w:t xml:space="preserve"> </w:t>
      </w:r>
    </w:p>
    <w:p w14:paraId="7E859392" w14:textId="77777777" w:rsidR="00FD1963" w:rsidRDefault="00FD1963" w:rsidP="00FD1963">
      <w:pPr>
        <w:pStyle w:val="KeinLeerraum"/>
        <w:numPr>
          <w:ilvl w:val="0"/>
          <w:numId w:val="17"/>
        </w:numPr>
        <w:spacing w:line="276" w:lineRule="auto"/>
        <w:ind w:left="284" w:hanging="284"/>
        <w:jc w:val="both"/>
        <w:rPr>
          <w:rFonts w:cs="Tahoma"/>
          <w:color w:val="000000"/>
        </w:rPr>
      </w:pPr>
      <w:r w:rsidRPr="003B5EEE">
        <w:rPr>
          <w:szCs w:val="22"/>
        </w:rPr>
        <w:t>Zumindest im Bundesstaat Colorado werden seit über zehn Jahren Daten zu temporären Schulausschlüssen, Schulverweisen sowie zu Meldungen von Straftaten von Schüler</w:t>
      </w:r>
      <w:r>
        <w:rPr>
          <w:szCs w:val="22"/>
        </w:rPr>
        <w:t xml:space="preserve">n </w:t>
      </w:r>
      <w:r w:rsidRPr="003B5EEE">
        <w:rPr>
          <w:szCs w:val="22"/>
        </w:rPr>
        <w:t>an die Polizei gesammelt. Es überrascht allerdings, dass in den Statistiken seit mehr als zehn Jahren das Delikt „Drug</w:t>
      </w:r>
      <w:r w:rsidRPr="003B5EEE">
        <w:rPr>
          <w:rFonts w:cs="Tahoma"/>
          <w:color w:val="000000"/>
        </w:rPr>
        <w:t xml:space="preserve"> violations“</w:t>
      </w:r>
      <w:r>
        <w:rPr>
          <w:rFonts w:cs="Tahoma"/>
          <w:color w:val="000000"/>
        </w:rPr>
        <w:t xml:space="preserve"> erfasst wird und </w:t>
      </w:r>
      <w:r w:rsidRPr="003B5EEE">
        <w:rPr>
          <w:rFonts w:cs="Tahoma"/>
          <w:color w:val="000000"/>
        </w:rPr>
        <w:t xml:space="preserve">das Delikt „Marijuana violations“ </w:t>
      </w:r>
      <w:r>
        <w:rPr>
          <w:rFonts w:cs="Tahoma"/>
          <w:color w:val="000000"/>
        </w:rPr>
        <w:t xml:space="preserve">aber </w:t>
      </w:r>
      <w:r w:rsidRPr="003B5EEE">
        <w:rPr>
          <w:rFonts w:cs="Tahoma"/>
          <w:color w:val="000000"/>
        </w:rPr>
        <w:t>erst 2015 gesondert ausge</w:t>
      </w:r>
      <w:r>
        <w:rPr>
          <w:rFonts w:cs="Tahoma"/>
          <w:color w:val="000000"/>
        </w:rPr>
        <w:t xml:space="preserve">wiesen </w:t>
      </w:r>
      <w:r w:rsidRPr="003B5EEE">
        <w:rPr>
          <w:rFonts w:cs="Tahoma"/>
          <w:color w:val="000000"/>
        </w:rPr>
        <w:t>wurde. D</w:t>
      </w:r>
      <w:r>
        <w:rPr>
          <w:rFonts w:cs="Tahoma"/>
          <w:color w:val="000000"/>
        </w:rPr>
        <w:t>urch d</w:t>
      </w:r>
      <w:r w:rsidRPr="003B5EEE">
        <w:rPr>
          <w:rFonts w:cs="Tahoma"/>
          <w:color w:val="000000"/>
        </w:rPr>
        <w:t xml:space="preserve">iese </w:t>
      </w:r>
      <w:r>
        <w:rPr>
          <w:rFonts w:cs="Tahoma"/>
          <w:color w:val="000000"/>
        </w:rPr>
        <w:t>statistische</w:t>
      </w:r>
      <w:r w:rsidRPr="003B5EEE">
        <w:rPr>
          <w:rFonts w:cs="Tahoma"/>
          <w:color w:val="000000"/>
        </w:rPr>
        <w:t xml:space="preserve"> </w:t>
      </w:r>
      <w:r>
        <w:rPr>
          <w:rFonts w:cs="Tahoma"/>
          <w:color w:val="000000"/>
        </w:rPr>
        <w:t>Differenzierung</w:t>
      </w:r>
      <w:r w:rsidRPr="003B5EEE">
        <w:rPr>
          <w:rFonts w:cs="Tahoma"/>
          <w:color w:val="000000"/>
        </w:rPr>
        <w:t xml:space="preserve"> </w:t>
      </w:r>
      <w:r>
        <w:rPr>
          <w:rFonts w:cs="Tahoma"/>
          <w:color w:val="000000"/>
        </w:rPr>
        <w:t>hat</w:t>
      </w:r>
      <w:r w:rsidRPr="003B5EEE">
        <w:rPr>
          <w:rFonts w:cs="Tahoma"/>
          <w:color w:val="000000"/>
        </w:rPr>
        <w:t xml:space="preserve"> sich die Gesam</w:t>
      </w:r>
      <w:r w:rsidRPr="003B5EEE">
        <w:rPr>
          <w:rFonts w:cs="Tahoma"/>
          <w:color w:val="000000"/>
        </w:rPr>
        <w:t>t</w:t>
      </w:r>
      <w:r w:rsidRPr="003B5EEE">
        <w:rPr>
          <w:rFonts w:cs="Tahoma"/>
          <w:color w:val="000000"/>
        </w:rPr>
        <w:t>zahl allge</w:t>
      </w:r>
      <w:r>
        <w:rPr>
          <w:rFonts w:cs="Tahoma"/>
          <w:color w:val="000000"/>
        </w:rPr>
        <w:t>meiner</w:t>
      </w:r>
      <w:r w:rsidRPr="003B5EEE">
        <w:rPr>
          <w:rFonts w:cs="Tahoma"/>
          <w:color w:val="000000"/>
        </w:rPr>
        <w:t xml:space="preserve"> Drogendelikte drastisch verringert, dafür </w:t>
      </w:r>
      <w:r>
        <w:rPr>
          <w:rFonts w:cs="Tahoma"/>
          <w:color w:val="000000"/>
        </w:rPr>
        <w:t xml:space="preserve">wird </w:t>
      </w:r>
      <w:r w:rsidRPr="003B5EEE">
        <w:rPr>
          <w:rFonts w:cs="Tahoma"/>
          <w:color w:val="000000"/>
        </w:rPr>
        <w:t>aber ein sprunghafter A</w:t>
      </w:r>
      <w:r w:rsidRPr="003B5EEE">
        <w:rPr>
          <w:rFonts w:cs="Tahoma"/>
          <w:color w:val="000000"/>
        </w:rPr>
        <w:t>n</w:t>
      </w:r>
      <w:r w:rsidRPr="003B5EEE">
        <w:rPr>
          <w:rFonts w:cs="Tahoma"/>
          <w:color w:val="000000"/>
        </w:rPr>
        <w:t xml:space="preserve">stieg </w:t>
      </w:r>
      <w:r>
        <w:rPr>
          <w:rFonts w:cs="Tahoma"/>
          <w:color w:val="000000"/>
        </w:rPr>
        <w:t>der</w:t>
      </w:r>
      <w:r w:rsidRPr="003B5EEE">
        <w:rPr>
          <w:rFonts w:cs="Tahoma"/>
          <w:color w:val="000000"/>
        </w:rPr>
        <w:t xml:space="preserve"> temporä</w:t>
      </w:r>
      <w:r>
        <w:rPr>
          <w:rFonts w:cs="Tahoma"/>
          <w:color w:val="000000"/>
        </w:rPr>
        <w:t>ren Schulverweise</w:t>
      </w:r>
      <w:r w:rsidRPr="003B5EEE">
        <w:rPr>
          <w:rFonts w:cs="Tahoma"/>
          <w:color w:val="000000"/>
        </w:rPr>
        <w:t>, Schulaus</w:t>
      </w:r>
      <w:r>
        <w:rPr>
          <w:rFonts w:cs="Tahoma"/>
          <w:color w:val="000000"/>
        </w:rPr>
        <w:t>schlüsse</w:t>
      </w:r>
      <w:r w:rsidRPr="003B5EEE">
        <w:rPr>
          <w:rFonts w:cs="Tahoma"/>
          <w:color w:val="000000"/>
        </w:rPr>
        <w:t xml:space="preserve"> und Meldungen an die Polizei in Z</w:t>
      </w:r>
      <w:r w:rsidRPr="003B5EEE">
        <w:rPr>
          <w:rFonts w:cs="Tahoma"/>
          <w:color w:val="000000"/>
        </w:rPr>
        <w:t>u</w:t>
      </w:r>
      <w:r w:rsidRPr="003B5EEE">
        <w:rPr>
          <w:rFonts w:cs="Tahoma"/>
          <w:color w:val="000000"/>
        </w:rPr>
        <w:t>sammenhang mit Marihuana ausgewiesen (vgl. 10-Year Trend Data: Colorado State Suspe</w:t>
      </w:r>
      <w:r w:rsidRPr="003B5EEE">
        <w:rPr>
          <w:rFonts w:cs="Tahoma"/>
          <w:color w:val="000000"/>
        </w:rPr>
        <w:t>n</w:t>
      </w:r>
      <w:r w:rsidRPr="003B5EEE">
        <w:rPr>
          <w:rFonts w:cs="Tahoma"/>
          <w:color w:val="000000"/>
        </w:rPr>
        <w:t>sion and Expulsion Incidents 2015-16). Aussagen zu Prä- und Postreguli</w:t>
      </w:r>
      <w:r>
        <w:rPr>
          <w:rFonts w:cs="Tahoma"/>
          <w:color w:val="000000"/>
        </w:rPr>
        <w:t>erung sind wegen dieser verä</w:t>
      </w:r>
      <w:r w:rsidRPr="003B5EEE">
        <w:rPr>
          <w:rFonts w:cs="Tahoma"/>
          <w:color w:val="000000"/>
        </w:rPr>
        <w:t>nder</w:t>
      </w:r>
      <w:r>
        <w:rPr>
          <w:rFonts w:cs="Tahoma"/>
          <w:color w:val="000000"/>
        </w:rPr>
        <w:t xml:space="preserve">ten </w:t>
      </w:r>
      <w:r w:rsidRPr="003B5EEE">
        <w:rPr>
          <w:rFonts w:cs="Tahoma"/>
          <w:color w:val="000000"/>
        </w:rPr>
        <w:t xml:space="preserve">Datenerfassung allerdings unmöglich. </w:t>
      </w:r>
    </w:p>
    <w:p w14:paraId="657B3595" w14:textId="036D5663" w:rsidR="00FD1963" w:rsidRPr="003B5EEE" w:rsidRDefault="00FD1963" w:rsidP="00FD1963">
      <w:pPr>
        <w:pStyle w:val="KeinLeerraum"/>
        <w:numPr>
          <w:ilvl w:val="0"/>
          <w:numId w:val="17"/>
        </w:numPr>
        <w:spacing w:line="276" w:lineRule="auto"/>
        <w:ind w:left="284" w:hanging="284"/>
        <w:jc w:val="both"/>
        <w:rPr>
          <w:rFonts w:cs="Tahoma"/>
          <w:color w:val="000000"/>
        </w:rPr>
      </w:pPr>
      <w:r>
        <w:rPr>
          <w:rFonts w:cs="Tahoma"/>
          <w:color w:val="000000"/>
        </w:rPr>
        <w:t>Für</w:t>
      </w:r>
      <w:r w:rsidRPr="003B5EEE">
        <w:rPr>
          <w:rFonts w:cs="Tahoma"/>
          <w:color w:val="000000"/>
        </w:rPr>
        <w:t xml:space="preserve"> die vorliegenden Daten ist herauszuheben, dass die Gesamtraten tempo</w:t>
      </w:r>
      <w:r>
        <w:rPr>
          <w:rFonts w:cs="Tahoma"/>
          <w:color w:val="000000"/>
        </w:rPr>
        <w:t>rärer</w:t>
      </w:r>
      <w:r w:rsidRPr="003B5EEE">
        <w:rPr>
          <w:rFonts w:cs="Tahoma"/>
          <w:color w:val="000000"/>
        </w:rPr>
        <w:t xml:space="preserve"> Schulve</w:t>
      </w:r>
      <w:r w:rsidRPr="003B5EEE">
        <w:rPr>
          <w:rFonts w:cs="Tahoma"/>
          <w:color w:val="000000"/>
        </w:rPr>
        <w:t>r</w:t>
      </w:r>
      <w:r w:rsidRPr="003B5EEE">
        <w:rPr>
          <w:rFonts w:cs="Tahoma"/>
          <w:color w:val="000000"/>
        </w:rPr>
        <w:t>weise genauso wie Schulausschlüsse und Überstellungen von Schüler</w:t>
      </w:r>
      <w:r>
        <w:rPr>
          <w:rFonts w:cs="Tahoma"/>
          <w:color w:val="000000"/>
        </w:rPr>
        <w:t xml:space="preserve">n </w:t>
      </w:r>
      <w:r w:rsidRPr="003B5EEE">
        <w:rPr>
          <w:rFonts w:cs="Tahoma"/>
          <w:color w:val="000000"/>
        </w:rPr>
        <w:t xml:space="preserve">an die Polizei fast zehn Jahre lang </w:t>
      </w:r>
      <w:r>
        <w:rPr>
          <w:rFonts w:cs="Tahoma"/>
          <w:color w:val="000000"/>
        </w:rPr>
        <w:t>(</w:t>
      </w:r>
      <w:r w:rsidRPr="003B5EEE">
        <w:rPr>
          <w:rFonts w:cs="Tahoma"/>
          <w:color w:val="000000"/>
        </w:rPr>
        <w:t>bis 2013</w:t>
      </w:r>
      <w:r>
        <w:rPr>
          <w:rFonts w:cs="Tahoma"/>
          <w:color w:val="000000"/>
        </w:rPr>
        <w:t>)</w:t>
      </w:r>
      <w:r w:rsidRPr="003B5EEE">
        <w:rPr>
          <w:rFonts w:cs="Tahoma"/>
          <w:color w:val="000000"/>
        </w:rPr>
        <w:t xml:space="preserve"> kontinuierlich abgenommen haben, ehe sie im Schuljahr 2013-2014 wieder anstiegen. Demgegenüber stiegen die Raten temporärer Schulverweise bezogen auf das Delikt „Umgang mit Drogen“ mehr als fünf Jahre lang kontinuierlich an, erreichten 2010 einen  gewissen Höhepunkt, um </w:t>
      </w:r>
      <w:r>
        <w:rPr>
          <w:rFonts w:cs="Tahoma"/>
          <w:color w:val="000000"/>
        </w:rPr>
        <w:t xml:space="preserve">danach </w:t>
      </w:r>
      <w:r w:rsidRPr="003B5EEE">
        <w:rPr>
          <w:rFonts w:cs="Tahoma"/>
          <w:color w:val="000000"/>
        </w:rPr>
        <w:t xml:space="preserve">langsam zu fallen. Nach </w:t>
      </w:r>
      <w:r>
        <w:rPr>
          <w:rFonts w:cs="Tahoma"/>
          <w:color w:val="000000"/>
        </w:rPr>
        <w:t>Beginn der</w:t>
      </w:r>
      <w:r w:rsidRPr="003B5EEE">
        <w:rPr>
          <w:rFonts w:cs="Tahoma"/>
          <w:color w:val="000000"/>
        </w:rPr>
        <w:t xml:space="preserve"> Reguli</w:t>
      </w:r>
      <w:r w:rsidRPr="003B5EEE">
        <w:rPr>
          <w:rFonts w:cs="Tahoma"/>
          <w:color w:val="000000"/>
        </w:rPr>
        <w:t>e</w:t>
      </w:r>
      <w:r w:rsidRPr="003B5EEE">
        <w:rPr>
          <w:rFonts w:cs="Tahoma"/>
          <w:color w:val="000000"/>
        </w:rPr>
        <w:t xml:space="preserve">rungsprozesse im Schuljahr 2013-2014 </w:t>
      </w:r>
      <w:r>
        <w:rPr>
          <w:rFonts w:cs="Tahoma"/>
          <w:color w:val="000000"/>
        </w:rPr>
        <w:t xml:space="preserve">zeichnet sich </w:t>
      </w:r>
      <w:r w:rsidRPr="003B5EEE">
        <w:rPr>
          <w:rFonts w:cs="Tahoma"/>
          <w:color w:val="000000"/>
        </w:rPr>
        <w:t>sogar ein markanter Rückgang entspr</w:t>
      </w:r>
      <w:r w:rsidRPr="003B5EEE">
        <w:rPr>
          <w:rFonts w:cs="Tahoma"/>
          <w:color w:val="000000"/>
        </w:rPr>
        <w:t>e</w:t>
      </w:r>
      <w:r w:rsidRPr="003B5EEE">
        <w:rPr>
          <w:rFonts w:cs="Tahoma"/>
          <w:color w:val="000000"/>
        </w:rPr>
        <w:t xml:space="preserve">chender disziplinarischer </w:t>
      </w:r>
      <w:r w:rsidR="00D94D2E">
        <w:rPr>
          <w:rFonts w:cs="Tahoma"/>
        </w:rPr>
        <w:t xml:space="preserve">Maßnahmen ab. </w:t>
      </w:r>
      <w:r w:rsidRPr="003B5EEE">
        <w:rPr>
          <w:rFonts w:cs="Tahoma"/>
        </w:rPr>
        <w:t>Insofern kann ausgeschlossen werden, dass Mar</w:t>
      </w:r>
      <w:r w:rsidRPr="003B5EEE">
        <w:rPr>
          <w:rFonts w:cs="Tahoma"/>
        </w:rPr>
        <w:t>i</w:t>
      </w:r>
      <w:r w:rsidRPr="003B5EEE">
        <w:rPr>
          <w:rFonts w:cs="Tahoma"/>
        </w:rPr>
        <w:t xml:space="preserve">huana-Delikte an dem Anstieg der Schulausschlüsse insgesamt beteiligt </w:t>
      </w:r>
      <w:r>
        <w:rPr>
          <w:rFonts w:cs="Tahoma"/>
        </w:rPr>
        <w:t>sind</w:t>
      </w:r>
      <w:r w:rsidRPr="003B5EEE">
        <w:rPr>
          <w:rFonts w:cs="Tahoma"/>
        </w:rPr>
        <w:t>.</w:t>
      </w:r>
      <w:r w:rsidRPr="003B5EEE">
        <w:rPr>
          <w:rFonts w:cs="Tahoma"/>
          <w:color w:val="FF0000"/>
        </w:rPr>
        <w:t xml:space="preserve"> </w:t>
      </w:r>
      <w:r w:rsidRPr="003B5EEE">
        <w:rPr>
          <w:rFonts w:cs="Tahoma"/>
          <w:color w:val="000000"/>
        </w:rPr>
        <w:t xml:space="preserve">Die Gründe für diese Entwicklungen in Bezug auf Drogendelikte sind unklar: </w:t>
      </w:r>
      <w:r>
        <w:rPr>
          <w:rFonts w:cs="Tahoma"/>
          <w:color w:val="000000"/>
        </w:rPr>
        <w:t xml:space="preserve">Zu klären ist, ob sie sich </w:t>
      </w:r>
      <w:r w:rsidRPr="003B5EEE">
        <w:rPr>
          <w:rFonts w:cs="Tahoma"/>
          <w:color w:val="000000"/>
        </w:rPr>
        <w:t>aus e</w:t>
      </w:r>
      <w:r w:rsidRPr="003B5EEE">
        <w:rPr>
          <w:rFonts w:cs="Tahoma"/>
          <w:color w:val="000000"/>
        </w:rPr>
        <w:t>i</w:t>
      </w:r>
      <w:r w:rsidRPr="003B5EEE">
        <w:rPr>
          <w:rFonts w:cs="Tahoma"/>
          <w:color w:val="000000"/>
        </w:rPr>
        <w:t>ner veränderten Strafpraxis, aus verringerten Konsumraten unter Schüler</w:t>
      </w:r>
      <w:r>
        <w:rPr>
          <w:rFonts w:cs="Tahoma"/>
          <w:color w:val="000000"/>
        </w:rPr>
        <w:t xml:space="preserve">n, </w:t>
      </w:r>
      <w:r w:rsidRPr="003B5EEE">
        <w:rPr>
          <w:rFonts w:cs="Tahoma"/>
          <w:color w:val="000000"/>
        </w:rPr>
        <w:t xml:space="preserve">weniger Umgang mit Marihuana auf dem Schulgelände oder weiteren sozialen Bezügen ergeben. </w:t>
      </w:r>
    </w:p>
    <w:p w14:paraId="42C3848C" w14:textId="77777777" w:rsidR="00FD1963" w:rsidRDefault="00FD1963" w:rsidP="00FD1963">
      <w:pPr>
        <w:pStyle w:val="KeinLeerraum"/>
        <w:spacing w:line="276" w:lineRule="auto"/>
        <w:jc w:val="both"/>
        <w:rPr>
          <w:szCs w:val="22"/>
        </w:rPr>
      </w:pPr>
    </w:p>
    <w:p w14:paraId="61C0CC85" w14:textId="1497B6E2" w:rsidR="00FD1963" w:rsidRDefault="00FD1963" w:rsidP="00FD1963">
      <w:pPr>
        <w:pStyle w:val="KeinLeerraum"/>
        <w:spacing w:line="276" w:lineRule="auto"/>
        <w:jc w:val="both"/>
        <w:rPr>
          <w:szCs w:val="22"/>
        </w:rPr>
      </w:pPr>
      <w:r>
        <w:rPr>
          <w:szCs w:val="22"/>
        </w:rPr>
        <w:t>Die verfügbaren Daten aus den Bundesstaaten Colorado und Washington können die gefürcht</w:t>
      </w:r>
      <w:r>
        <w:rPr>
          <w:szCs w:val="22"/>
        </w:rPr>
        <w:t>e</w:t>
      </w:r>
      <w:r>
        <w:rPr>
          <w:szCs w:val="22"/>
        </w:rPr>
        <w:t>ten Damm-Bruch-Szenarien für weiterhin unter Prohibition stehende Jugendliche und Hera</w:t>
      </w:r>
      <w:r>
        <w:rPr>
          <w:szCs w:val="22"/>
        </w:rPr>
        <w:t>n</w:t>
      </w:r>
      <w:r>
        <w:rPr>
          <w:szCs w:val="22"/>
        </w:rPr>
        <w:t>wachsende nicht bestätigen. Erkennbar wird vielmehr, dass sich Entwicklungen</w:t>
      </w:r>
      <w:r w:rsidRPr="00BF396D">
        <w:rPr>
          <w:szCs w:val="22"/>
        </w:rPr>
        <w:t xml:space="preserve"> </w:t>
      </w:r>
      <w:r>
        <w:rPr>
          <w:szCs w:val="22"/>
        </w:rPr>
        <w:t>nach der dr</w:t>
      </w:r>
      <w:r>
        <w:rPr>
          <w:szCs w:val="22"/>
        </w:rPr>
        <w:t>o</w:t>
      </w:r>
      <w:r>
        <w:rPr>
          <w:szCs w:val="22"/>
        </w:rPr>
        <w:t>genpolitischen Neuregelung fortsetzen, die schon vor der Regulierung existierten. Dies betrifft sowohl den Trend stagnierender bzw. leicht rückläufiger Konsumprävalenzen unter Jugendl</w:t>
      </w:r>
      <w:r>
        <w:rPr>
          <w:szCs w:val="22"/>
        </w:rPr>
        <w:t>i</w:t>
      </w:r>
      <w:r>
        <w:rPr>
          <w:szCs w:val="22"/>
        </w:rPr>
        <w:t>chen, als auch (mit Einschränkungen</w:t>
      </w:r>
      <w:r w:rsidRPr="00BF396D">
        <w:rPr>
          <w:szCs w:val="22"/>
        </w:rPr>
        <w:t xml:space="preserve"> </w:t>
      </w:r>
      <w:r>
        <w:rPr>
          <w:szCs w:val="22"/>
        </w:rPr>
        <w:t>wegen methodischer Mängel) die Relativierung der Ris</w:t>
      </w:r>
      <w:r>
        <w:rPr>
          <w:szCs w:val="22"/>
        </w:rPr>
        <w:t>i</w:t>
      </w:r>
      <w:r>
        <w:rPr>
          <w:szCs w:val="22"/>
        </w:rPr>
        <w:t xml:space="preserve">koeinschätzung des Konsums. </w:t>
      </w:r>
      <w:r w:rsidRPr="008E11E3">
        <w:rPr>
          <w:szCs w:val="22"/>
        </w:rPr>
        <w:t>Insgesamt ist fü</w:t>
      </w:r>
      <w:r>
        <w:rPr>
          <w:szCs w:val="22"/>
        </w:rPr>
        <w:t xml:space="preserve">r die vorliegende Datenlage die </w:t>
      </w:r>
      <w:r w:rsidRPr="008E11E3">
        <w:rPr>
          <w:szCs w:val="22"/>
        </w:rPr>
        <w:t>Diskrepanz zw</w:t>
      </w:r>
      <w:r w:rsidRPr="008E11E3">
        <w:rPr>
          <w:szCs w:val="22"/>
        </w:rPr>
        <w:t>i</w:t>
      </w:r>
      <w:r w:rsidRPr="008E11E3">
        <w:rPr>
          <w:szCs w:val="22"/>
        </w:rPr>
        <w:t>schen der relativ hohen Verfügbarkeit von Marihuana auch für Jugendliche unter Prohibition und den moderaten Konsum</w:t>
      </w:r>
      <w:r>
        <w:rPr>
          <w:szCs w:val="22"/>
        </w:rPr>
        <w:t>-</w:t>
      </w:r>
      <w:r w:rsidRPr="008E11E3">
        <w:rPr>
          <w:szCs w:val="22"/>
        </w:rPr>
        <w:t>Prävalenzraten hervorzuheben.</w:t>
      </w:r>
    </w:p>
    <w:p w14:paraId="3C72E61B" w14:textId="77777777" w:rsidR="00FD1963" w:rsidRDefault="00FD1963" w:rsidP="00FD1963">
      <w:pPr>
        <w:spacing w:line="276" w:lineRule="auto"/>
        <w:jc w:val="both"/>
        <w:rPr>
          <w:szCs w:val="22"/>
        </w:rPr>
      </w:pPr>
      <w:r>
        <w:rPr>
          <w:szCs w:val="22"/>
        </w:rPr>
        <w:t>Wenn auch nicht in signifikant ausweisbaren Bezügen deuten sich jedoch wünschenswerte En</w:t>
      </w:r>
      <w:r>
        <w:rPr>
          <w:szCs w:val="22"/>
        </w:rPr>
        <w:t>t</w:t>
      </w:r>
      <w:r>
        <w:rPr>
          <w:szCs w:val="22"/>
        </w:rPr>
        <w:t>wicklungen wie die Erhöhung des Probieralters und des Sinkens der Zahl sehr intensiver Ko</w:t>
      </w:r>
      <w:r>
        <w:rPr>
          <w:szCs w:val="22"/>
        </w:rPr>
        <w:t>n</w:t>
      </w:r>
      <w:r>
        <w:rPr>
          <w:szCs w:val="22"/>
        </w:rPr>
        <w:t xml:space="preserve">summuster an, die möglicherweise Folgen der Regulierungsprozesse sind. Es bleibt abzuwarten, ob diese Veränderungen zu einem stabilen Trend werden. </w:t>
      </w:r>
    </w:p>
    <w:p w14:paraId="1EF260D8" w14:textId="77777777" w:rsidR="00FD1963" w:rsidRPr="00146B64" w:rsidRDefault="00FD1963" w:rsidP="00FD1963">
      <w:pPr>
        <w:pStyle w:val="KeinLeerraum"/>
        <w:spacing w:line="276" w:lineRule="auto"/>
        <w:jc w:val="both"/>
        <w:rPr>
          <w:rFonts w:cs="Times"/>
          <w:color w:val="000000"/>
          <w:szCs w:val="22"/>
        </w:rPr>
      </w:pPr>
      <w:r>
        <w:rPr>
          <w:rFonts w:cs="Calibri"/>
          <w:color w:val="000000"/>
          <w:szCs w:val="22"/>
        </w:rPr>
        <w:t>Die</w:t>
      </w:r>
      <w:r w:rsidRPr="008E11E3">
        <w:rPr>
          <w:rFonts w:cs="Calibri"/>
          <w:color w:val="000000"/>
          <w:szCs w:val="22"/>
        </w:rPr>
        <w:t xml:space="preserve"> </w:t>
      </w:r>
      <w:r>
        <w:rPr>
          <w:rFonts w:cs="Calibri"/>
          <w:color w:val="000000"/>
          <w:szCs w:val="22"/>
        </w:rPr>
        <w:t>vorliegenden Daten</w:t>
      </w:r>
      <w:r w:rsidRPr="008E11E3">
        <w:rPr>
          <w:rFonts w:cs="Calibri"/>
          <w:color w:val="000000"/>
          <w:szCs w:val="22"/>
        </w:rPr>
        <w:t xml:space="preserve"> stützen </w:t>
      </w:r>
      <w:r>
        <w:rPr>
          <w:rFonts w:cs="Calibri"/>
          <w:color w:val="000000"/>
          <w:szCs w:val="22"/>
        </w:rPr>
        <w:t xml:space="preserve">zudem </w:t>
      </w:r>
      <w:r w:rsidRPr="008E11E3">
        <w:rPr>
          <w:rFonts w:cs="Calibri"/>
          <w:color w:val="000000"/>
          <w:szCs w:val="22"/>
        </w:rPr>
        <w:t>die These, dass die Verbreitung des Ma</w:t>
      </w:r>
      <w:r>
        <w:rPr>
          <w:rFonts w:cs="Calibri"/>
          <w:color w:val="000000"/>
          <w:szCs w:val="22"/>
        </w:rPr>
        <w:t>rihuana-K</w:t>
      </w:r>
      <w:r w:rsidRPr="008E11E3">
        <w:rPr>
          <w:rFonts w:cs="Calibri"/>
          <w:color w:val="000000"/>
          <w:szCs w:val="22"/>
        </w:rPr>
        <w:t xml:space="preserve">onsums auch unter Jugendlichen und Heranwachsenden weniger von der Verfügbarkeit dieser Substanz beeinflusst wird, sondern ganz andere Erklärungsbündel für in den Blick zu nehmen sind. </w:t>
      </w:r>
    </w:p>
    <w:p w14:paraId="5379F970" w14:textId="77777777" w:rsidR="00FD1963" w:rsidRDefault="00FD1963" w:rsidP="00FD1963">
      <w:pPr>
        <w:pStyle w:val="KeinLeerraum"/>
        <w:spacing w:line="276" w:lineRule="auto"/>
        <w:jc w:val="both"/>
        <w:rPr>
          <w:szCs w:val="22"/>
        </w:rPr>
      </w:pPr>
    </w:p>
    <w:p w14:paraId="096315A8" w14:textId="77777777" w:rsidR="00FD1963" w:rsidRPr="00855FC9" w:rsidRDefault="00FD1963" w:rsidP="00FD1963">
      <w:pPr>
        <w:pStyle w:val="KeinLeerraum"/>
        <w:spacing w:line="276" w:lineRule="auto"/>
        <w:jc w:val="both"/>
        <w:rPr>
          <w:b/>
          <w:szCs w:val="22"/>
        </w:rPr>
      </w:pPr>
      <w:r w:rsidRPr="00855FC9">
        <w:rPr>
          <w:b/>
          <w:szCs w:val="22"/>
        </w:rPr>
        <w:t>Forschungsdilemmata</w:t>
      </w:r>
    </w:p>
    <w:p w14:paraId="39428AF3" w14:textId="26362BFF" w:rsidR="00FD1963" w:rsidRDefault="00FD1963" w:rsidP="00FD1963">
      <w:pPr>
        <w:spacing w:line="276" w:lineRule="auto"/>
        <w:jc w:val="both"/>
        <w:rPr>
          <w:szCs w:val="22"/>
        </w:rPr>
      </w:pPr>
      <w:r>
        <w:rPr>
          <w:szCs w:val="22"/>
        </w:rPr>
        <w:t>Herauszufinden wäre in Zusammenhang mit den sinkenden Raten für die Risikobeurteilung des Marihuana-Konsums, ob diese Entwicklungen im Sinne einer Normalisierung positiv bewertet werden können. In deutschen Studien wurde z. B. heraus gestellt, dass die manipulative Dram</w:t>
      </w:r>
      <w:r>
        <w:rPr>
          <w:szCs w:val="22"/>
        </w:rPr>
        <w:t>a</w:t>
      </w:r>
      <w:r>
        <w:rPr>
          <w:szCs w:val="22"/>
        </w:rPr>
        <w:t>tisierung negativer Effekte des Drogenkonsums in Präventionsbotschaften einen problemat</w:t>
      </w:r>
      <w:r>
        <w:rPr>
          <w:szCs w:val="22"/>
        </w:rPr>
        <w:t>i</w:t>
      </w:r>
      <w:r>
        <w:rPr>
          <w:szCs w:val="22"/>
        </w:rPr>
        <w:t>schen Dominoeffekt hat, wenn im Rahmen eigener empirischer Erfahrungen Jugendliche diese Informationsstrategien enttarnen und in der Folge jegliche Verweise auf Risiken u</w:t>
      </w:r>
      <w:r w:rsidR="00D94D2E">
        <w:rPr>
          <w:szCs w:val="22"/>
        </w:rPr>
        <w:t xml:space="preserve">nd Gefahren nicht mehr annehmen. </w:t>
      </w:r>
      <w:r>
        <w:rPr>
          <w:szCs w:val="22"/>
        </w:rPr>
        <w:t xml:space="preserve">In diesem Sinne könnte in den USA bereits die medizinische Vergabe von Marihuana eine Korrektur überzogener Risikodarstellungen angeregt und eine realitätsgerechte Auseinandersetzung mit Konsumeffekten erlauben haben – basale Voraussetzungen, sich dieser Substanz mit gebotenem Respekt zu nähern. </w:t>
      </w:r>
    </w:p>
    <w:p w14:paraId="48D9599A" w14:textId="697C7025" w:rsidR="00FD1963" w:rsidRDefault="00FD1963" w:rsidP="00FD1963">
      <w:pPr>
        <w:spacing w:line="276" w:lineRule="auto"/>
        <w:jc w:val="both"/>
        <w:rPr>
          <w:rFonts w:cs="Times New Roman"/>
          <w:szCs w:val="22"/>
        </w:rPr>
      </w:pPr>
      <w:r>
        <w:rPr>
          <w:rFonts w:cs="Verdana"/>
          <w:szCs w:val="22"/>
        </w:rPr>
        <w:t xml:space="preserve">Für die Bewertung vorliegender Umfrageergebnisse ist zudem herauszustellen, dass unter dem Eindruck schneller, </w:t>
      </w:r>
      <w:r w:rsidRPr="002528BF">
        <w:rPr>
          <w:rFonts w:cs="Verdana"/>
          <w:szCs w:val="22"/>
        </w:rPr>
        <w:t xml:space="preserve">harter Strafen und angesichts der </w:t>
      </w:r>
      <w:r w:rsidRPr="002528BF">
        <w:rPr>
          <w:rFonts w:cs="Times New Roman"/>
          <w:szCs w:val="22"/>
        </w:rPr>
        <w:t>sozialen Unerwünschtheit des Marihuana-Konsums unter Jugendlichen nicht ausgeschlossen werden</w:t>
      </w:r>
      <w:r w:rsidRPr="0087050B">
        <w:rPr>
          <w:rFonts w:cs="Times New Roman"/>
          <w:szCs w:val="22"/>
        </w:rPr>
        <w:t xml:space="preserve"> </w:t>
      </w:r>
      <w:r w:rsidRPr="002528BF">
        <w:rPr>
          <w:rFonts w:cs="Times New Roman"/>
          <w:szCs w:val="22"/>
        </w:rPr>
        <w:t xml:space="preserve">kann, dass </w:t>
      </w:r>
      <w:r>
        <w:rPr>
          <w:rFonts w:cs="Verdana"/>
          <w:szCs w:val="22"/>
        </w:rPr>
        <w:t>die B</w:t>
      </w:r>
      <w:r w:rsidRPr="002528BF">
        <w:rPr>
          <w:rFonts w:cs="Verdana"/>
          <w:szCs w:val="22"/>
        </w:rPr>
        <w:t xml:space="preserve">efragten </w:t>
      </w:r>
      <w:r>
        <w:rPr>
          <w:rFonts w:cs="Verdana"/>
          <w:szCs w:val="22"/>
        </w:rPr>
        <w:t xml:space="preserve">im Rahmen eines Scham-Managements in den Surveys </w:t>
      </w:r>
      <w:r w:rsidRPr="002528BF">
        <w:rPr>
          <w:rFonts w:cs="Verdana"/>
          <w:szCs w:val="22"/>
        </w:rPr>
        <w:t xml:space="preserve">ihren Konsum nicht sachgerecht berichten. </w:t>
      </w:r>
      <w:r>
        <w:rPr>
          <w:rFonts w:cs="Verdana"/>
          <w:szCs w:val="22"/>
        </w:rPr>
        <w:t>Leider kann in</w:t>
      </w:r>
      <w:r w:rsidRPr="002528BF">
        <w:rPr>
          <w:rFonts w:cs="Verdana"/>
          <w:szCs w:val="22"/>
        </w:rPr>
        <w:t xml:space="preserve"> keiner der vorliegenden Untersuchungen </w:t>
      </w:r>
      <w:r w:rsidRPr="002528BF">
        <w:rPr>
          <w:rFonts w:cs="Times New Roman"/>
          <w:szCs w:val="22"/>
        </w:rPr>
        <w:t>empirisch kontrolliert werd</w:t>
      </w:r>
      <w:r>
        <w:rPr>
          <w:rFonts w:cs="Times New Roman"/>
          <w:szCs w:val="22"/>
        </w:rPr>
        <w:t>en, ob und wie die Regulierungsprozesse</w:t>
      </w:r>
      <w:r w:rsidRPr="002528BF">
        <w:rPr>
          <w:rFonts w:cs="Times New Roman"/>
          <w:szCs w:val="22"/>
        </w:rPr>
        <w:t xml:space="preserve"> sich auf das Antwortverhalten der Jugendlichen ausw</w:t>
      </w:r>
      <w:r>
        <w:rPr>
          <w:rFonts w:cs="Times New Roman"/>
          <w:szCs w:val="22"/>
        </w:rPr>
        <w:t>irken</w:t>
      </w:r>
      <w:r w:rsidRPr="002528BF">
        <w:rPr>
          <w:rFonts w:cs="Times New Roman"/>
          <w:szCs w:val="22"/>
        </w:rPr>
        <w:t>:</w:t>
      </w:r>
      <w:r>
        <w:rPr>
          <w:rFonts w:cs="Times New Roman"/>
          <w:szCs w:val="22"/>
        </w:rPr>
        <w:t xml:space="preserve"> O</w:t>
      </w:r>
      <w:r w:rsidRPr="002528BF">
        <w:rPr>
          <w:rFonts w:cs="Times New Roman"/>
          <w:szCs w:val="22"/>
        </w:rPr>
        <w:t>b beispiel</w:t>
      </w:r>
      <w:r w:rsidRPr="002528BF">
        <w:rPr>
          <w:rFonts w:cs="Times New Roman"/>
          <w:szCs w:val="22"/>
        </w:rPr>
        <w:t>s</w:t>
      </w:r>
      <w:r w:rsidRPr="002528BF">
        <w:rPr>
          <w:rFonts w:cs="Times New Roman"/>
          <w:szCs w:val="22"/>
        </w:rPr>
        <w:t xml:space="preserve">weise vor der </w:t>
      </w:r>
      <w:r>
        <w:rPr>
          <w:rFonts w:cs="Times New Roman"/>
          <w:szCs w:val="22"/>
        </w:rPr>
        <w:t>Regulierung</w:t>
      </w:r>
      <w:r w:rsidRPr="002528BF">
        <w:rPr>
          <w:rFonts w:cs="Times New Roman"/>
          <w:szCs w:val="22"/>
        </w:rPr>
        <w:t xml:space="preserve"> weniger Konsum und im Zuge der Entstigmatisierung realitäts</w:t>
      </w:r>
      <w:r>
        <w:rPr>
          <w:rFonts w:cs="Times New Roman"/>
          <w:szCs w:val="22"/>
        </w:rPr>
        <w:t>g</w:t>
      </w:r>
      <w:r>
        <w:rPr>
          <w:rFonts w:cs="Times New Roman"/>
          <w:szCs w:val="22"/>
        </w:rPr>
        <w:t>e</w:t>
      </w:r>
      <w:r>
        <w:rPr>
          <w:rFonts w:cs="Times New Roman"/>
          <w:szCs w:val="22"/>
        </w:rPr>
        <w:t xml:space="preserve">rechter berichtet wird. Auf diese Weise würden </w:t>
      </w:r>
      <w:r w:rsidRPr="002528BF">
        <w:rPr>
          <w:rFonts w:cs="Times New Roman"/>
          <w:szCs w:val="22"/>
        </w:rPr>
        <w:t xml:space="preserve">sich Anstiege in den Prävalenzzahlen ergeben, die allerdings nicht auf </w:t>
      </w:r>
      <w:r>
        <w:rPr>
          <w:rFonts w:cs="Times New Roman"/>
          <w:szCs w:val="22"/>
        </w:rPr>
        <w:t>reale</w:t>
      </w:r>
      <w:r w:rsidR="00D94D2E">
        <w:rPr>
          <w:rFonts w:cs="Times New Roman"/>
          <w:szCs w:val="22"/>
        </w:rPr>
        <w:t xml:space="preserve"> Entwicklungen zurückgehen. </w:t>
      </w:r>
      <w:r>
        <w:rPr>
          <w:rFonts w:cs="Times New Roman"/>
          <w:szCs w:val="22"/>
        </w:rPr>
        <w:t>Damit sind wichtige methodische Fragen des Monitorings eines Radical political Shifts aufgeworfen.</w:t>
      </w:r>
    </w:p>
    <w:p w14:paraId="5F5CCCB0" w14:textId="77777777" w:rsidR="00FD1963" w:rsidRPr="004B29BB" w:rsidRDefault="00FD1963" w:rsidP="00D94D2E">
      <w:pPr>
        <w:pStyle w:val="berschrift2"/>
      </w:pPr>
      <w:bookmarkStart w:id="6" w:name="_Toc349300335"/>
      <w:r w:rsidRPr="004B29BB">
        <w:t>Regulierungsprozesse und Verkehrssicherheit</w:t>
      </w:r>
      <w:bookmarkEnd w:id="6"/>
    </w:p>
    <w:p w14:paraId="06255854" w14:textId="77777777" w:rsidR="00FD1963" w:rsidRDefault="00FD1963" w:rsidP="00FD1963">
      <w:pPr>
        <w:spacing w:line="276" w:lineRule="auto"/>
        <w:jc w:val="both"/>
        <w:rPr>
          <w:rFonts w:cs="Trebuchet MS"/>
          <w:szCs w:val="22"/>
        </w:rPr>
      </w:pPr>
      <w:r>
        <w:rPr>
          <w:rFonts w:cs="Trebuchet MS"/>
          <w:szCs w:val="22"/>
        </w:rPr>
        <w:t xml:space="preserve">In Zusammenhang mit </w:t>
      </w:r>
      <w:r w:rsidRPr="00762252">
        <w:rPr>
          <w:rFonts w:cs="Trebuchet MS"/>
          <w:szCs w:val="22"/>
        </w:rPr>
        <w:t xml:space="preserve">der </w:t>
      </w:r>
      <w:r>
        <w:rPr>
          <w:rFonts w:cs="Trebuchet MS"/>
          <w:szCs w:val="22"/>
        </w:rPr>
        <w:t>Verkehrssicherheit und deren Entwicklung im Zuge der Regulierung des</w:t>
      </w:r>
      <w:r w:rsidRPr="00762252">
        <w:rPr>
          <w:rFonts w:cs="Trebuchet MS"/>
          <w:szCs w:val="22"/>
        </w:rPr>
        <w:t xml:space="preserve"> </w:t>
      </w:r>
      <w:r>
        <w:rPr>
          <w:rFonts w:cs="Trebuchet MS"/>
          <w:szCs w:val="22"/>
        </w:rPr>
        <w:t>Marihuana-Konsums ist interessant, dass die Bundesstaaten Colorado und Washington u</w:t>
      </w:r>
      <w:r>
        <w:rPr>
          <w:rFonts w:cs="Trebuchet MS"/>
          <w:szCs w:val="22"/>
        </w:rPr>
        <w:t>n</w:t>
      </w:r>
      <w:r>
        <w:rPr>
          <w:rFonts w:cs="Trebuchet MS"/>
          <w:szCs w:val="22"/>
        </w:rPr>
        <w:t xml:space="preserve">terschiedliche verkehrsrechtliche Regelungen umsetzen. </w:t>
      </w:r>
    </w:p>
    <w:p w14:paraId="61BA4091" w14:textId="11D9AC55" w:rsidR="00FD1963" w:rsidRDefault="00FD1963" w:rsidP="00FD1963">
      <w:pPr>
        <w:pStyle w:val="KeinLeerraum"/>
        <w:spacing w:line="276" w:lineRule="auto"/>
        <w:jc w:val="both"/>
        <w:rPr>
          <w:rFonts w:cs="Arial"/>
          <w:szCs w:val="22"/>
        </w:rPr>
      </w:pPr>
      <w:r>
        <w:rPr>
          <w:szCs w:val="22"/>
        </w:rPr>
        <w:t xml:space="preserve">In </w:t>
      </w:r>
      <w:r w:rsidRPr="00D16A78">
        <w:rPr>
          <w:i/>
          <w:szCs w:val="22"/>
        </w:rPr>
        <w:t>Washington</w:t>
      </w:r>
      <w:r>
        <w:rPr>
          <w:szCs w:val="22"/>
        </w:rPr>
        <w:t xml:space="preserve"> sind </w:t>
      </w:r>
      <w:r w:rsidRPr="00762252">
        <w:rPr>
          <w:szCs w:val="22"/>
        </w:rPr>
        <w:t>auch die verkehrsrechtlichen Regelungen rund um de</w:t>
      </w:r>
      <w:r>
        <w:rPr>
          <w:szCs w:val="22"/>
        </w:rPr>
        <w:t>n Marihuana-K</w:t>
      </w:r>
      <w:r w:rsidRPr="00762252">
        <w:rPr>
          <w:szCs w:val="22"/>
        </w:rPr>
        <w:t xml:space="preserve">onsum </w:t>
      </w:r>
      <w:r>
        <w:rPr>
          <w:szCs w:val="22"/>
        </w:rPr>
        <w:t xml:space="preserve">im Zuge der Regulierung </w:t>
      </w:r>
      <w:r w:rsidRPr="00762252">
        <w:rPr>
          <w:szCs w:val="22"/>
        </w:rPr>
        <w:t>radikal geändert</w:t>
      </w:r>
      <w:r>
        <w:rPr>
          <w:szCs w:val="22"/>
        </w:rPr>
        <w:t xml:space="preserve"> worden:</w:t>
      </w:r>
      <w:r w:rsidRPr="00762252">
        <w:rPr>
          <w:szCs w:val="22"/>
        </w:rPr>
        <w:t xml:space="preserve"> </w:t>
      </w:r>
      <w:r>
        <w:rPr>
          <w:szCs w:val="22"/>
        </w:rPr>
        <w:t>S</w:t>
      </w:r>
      <w:r w:rsidRPr="00762252">
        <w:rPr>
          <w:szCs w:val="22"/>
        </w:rPr>
        <w:t xml:space="preserve">ofern der Fahrer älter als 21 Jahre alt und die THC-Blutkonzentration auch zwei Stunden </w:t>
      </w:r>
      <w:r>
        <w:rPr>
          <w:szCs w:val="22"/>
        </w:rPr>
        <w:t>nach der Fahrt nicht höher als fünf</w:t>
      </w:r>
      <w:r w:rsidRPr="00762252">
        <w:rPr>
          <w:szCs w:val="22"/>
        </w:rPr>
        <w:t xml:space="preserve"> Nanogramm pro Millilit</w:t>
      </w:r>
      <w:r>
        <w:rPr>
          <w:szCs w:val="22"/>
        </w:rPr>
        <w:t>er Blut ist, ist der Konsum unter Verkehrsteilnehmern straffrei</w:t>
      </w:r>
      <w:r w:rsidRPr="00762252">
        <w:rPr>
          <w:szCs w:val="22"/>
        </w:rPr>
        <w:t xml:space="preserve">. </w:t>
      </w:r>
      <w:r>
        <w:rPr>
          <w:szCs w:val="22"/>
        </w:rPr>
        <w:t>D</w:t>
      </w:r>
      <w:r w:rsidRPr="00762252">
        <w:rPr>
          <w:szCs w:val="22"/>
        </w:rPr>
        <w:t xml:space="preserve">amit </w:t>
      </w:r>
      <w:r>
        <w:rPr>
          <w:szCs w:val="22"/>
        </w:rPr>
        <w:t>wurden n</w:t>
      </w:r>
      <w:r w:rsidRPr="00762252">
        <w:rPr>
          <w:szCs w:val="22"/>
        </w:rPr>
        <w:t xml:space="preserve">ach einem Totalverbot erstmals Limits </w:t>
      </w:r>
      <w:r>
        <w:rPr>
          <w:szCs w:val="22"/>
        </w:rPr>
        <w:t>für den Marihuana-K</w:t>
      </w:r>
      <w:r w:rsidRPr="00762252">
        <w:rPr>
          <w:szCs w:val="22"/>
        </w:rPr>
        <w:t xml:space="preserve">onsum </w:t>
      </w:r>
      <w:r>
        <w:rPr>
          <w:szCs w:val="22"/>
        </w:rPr>
        <w:t xml:space="preserve">bei </w:t>
      </w:r>
      <w:r w:rsidRPr="00762252">
        <w:rPr>
          <w:szCs w:val="22"/>
        </w:rPr>
        <w:t>eine</w:t>
      </w:r>
      <w:r>
        <w:rPr>
          <w:szCs w:val="22"/>
        </w:rPr>
        <w:t>r</w:t>
      </w:r>
      <w:r w:rsidRPr="00762252">
        <w:rPr>
          <w:szCs w:val="22"/>
        </w:rPr>
        <w:t xml:space="preserve"> Teilnahme am Straße</w:t>
      </w:r>
      <w:r w:rsidRPr="00762252">
        <w:rPr>
          <w:szCs w:val="22"/>
        </w:rPr>
        <w:t>n</w:t>
      </w:r>
      <w:r w:rsidRPr="00762252">
        <w:rPr>
          <w:szCs w:val="22"/>
        </w:rPr>
        <w:t xml:space="preserve">verkehr </w:t>
      </w:r>
      <w:r>
        <w:rPr>
          <w:szCs w:val="22"/>
        </w:rPr>
        <w:t>vorgegeben. M</w:t>
      </w:r>
      <w:r w:rsidRPr="00762252">
        <w:rPr>
          <w:szCs w:val="22"/>
        </w:rPr>
        <w:t xml:space="preserve">it der </w:t>
      </w:r>
      <w:r>
        <w:rPr>
          <w:szCs w:val="22"/>
        </w:rPr>
        <w:t>Regulierung</w:t>
      </w:r>
      <w:r w:rsidRPr="00762252">
        <w:rPr>
          <w:szCs w:val="22"/>
        </w:rPr>
        <w:t xml:space="preserve"> </w:t>
      </w:r>
      <w:r>
        <w:rPr>
          <w:szCs w:val="22"/>
        </w:rPr>
        <w:t>wurde</w:t>
      </w:r>
      <w:r w:rsidRPr="00762252">
        <w:rPr>
          <w:szCs w:val="22"/>
        </w:rPr>
        <w:t xml:space="preserve"> </w:t>
      </w:r>
      <w:r>
        <w:rPr>
          <w:szCs w:val="22"/>
        </w:rPr>
        <w:t xml:space="preserve">zugleich </w:t>
      </w:r>
      <w:r w:rsidRPr="00762252">
        <w:rPr>
          <w:szCs w:val="22"/>
        </w:rPr>
        <w:t>ein neues Delikt in den Katalog der Verkehrsdelikte aufgenommen: „Driving under the influence of drugs: Marihua</w:t>
      </w:r>
      <w:r>
        <w:rPr>
          <w:szCs w:val="22"/>
        </w:rPr>
        <w:t>na (DUIM)“, w</w:t>
      </w:r>
      <w:r>
        <w:rPr>
          <w:szCs w:val="22"/>
        </w:rPr>
        <w:t>o</w:t>
      </w:r>
      <w:r>
        <w:rPr>
          <w:szCs w:val="22"/>
        </w:rPr>
        <w:t xml:space="preserve">raus sich folgerichtig </w:t>
      </w:r>
      <w:r w:rsidRPr="00762252">
        <w:rPr>
          <w:szCs w:val="22"/>
        </w:rPr>
        <w:t>die Herausforderung</w:t>
      </w:r>
      <w:r>
        <w:rPr>
          <w:szCs w:val="22"/>
        </w:rPr>
        <w:t xml:space="preserve"> stellt</w:t>
      </w:r>
      <w:r w:rsidRPr="00762252">
        <w:rPr>
          <w:szCs w:val="22"/>
        </w:rPr>
        <w:t>, diese neuen Vorgaben auch kontrollieren und ggf. sanktionieren</w:t>
      </w:r>
      <w:r>
        <w:rPr>
          <w:szCs w:val="22"/>
        </w:rPr>
        <w:t xml:space="preserve"> zu können</w:t>
      </w:r>
      <w:r w:rsidRPr="00762252">
        <w:rPr>
          <w:szCs w:val="22"/>
        </w:rPr>
        <w:t xml:space="preserve">. </w:t>
      </w:r>
      <w:r>
        <w:rPr>
          <w:szCs w:val="22"/>
        </w:rPr>
        <w:t xml:space="preserve">Also wurde </w:t>
      </w:r>
      <w:r w:rsidRPr="00762252">
        <w:rPr>
          <w:szCs w:val="22"/>
        </w:rPr>
        <w:t xml:space="preserve">mit der Einführung des Verkehrsdelikts </w:t>
      </w:r>
      <w:r>
        <w:rPr>
          <w:szCs w:val="22"/>
        </w:rPr>
        <w:t>„</w:t>
      </w:r>
      <w:r w:rsidRPr="00762252">
        <w:rPr>
          <w:szCs w:val="22"/>
        </w:rPr>
        <w:t>DUIM</w:t>
      </w:r>
      <w:r>
        <w:rPr>
          <w:szCs w:val="22"/>
        </w:rPr>
        <w:t>“</w:t>
      </w:r>
      <w:r w:rsidRPr="00762252">
        <w:rPr>
          <w:szCs w:val="22"/>
        </w:rPr>
        <w:t>ein intensives Ausbildungsprogramm für an der Strafverfolgung beteilig</w:t>
      </w:r>
      <w:r>
        <w:rPr>
          <w:szCs w:val="22"/>
        </w:rPr>
        <w:t>te</w:t>
      </w:r>
      <w:r w:rsidRPr="00762252">
        <w:rPr>
          <w:szCs w:val="22"/>
        </w:rPr>
        <w:t xml:space="preserve"> Polizisten, Richter, Staatsanwälte und Laborangestellten gestartet. </w:t>
      </w:r>
      <w:r>
        <w:rPr>
          <w:szCs w:val="22"/>
        </w:rPr>
        <w:t>G</w:t>
      </w:r>
      <w:r w:rsidRPr="00762252">
        <w:rPr>
          <w:szCs w:val="22"/>
        </w:rPr>
        <w:t>eschult wur</w:t>
      </w:r>
      <w:r>
        <w:rPr>
          <w:szCs w:val="22"/>
        </w:rPr>
        <w:t>de</w:t>
      </w:r>
      <w:r w:rsidRPr="00762252">
        <w:rPr>
          <w:szCs w:val="22"/>
        </w:rPr>
        <w:t>, wie zu diesem Delikt zu ermi</w:t>
      </w:r>
      <w:r w:rsidRPr="00762252">
        <w:rPr>
          <w:szCs w:val="22"/>
        </w:rPr>
        <w:t>t</w:t>
      </w:r>
      <w:r>
        <w:rPr>
          <w:szCs w:val="22"/>
        </w:rPr>
        <w:t>teln ist; zeit</w:t>
      </w:r>
      <w:r w:rsidRPr="00762252">
        <w:rPr>
          <w:szCs w:val="22"/>
        </w:rPr>
        <w:t>gleich wurden Möglichkeiten für Bluttests aufgebaut</w:t>
      </w:r>
      <w:r>
        <w:rPr>
          <w:szCs w:val="22"/>
        </w:rPr>
        <w:t>, um die</w:t>
      </w:r>
      <w:r w:rsidRPr="00762252">
        <w:rPr>
          <w:szCs w:val="22"/>
        </w:rPr>
        <w:t xml:space="preserve"> Teilnahme am Straße</w:t>
      </w:r>
      <w:r w:rsidRPr="00762252">
        <w:rPr>
          <w:szCs w:val="22"/>
        </w:rPr>
        <w:t>n</w:t>
      </w:r>
      <w:r w:rsidRPr="00762252">
        <w:rPr>
          <w:szCs w:val="22"/>
        </w:rPr>
        <w:t xml:space="preserve">verkehr </w:t>
      </w:r>
      <w:r>
        <w:rPr>
          <w:szCs w:val="22"/>
        </w:rPr>
        <w:t>mit Marihuana-Konsum auch kontrollieren zu können</w:t>
      </w:r>
      <w:r w:rsidRPr="00762252">
        <w:rPr>
          <w:szCs w:val="22"/>
        </w:rPr>
        <w:t>.</w:t>
      </w:r>
      <w:r>
        <w:rPr>
          <w:szCs w:val="22"/>
        </w:rPr>
        <w:t xml:space="preserve"> </w:t>
      </w:r>
      <w:r w:rsidRPr="00762252">
        <w:rPr>
          <w:szCs w:val="22"/>
        </w:rPr>
        <w:t xml:space="preserve">Das </w:t>
      </w:r>
      <w:r w:rsidRPr="00762252">
        <w:rPr>
          <w:rFonts w:cs="Arial"/>
          <w:szCs w:val="22"/>
        </w:rPr>
        <w:t>Forensic Laboratory Se</w:t>
      </w:r>
      <w:r w:rsidRPr="00762252">
        <w:rPr>
          <w:rFonts w:cs="Arial"/>
          <w:szCs w:val="22"/>
        </w:rPr>
        <w:t>r</w:t>
      </w:r>
      <w:r w:rsidRPr="00762252">
        <w:rPr>
          <w:rFonts w:cs="Arial"/>
          <w:szCs w:val="22"/>
        </w:rPr>
        <w:t xml:space="preserve">vices Bureau des Bundesstaates registrierte als Folge der veränderten Gesetzeslage bis 2014 einen Anstieg der Nachfrage nach quantifizierenden THC-Tests um 45 %. </w:t>
      </w:r>
      <w:r w:rsidRPr="00762252">
        <w:rPr>
          <w:szCs w:val="22"/>
        </w:rPr>
        <w:t>Die Tatsache, dass noch Ende des Jahres 2014 ei</w:t>
      </w:r>
      <w:r>
        <w:rPr>
          <w:szCs w:val="22"/>
        </w:rPr>
        <w:t>n Überhang nicht bearbeiteter</w:t>
      </w:r>
      <w:r w:rsidRPr="00762252">
        <w:rPr>
          <w:szCs w:val="22"/>
        </w:rPr>
        <w:t xml:space="preserve"> Tests berich</w:t>
      </w:r>
      <w:r>
        <w:rPr>
          <w:szCs w:val="22"/>
        </w:rPr>
        <w:t xml:space="preserve">tet wurde, </w:t>
      </w:r>
      <w:r w:rsidRPr="00762252">
        <w:rPr>
          <w:rFonts w:cs="Arial"/>
          <w:szCs w:val="22"/>
        </w:rPr>
        <w:t xml:space="preserve">verdeutlicht, mit welchen Herausforderungen auch die Exekutive konfrontiert </w:t>
      </w:r>
      <w:r>
        <w:rPr>
          <w:rFonts w:cs="Arial"/>
          <w:szCs w:val="22"/>
        </w:rPr>
        <w:t>war</w:t>
      </w:r>
      <w:r w:rsidRPr="00762252">
        <w:rPr>
          <w:rFonts w:cs="Arial"/>
          <w:szCs w:val="22"/>
        </w:rPr>
        <w:t xml:space="preserve">. </w:t>
      </w:r>
    </w:p>
    <w:p w14:paraId="414BE167" w14:textId="66B503F4" w:rsidR="00FD1963" w:rsidRDefault="00FD1963" w:rsidP="00FD1963">
      <w:pPr>
        <w:pStyle w:val="KeinLeerraum"/>
        <w:spacing w:line="276" w:lineRule="auto"/>
        <w:jc w:val="both"/>
        <w:rPr>
          <w:rFonts w:cs="Times New Roman"/>
          <w:szCs w:val="22"/>
        </w:rPr>
      </w:pPr>
      <w:r w:rsidRPr="00762252">
        <w:rPr>
          <w:szCs w:val="22"/>
        </w:rPr>
        <w:t xml:space="preserve">Das Gesetz legte zugleich fest, dass ausschließlich ein Bluttest auf aktives THC </w:t>
      </w:r>
      <w:r>
        <w:rPr>
          <w:szCs w:val="22"/>
        </w:rPr>
        <w:t>durch dafür aut</w:t>
      </w:r>
      <w:r>
        <w:rPr>
          <w:szCs w:val="22"/>
        </w:rPr>
        <w:t>o</w:t>
      </w:r>
      <w:r>
        <w:rPr>
          <w:szCs w:val="22"/>
        </w:rPr>
        <w:t>risierte Stellen</w:t>
      </w:r>
      <w:r w:rsidRPr="00762252">
        <w:rPr>
          <w:szCs w:val="22"/>
        </w:rPr>
        <w:t xml:space="preserve"> für eine Strafverfolgung zulässig </w:t>
      </w:r>
      <w:r>
        <w:rPr>
          <w:szCs w:val="22"/>
        </w:rPr>
        <w:t>ist</w:t>
      </w:r>
      <w:r w:rsidRPr="00762252">
        <w:rPr>
          <w:szCs w:val="22"/>
        </w:rPr>
        <w:t>.</w:t>
      </w:r>
      <w:r>
        <w:rPr>
          <w:szCs w:val="22"/>
        </w:rPr>
        <w:t xml:space="preserve"> </w:t>
      </w:r>
      <w:r w:rsidRPr="00762252">
        <w:rPr>
          <w:szCs w:val="22"/>
        </w:rPr>
        <w:t xml:space="preserve">Damit kommen </w:t>
      </w:r>
      <w:r>
        <w:rPr>
          <w:szCs w:val="22"/>
        </w:rPr>
        <w:t xml:space="preserve">z. B. </w:t>
      </w:r>
      <w:r w:rsidRPr="00762252">
        <w:rPr>
          <w:szCs w:val="22"/>
        </w:rPr>
        <w:t>die in Deutschland bei Verkehrskon</w:t>
      </w:r>
      <w:r>
        <w:rPr>
          <w:szCs w:val="22"/>
        </w:rPr>
        <w:t xml:space="preserve">trollen </w:t>
      </w:r>
      <w:r w:rsidRPr="00762252">
        <w:rPr>
          <w:szCs w:val="22"/>
        </w:rPr>
        <w:t xml:space="preserve">üblichen Schnelltests für die </w:t>
      </w:r>
      <w:r>
        <w:rPr>
          <w:szCs w:val="22"/>
        </w:rPr>
        <w:t xml:space="preserve">Washingtoner </w:t>
      </w:r>
      <w:r w:rsidRPr="00762252">
        <w:rPr>
          <w:szCs w:val="22"/>
        </w:rPr>
        <w:t xml:space="preserve">Praxis nicht in Frage. Dies ist im Zuge der </w:t>
      </w:r>
      <w:r>
        <w:rPr>
          <w:szCs w:val="22"/>
        </w:rPr>
        <w:t>Regulierung</w:t>
      </w:r>
      <w:r w:rsidRPr="00762252">
        <w:rPr>
          <w:szCs w:val="22"/>
        </w:rPr>
        <w:t xml:space="preserve"> eine folgerichtige Entscheidung, immerhin weisen positive Tests </w:t>
      </w:r>
      <w:r>
        <w:rPr>
          <w:szCs w:val="22"/>
        </w:rPr>
        <w:t>auf</w:t>
      </w:r>
      <w:r w:rsidRPr="00762252">
        <w:rPr>
          <w:szCs w:val="22"/>
        </w:rPr>
        <w:t xml:space="preserve"> </w:t>
      </w:r>
      <w:r w:rsidRPr="00762252">
        <w:rPr>
          <w:rFonts w:cs="Georgia"/>
          <w:szCs w:val="22"/>
        </w:rPr>
        <w:t>Ca</w:t>
      </w:r>
      <w:r w:rsidRPr="00762252">
        <w:rPr>
          <w:rFonts w:cs="Georgia"/>
          <w:szCs w:val="22"/>
        </w:rPr>
        <w:t>r</w:t>
      </w:r>
      <w:r w:rsidRPr="00762252">
        <w:rPr>
          <w:rFonts w:cs="Georgia"/>
          <w:szCs w:val="22"/>
        </w:rPr>
        <w:t xml:space="preserve">boxy-THC </w:t>
      </w:r>
      <w:r>
        <w:rPr>
          <w:rFonts w:cs="Georgia"/>
          <w:szCs w:val="22"/>
        </w:rPr>
        <w:t xml:space="preserve">oder andere Cannabiniode </w:t>
      </w:r>
      <w:r w:rsidRPr="00762252">
        <w:rPr>
          <w:rFonts w:cs="Georgia"/>
          <w:szCs w:val="22"/>
        </w:rPr>
        <w:t xml:space="preserve">nur darauf hin, dass die Person </w:t>
      </w:r>
      <w:r>
        <w:rPr>
          <w:rFonts w:cs="Georgia"/>
          <w:szCs w:val="22"/>
        </w:rPr>
        <w:t>Cannabis konsumiert hat, erklären</w:t>
      </w:r>
      <w:r w:rsidRPr="00762252">
        <w:rPr>
          <w:rFonts w:cs="Georgia"/>
          <w:szCs w:val="22"/>
        </w:rPr>
        <w:t xml:space="preserve"> aber nicht, ob zum Zeitpunkt des Verkehrsunfalls tatsächlich eine psychoaktive Beei</w:t>
      </w:r>
      <w:r w:rsidRPr="00762252">
        <w:rPr>
          <w:rFonts w:cs="Georgia"/>
          <w:szCs w:val="22"/>
        </w:rPr>
        <w:t>n</w:t>
      </w:r>
      <w:r w:rsidRPr="00762252">
        <w:rPr>
          <w:rFonts w:cs="Georgia"/>
          <w:szCs w:val="22"/>
        </w:rPr>
        <w:t xml:space="preserve">trächtigung vorlag. </w:t>
      </w:r>
    </w:p>
    <w:p w14:paraId="17130762" w14:textId="77777777" w:rsidR="00FD1963" w:rsidRPr="00EF01A7" w:rsidRDefault="00FD1963" w:rsidP="00FD1963">
      <w:pPr>
        <w:pStyle w:val="KeinLeerraum"/>
        <w:spacing w:line="276" w:lineRule="auto"/>
        <w:jc w:val="both"/>
        <w:rPr>
          <w:rFonts w:cs="Arial"/>
          <w:szCs w:val="22"/>
        </w:rPr>
      </w:pPr>
    </w:p>
    <w:p w14:paraId="500F01B5" w14:textId="2DEAE33A" w:rsidR="00FD1963" w:rsidRDefault="00FD1963" w:rsidP="00FD1963">
      <w:pPr>
        <w:pStyle w:val="KeinLeerraum"/>
        <w:spacing w:line="276" w:lineRule="auto"/>
        <w:jc w:val="both"/>
        <w:rPr>
          <w:szCs w:val="22"/>
        </w:rPr>
      </w:pPr>
      <w:r>
        <w:rPr>
          <w:szCs w:val="22"/>
        </w:rPr>
        <w:t>A</w:t>
      </w:r>
      <w:r w:rsidRPr="00762252">
        <w:rPr>
          <w:szCs w:val="22"/>
        </w:rPr>
        <w:t xml:space="preserve">uch </w:t>
      </w:r>
      <w:r>
        <w:rPr>
          <w:szCs w:val="22"/>
        </w:rPr>
        <w:t xml:space="preserve">der Bundesstaat </w:t>
      </w:r>
      <w:r w:rsidRPr="00D16A78">
        <w:rPr>
          <w:i/>
          <w:szCs w:val="22"/>
        </w:rPr>
        <w:t>Colorado</w:t>
      </w:r>
      <w:r w:rsidRPr="00762252">
        <w:rPr>
          <w:szCs w:val="22"/>
        </w:rPr>
        <w:t xml:space="preserve"> </w:t>
      </w:r>
      <w:r>
        <w:rPr>
          <w:szCs w:val="22"/>
        </w:rPr>
        <w:t>hat</w:t>
      </w:r>
      <w:r w:rsidRPr="00762252">
        <w:rPr>
          <w:szCs w:val="22"/>
        </w:rPr>
        <w:t xml:space="preserve"> </w:t>
      </w:r>
      <w:r>
        <w:rPr>
          <w:szCs w:val="22"/>
        </w:rPr>
        <w:t xml:space="preserve">im Zuge der Regulierung </w:t>
      </w:r>
      <w:r>
        <w:rPr>
          <w:rFonts w:cs="Arial"/>
          <w:szCs w:val="22"/>
        </w:rPr>
        <w:t>die Regeln zur Teilnahme am Str</w:t>
      </w:r>
      <w:r>
        <w:rPr>
          <w:rFonts w:cs="Arial"/>
          <w:szCs w:val="22"/>
        </w:rPr>
        <w:t>a</w:t>
      </w:r>
      <w:r>
        <w:rPr>
          <w:rFonts w:cs="Arial"/>
          <w:szCs w:val="22"/>
        </w:rPr>
        <w:t>ßenverkehr</w:t>
      </w:r>
      <w:r w:rsidRPr="00762252">
        <w:rPr>
          <w:rFonts w:cs="Arial"/>
          <w:szCs w:val="22"/>
        </w:rPr>
        <w:t xml:space="preserve"> spezifiziert.</w:t>
      </w:r>
      <w:r>
        <w:rPr>
          <w:rFonts w:cs="Arial"/>
          <w:szCs w:val="22"/>
        </w:rPr>
        <w:t xml:space="preserve"> </w:t>
      </w:r>
      <w:r>
        <w:rPr>
          <w:szCs w:val="22"/>
        </w:rPr>
        <w:t xml:space="preserve">Im Unterschied zu Washington </w:t>
      </w:r>
      <w:r w:rsidRPr="00762252">
        <w:rPr>
          <w:szCs w:val="22"/>
        </w:rPr>
        <w:t xml:space="preserve">ist es in Colorado </w:t>
      </w:r>
      <w:r>
        <w:rPr>
          <w:szCs w:val="22"/>
        </w:rPr>
        <w:t>p</w:t>
      </w:r>
      <w:r w:rsidRPr="00762252">
        <w:rPr>
          <w:szCs w:val="22"/>
        </w:rPr>
        <w:t>rinzipiell nicht e</w:t>
      </w:r>
      <w:r w:rsidRPr="00762252">
        <w:rPr>
          <w:szCs w:val="22"/>
        </w:rPr>
        <w:t>r</w:t>
      </w:r>
      <w:r w:rsidRPr="00762252">
        <w:rPr>
          <w:szCs w:val="22"/>
        </w:rPr>
        <w:t>laubt, unter Einfluss von Marihuana zu fahren. Ab ei</w:t>
      </w:r>
      <w:r>
        <w:rPr>
          <w:szCs w:val="22"/>
        </w:rPr>
        <w:t>nem Blutwert von fünf Nanogramm aktiven</w:t>
      </w:r>
      <w:r w:rsidRPr="00762252">
        <w:rPr>
          <w:szCs w:val="22"/>
        </w:rPr>
        <w:t xml:space="preserve"> THC pro Milliliter Blut erfolgt eine Bestrafung, in deren Folge dem Fahrzeugführer der Führe</w:t>
      </w:r>
      <w:r w:rsidRPr="00762252">
        <w:rPr>
          <w:szCs w:val="22"/>
        </w:rPr>
        <w:t>r</w:t>
      </w:r>
      <w:r w:rsidRPr="00762252">
        <w:rPr>
          <w:szCs w:val="22"/>
        </w:rPr>
        <w:t xml:space="preserve">schein für drei Monate entzogen, Strafpunkte vergeben sowie harte Geldstrafen (zwischen 600 und 1000 Dollar), abzuleistende Stunden gemeinnütziger Arbeit (mindestens 48 Stunden) und Haft (bei einer Erstauffälligkeit mindestens fünf Tage, die mit der Aufnahme einer Behandlung allerdings ausgesetzt werden können) ausgesprochen werden können. Colorado popularisiert diese Verbotspolitik mit einer Kampagne </w:t>
      </w:r>
      <w:r w:rsidRPr="00762252">
        <w:rPr>
          <w:rFonts w:cs="Helvetica Neue"/>
          <w:szCs w:val="22"/>
        </w:rPr>
        <w:t>"Drive High, Get a DUI"</w:t>
      </w:r>
      <w:r>
        <w:rPr>
          <w:szCs w:val="22"/>
        </w:rPr>
        <w:t xml:space="preserve">. </w:t>
      </w:r>
      <w:r w:rsidRPr="00762252">
        <w:rPr>
          <w:szCs w:val="22"/>
        </w:rPr>
        <w:t>Allerdings praktiziert Colorado diesbezüg</w:t>
      </w:r>
      <w:r>
        <w:rPr>
          <w:szCs w:val="22"/>
        </w:rPr>
        <w:t>lich keine Z</w:t>
      </w:r>
      <w:r w:rsidRPr="00762252">
        <w:rPr>
          <w:szCs w:val="22"/>
        </w:rPr>
        <w:t>ero-tolerance-Politik, durch die jeder Nachweis von THC oder seiner Met</w:t>
      </w:r>
      <w:r w:rsidRPr="00762252">
        <w:rPr>
          <w:szCs w:val="22"/>
        </w:rPr>
        <w:t>a</w:t>
      </w:r>
      <w:r w:rsidRPr="00762252">
        <w:rPr>
          <w:szCs w:val="22"/>
        </w:rPr>
        <w:t xml:space="preserve">boliten zum Strafgrund wird. </w:t>
      </w:r>
      <w:r>
        <w:rPr>
          <w:szCs w:val="22"/>
        </w:rPr>
        <w:t xml:space="preserve">Ähnlich wie in Deutschland bei Alkohol </w:t>
      </w:r>
      <w:r w:rsidRPr="00762252">
        <w:rPr>
          <w:szCs w:val="22"/>
        </w:rPr>
        <w:t>muss vor Gericht nachg</w:t>
      </w:r>
      <w:r w:rsidRPr="00762252">
        <w:rPr>
          <w:szCs w:val="22"/>
        </w:rPr>
        <w:t>e</w:t>
      </w:r>
      <w:r w:rsidRPr="00762252">
        <w:rPr>
          <w:szCs w:val="22"/>
        </w:rPr>
        <w:t xml:space="preserve">wiesen werden, dass mit dem positiven Blutspiegel tatsächlich auch eine Beeinträchtigung des </w:t>
      </w:r>
      <w:r>
        <w:rPr>
          <w:szCs w:val="22"/>
        </w:rPr>
        <w:t>Fahrverhaltens einherging</w:t>
      </w:r>
      <w:r w:rsidRPr="00762252">
        <w:rPr>
          <w:szCs w:val="22"/>
        </w:rPr>
        <w:t>.</w:t>
      </w:r>
      <w:r>
        <w:rPr>
          <w:szCs w:val="22"/>
        </w:rPr>
        <w:t xml:space="preserve"> Für </w:t>
      </w:r>
      <w:r w:rsidRPr="00762252">
        <w:rPr>
          <w:szCs w:val="22"/>
        </w:rPr>
        <w:t xml:space="preserve">den gerichtsverwertbaren Nachweis von Cannabis </w:t>
      </w:r>
      <w:r>
        <w:rPr>
          <w:szCs w:val="22"/>
        </w:rPr>
        <w:t xml:space="preserve">ist </w:t>
      </w:r>
      <w:r w:rsidRPr="00762252">
        <w:rPr>
          <w:szCs w:val="22"/>
        </w:rPr>
        <w:t>au</w:t>
      </w:r>
      <w:r w:rsidRPr="00762252">
        <w:rPr>
          <w:szCs w:val="22"/>
        </w:rPr>
        <w:t>s</w:t>
      </w:r>
      <w:r w:rsidRPr="00762252">
        <w:rPr>
          <w:szCs w:val="22"/>
        </w:rPr>
        <w:t>schließlich</w:t>
      </w:r>
      <w:r>
        <w:rPr>
          <w:szCs w:val="22"/>
        </w:rPr>
        <w:t xml:space="preserve"> ein Bluttest auf aktives delta-</w:t>
      </w:r>
      <w:r w:rsidRPr="00762252">
        <w:rPr>
          <w:szCs w:val="22"/>
        </w:rPr>
        <w:t xml:space="preserve">9-Tetrahydrocannabinol (THC) festgelegt, der von dafür autorisierten Laboren durchzuführen ist. </w:t>
      </w:r>
    </w:p>
    <w:p w14:paraId="6AC1650D" w14:textId="77777777" w:rsidR="00FD1963" w:rsidRDefault="00FD1963" w:rsidP="00FD1963">
      <w:pPr>
        <w:pStyle w:val="KeinLeerraum"/>
        <w:spacing w:line="276" w:lineRule="auto"/>
        <w:jc w:val="both"/>
        <w:rPr>
          <w:szCs w:val="22"/>
        </w:rPr>
      </w:pPr>
    </w:p>
    <w:p w14:paraId="184E9DEF" w14:textId="77777777" w:rsidR="00FD1963" w:rsidRDefault="00FD1963" w:rsidP="00FD1963">
      <w:pPr>
        <w:pStyle w:val="KeinLeerraum"/>
        <w:spacing w:line="276" w:lineRule="auto"/>
        <w:jc w:val="both"/>
        <w:rPr>
          <w:szCs w:val="22"/>
        </w:rPr>
      </w:pPr>
      <w:r w:rsidRPr="00FB6AFD">
        <w:rPr>
          <w:szCs w:val="22"/>
        </w:rPr>
        <w:t xml:space="preserve">Welche Erfahrungen werden mit diesen Regelungen gemacht? </w:t>
      </w:r>
    </w:p>
    <w:p w14:paraId="1B0D971E" w14:textId="447D6B25" w:rsidR="00FD1963" w:rsidRPr="004810C9" w:rsidRDefault="00FD1963" w:rsidP="00FD1963">
      <w:pPr>
        <w:pStyle w:val="KeinLeerraum"/>
        <w:numPr>
          <w:ilvl w:val="0"/>
          <w:numId w:val="29"/>
        </w:numPr>
        <w:spacing w:line="276" w:lineRule="auto"/>
        <w:jc w:val="both"/>
        <w:rPr>
          <w:rFonts w:cs="Calibri"/>
          <w:iCs/>
          <w:szCs w:val="22"/>
        </w:rPr>
      </w:pPr>
      <w:r>
        <w:rPr>
          <w:szCs w:val="22"/>
        </w:rPr>
        <w:t>Zunächst</w:t>
      </w:r>
      <w:r w:rsidRPr="00762252">
        <w:rPr>
          <w:szCs w:val="22"/>
        </w:rPr>
        <w:t xml:space="preserve"> kann der nicht überraschende Schluss gezogen werden, dass das Fahren unter</w:t>
      </w:r>
      <w:r>
        <w:rPr>
          <w:szCs w:val="22"/>
        </w:rPr>
        <w:t xml:space="preserve"> Einfluss aktiven THC-s in </w:t>
      </w:r>
      <w:r w:rsidRPr="00762252">
        <w:rPr>
          <w:szCs w:val="22"/>
        </w:rPr>
        <w:t xml:space="preserve">Washington </w:t>
      </w:r>
      <w:r>
        <w:rPr>
          <w:szCs w:val="22"/>
        </w:rPr>
        <w:t xml:space="preserve">und Colorado </w:t>
      </w:r>
      <w:r w:rsidRPr="00762252">
        <w:rPr>
          <w:szCs w:val="22"/>
        </w:rPr>
        <w:t xml:space="preserve">als soziales Phänomen eine Rolle spielt und </w:t>
      </w:r>
      <w:r>
        <w:rPr>
          <w:szCs w:val="22"/>
        </w:rPr>
        <w:t xml:space="preserve">sich mit steigenden Zahlen auch statistisch nachweisen lässt </w:t>
      </w:r>
      <w:r w:rsidRPr="00762252">
        <w:rPr>
          <w:szCs w:val="22"/>
        </w:rPr>
        <w:t>– allerdings lan</w:t>
      </w:r>
      <w:r w:rsidRPr="00762252">
        <w:rPr>
          <w:szCs w:val="22"/>
        </w:rPr>
        <w:t>g</w:t>
      </w:r>
      <w:r>
        <w:rPr>
          <w:szCs w:val="22"/>
        </w:rPr>
        <w:t xml:space="preserve">samer </w:t>
      </w:r>
      <w:r w:rsidRPr="00762252">
        <w:rPr>
          <w:szCs w:val="22"/>
        </w:rPr>
        <w:t>als befürchtet. Die Zusammenhänge zwische</w:t>
      </w:r>
      <w:r>
        <w:rPr>
          <w:szCs w:val="22"/>
        </w:rPr>
        <w:t>n Marihuana-K</w:t>
      </w:r>
      <w:r w:rsidRPr="00762252">
        <w:rPr>
          <w:szCs w:val="22"/>
        </w:rPr>
        <w:t xml:space="preserve">onsum und Involviert-Sein in einen Verkehrsunfall mit Todesfolge waren </w:t>
      </w:r>
      <w:r>
        <w:rPr>
          <w:szCs w:val="22"/>
        </w:rPr>
        <w:t xml:space="preserve">allerdings </w:t>
      </w:r>
      <w:r w:rsidRPr="00762252">
        <w:rPr>
          <w:szCs w:val="22"/>
        </w:rPr>
        <w:t>mit großer Wahrschei</w:t>
      </w:r>
      <w:r w:rsidRPr="00762252">
        <w:rPr>
          <w:szCs w:val="22"/>
        </w:rPr>
        <w:t>n</w:t>
      </w:r>
      <w:r w:rsidRPr="00762252">
        <w:rPr>
          <w:szCs w:val="22"/>
        </w:rPr>
        <w:t>lichkeit schon vor der Legalisierung vorhanden, wurden aber durch die zu dieser Zeit praktizierten Routinen bei Drogentestungen unterschätzt</w:t>
      </w:r>
      <w:r w:rsidR="00D94D2E">
        <w:rPr>
          <w:szCs w:val="22"/>
        </w:rPr>
        <w:t>.</w:t>
      </w:r>
    </w:p>
    <w:p w14:paraId="736B23B3" w14:textId="1A8447F4" w:rsidR="00FD1963" w:rsidRDefault="00FD1963" w:rsidP="00FD1963">
      <w:pPr>
        <w:pStyle w:val="KeinLeerraum"/>
        <w:numPr>
          <w:ilvl w:val="0"/>
          <w:numId w:val="29"/>
        </w:numPr>
        <w:spacing w:line="276" w:lineRule="auto"/>
        <w:jc w:val="both"/>
        <w:rPr>
          <w:rFonts w:cs="Calibri"/>
          <w:iCs/>
          <w:szCs w:val="22"/>
        </w:rPr>
      </w:pPr>
      <w:r>
        <w:rPr>
          <w:szCs w:val="22"/>
        </w:rPr>
        <w:t xml:space="preserve">Herauszustellen ist, </w:t>
      </w:r>
      <w:r w:rsidRPr="00FB6AFD">
        <w:rPr>
          <w:rFonts w:cs="Calibri"/>
          <w:iCs/>
          <w:szCs w:val="22"/>
        </w:rPr>
        <w:t>dass es in Folge der Regulierung nicht zu einem explosionsartigen Anstieg schwerer Verkehrsunfälle durch THC-beeinträchtigte Fahrer</w:t>
      </w:r>
      <w:r>
        <w:rPr>
          <w:rFonts w:cs="Calibri"/>
          <w:iCs/>
          <w:szCs w:val="22"/>
        </w:rPr>
        <w:t xml:space="preserve"> </w:t>
      </w:r>
      <w:r w:rsidRPr="00FB6AFD">
        <w:rPr>
          <w:rFonts w:cs="Calibri"/>
          <w:iCs/>
          <w:szCs w:val="22"/>
        </w:rPr>
        <w:t>gekommen ist. Die von verschiedenen Stellen vorlegten Daten</w:t>
      </w:r>
      <w:r>
        <w:rPr>
          <w:rFonts w:cs="Calibri"/>
          <w:iCs/>
          <w:szCs w:val="22"/>
        </w:rPr>
        <w:t xml:space="preserve"> zu </w:t>
      </w:r>
      <w:r w:rsidRPr="00FB6AFD">
        <w:rPr>
          <w:rFonts w:cs="Calibri"/>
          <w:iCs/>
          <w:szCs w:val="22"/>
        </w:rPr>
        <w:t xml:space="preserve">einem enormen Anstieg von DUI-Delikten durch </w:t>
      </w:r>
      <w:r>
        <w:rPr>
          <w:rFonts w:cs="Calibri"/>
          <w:iCs/>
          <w:szCs w:val="22"/>
        </w:rPr>
        <w:t>Marihuana-K</w:t>
      </w:r>
      <w:r w:rsidRPr="00FB6AFD">
        <w:rPr>
          <w:rFonts w:cs="Calibri"/>
          <w:iCs/>
          <w:szCs w:val="22"/>
        </w:rPr>
        <w:t xml:space="preserve">onsum lassen sich an Hand der publizierten Daten nicht bestätigen bzw. erwiesen sich nach Prüfung als nicht sachgerecht. </w:t>
      </w:r>
    </w:p>
    <w:p w14:paraId="70458701" w14:textId="2F923E90" w:rsidR="00FD1963" w:rsidRPr="00FB367B" w:rsidRDefault="00FD1963" w:rsidP="00FD1963">
      <w:pPr>
        <w:pStyle w:val="KeinLeerraum"/>
        <w:numPr>
          <w:ilvl w:val="0"/>
          <w:numId w:val="29"/>
        </w:numPr>
        <w:spacing w:line="276" w:lineRule="auto"/>
        <w:jc w:val="both"/>
        <w:rPr>
          <w:rFonts w:cs="Calibri"/>
          <w:iCs/>
          <w:szCs w:val="22"/>
        </w:rPr>
      </w:pPr>
      <w:r w:rsidRPr="001E2327">
        <w:t>Der leicht steigende Trend Cannabis-positiv getesteter Unfallbeteiligter muss aus ko</w:t>
      </w:r>
      <w:r w:rsidRPr="001E2327">
        <w:t>m</w:t>
      </w:r>
      <w:r w:rsidRPr="001E2327">
        <w:t>plexeren Zusammenhängen erklärt werden</w:t>
      </w:r>
      <w:r>
        <w:t>, zu denen nachweislich eine enorme Intens</w:t>
      </w:r>
      <w:r>
        <w:t>i</w:t>
      </w:r>
      <w:r>
        <w:t xml:space="preserve">vierung der Kontrollpraxis gehört. </w:t>
      </w:r>
      <w:r w:rsidRPr="00762252">
        <w:rPr>
          <w:rFonts w:cs="Calibri"/>
          <w:iCs/>
          <w:szCs w:val="22"/>
        </w:rPr>
        <w:t xml:space="preserve">Dies betrifft nicht nur die Zahl der Polizisten, die mit einer </w:t>
      </w:r>
      <w:r>
        <w:rPr>
          <w:rFonts w:cs="Calibri"/>
          <w:iCs/>
          <w:szCs w:val="22"/>
        </w:rPr>
        <w:t xml:space="preserve">neuen </w:t>
      </w:r>
      <w:r w:rsidRPr="00762252">
        <w:rPr>
          <w:rFonts w:cs="Calibri"/>
          <w:iCs/>
          <w:szCs w:val="22"/>
        </w:rPr>
        <w:t>Grund- und Spezialausbildung zum Auffinden</w:t>
      </w:r>
      <w:r>
        <w:rPr>
          <w:rFonts w:cs="Calibri"/>
          <w:iCs/>
          <w:szCs w:val="22"/>
        </w:rPr>
        <w:t xml:space="preserve"> drogenbeeinträchtigter Fah</w:t>
      </w:r>
      <w:r>
        <w:rPr>
          <w:rFonts w:cs="Calibri"/>
          <w:iCs/>
          <w:szCs w:val="22"/>
        </w:rPr>
        <w:t>r</w:t>
      </w:r>
      <w:r>
        <w:rPr>
          <w:rFonts w:cs="Calibri"/>
          <w:iCs/>
          <w:szCs w:val="22"/>
        </w:rPr>
        <w:t xml:space="preserve">ten </w:t>
      </w:r>
      <w:r w:rsidRPr="00762252">
        <w:rPr>
          <w:rFonts w:cs="Calibri"/>
          <w:iCs/>
          <w:szCs w:val="22"/>
        </w:rPr>
        <w:t>auf der Straße patrouillieren, sondern auch deren technische Ausstattung mit Ger</w:t>
      </w:r>
      <w:r w:rsidRPr="00762252">
        <w:rPr>
          <w:rFonts w:cs="Calibri"/>
          <w:iCs/>
          <w:szCs w:val="22"/>
        </w:rPr>
        <w:t>ä</w:t>
      </w:r>
      <w:r w:rsidRPr="00762252">
        <w:rPr>
          <w:rFonts w:cs="Calibri"/>
          <w:iCs/>
          <w:szCs w:val="22"/>
        </w:rPr>
        <w:t>ten, die nunmehr einen Schnelltest auf Marihuana im Rahmen allgemeiner Verkehrsko</w:t>
      </w:r>
      <w:r w:rsidRPr="00762252">
        <w:rPr>
          <w:rFonts w:cs="Calibri"/>
          <w:iCs/>
          <w:szCs w:val="22"/>
        </w:rPr>
        <w:t>n</w:t>
      </w:r>
      <w:r w:rsidRPr="00762252">
        <w:rPr>
          <w:rFonts w:cs="Calibri"/>
          <w:iCs/>
          <w:szCs w:val="22"/>
        </w:rPr>
        <w:t xml:space="preserve">trollen ermöglichen. </w:t>
      </w:r>
      <w:r>
        <w:t xml:space="preserve">Deshalb kommen </w:t>
      </w:r>
      <w:r w:rsidRPr="003B28A2">
        <w:rPr>
          <w:szCs w:val="22"/>
        </w:rPr>
        <w:t xml:space="preserve">eingehende </w:t>
      </w:r>
      <w:r>
        <w:rPr>
          <w:szCs w:val="22"/>
        </w:rPr>
        <w:t>Analysen</w:t>
      </w:r>
      <w:r w:rsidRPr="003B28A2">
        <w:rPr>
          <w:szCs w:val="22"/>
        </w:rPr>
        <w:t xml:space="preserve"> regelmäßig zu dem Schluss, dass nicht geklärt werden kann, ob der Anstieg </w:t>
      </w:r>
      <w:r>
        <w:rPr>
          <w:szCs w:val="22"/>
        </w:rPr>
        <w:t>tödlicher</w:t>
      </w:r>
      <w:r w:rsidRPr="003B28A2">
        <w:rPr>
          <w:szCs w:val="22"/>
        </w:rPr>
        <w:t xml:space="preserve"> Unfälle, bei denen die Fahrer</w:t>
      </w:r>
      <w:r>
        <w:rPr>
          <w:szCs w:val="22"/>
        </w:rPr>
        <w:t xml:space="preserve"> </w:t>
      </w:r>
      <w:r w:rsidRPr="003B28A2">
        <w:rPr>
          <w:szCs w:val="22"/>
        </w:rPr>
        <w:t>im Nachhinein positiv auf THC getestet wurde</w:t>
      </w:r>
      <w:r>
        <w:rPr>
          <w:szCs w:val="22"/>
        </w:rPr>
        <w:t>n</w:t>
      </w:r>
      <w:r w:rsidRPr="003B28A2">
        <w:rPr>
          <w:szCs w:val="22"/>
        </w:rPr>
        <w:t>, tatsächliche als zeitversetzte Folge der R</w:t>
      </w:r>
      <w:r w:rsidRPr="003B28A2">
        <w:rPr>
          <w:szCs w:val="22"/>
        </w:rPr>
        <w:t>e</w:t>
      </w:r>
      <w:r w:rsidRPr="003B28A2">
        <w:rPr>
          <w:szCs w:val="22"/>
        </w:rPr>
        <w:t>gulierung zu verstehen ist oder ganz andere Erklärung</w:t>
      </w:r>
      <w:r>
        <w:rPr>
          <w:szCs w:val="22"/>
        </w:rPr>
        <w:t>en</w:t>
      </w:r>
      <w:r w:rsidRPr="003B28A2">
        <w:rPr>
          <w:szCs w:val="22"/>
        </w:rPr>
        <w:t xml:space="preserve"> in Betracht kommen. </w:t>
      </w:r>
      <w:r w:rsidRPr="00762252">
        <w:rPr>
          <w:rFonts w:cs="Calibri"/>
          <w:iCs/>
          <w:szCs w:val="22"/>
        </w:rPr>
        <w:t>Die j</w:t>
      </w:r>
      <w:r w:rsidRPr="00762252">
        <w:rPr>
          <w:rFonts w:cs="Calibri"/>
          <w:iCs/>
          <w:szCs w:val="22"/>
        </w:rPr>
        <w:t>e</w:t>
      </w:r>
      <w:r w:rsidRPr="00762252">
        <w:rPr>
          <w:rFonts w:cs="Calibri"/>
          <w:iCs/>
          <w:szCs w:val="22"/>
        </w:rPr>
        <w:t xml:space="preserve">weils referierten, allerdings </w:t>
      </w:r>
      <w:r>
        <w:rPr>
          <w:rFonts w:cs="Calibri"/>
          <w:iCs/>
          <w:szCs w:val="22"/>
        </w:rPr>
        <w:t>sanften Anstiege in den R</w:t>
      </w:r>
      <w:r w:rsidRPr="00762252">
        <w:rPr>
          <w:rFonts w:cs="Calibri"/>
          <w:iCs/>
          <w:szCs w:val="22"/>
        </w:rPr>
        <w:t>oad-site-ermittelten positiven M</w:t>
      </w:r>
      <w:r w:rsidRPr="00762252">
        <w:rPr>
          <w:rFonts w:cs="Calibri"/>
          <w:iCs/>
          <w:szCs w:val="22"/>
        </w:rPr>
        <w:t>a</w:t>
      </w:r>
      <w:r w:rsidRPr="00762252">
        <w:rPr>
          <w:rFonts w:cs="Calibri"/>
          <w:iCs/>
          <w:szCs w:val="22"/>
        </w:rPr>
        <w:t xml:space="preserve">rihuana-Tests </w:t>
      </w:r>
      <w:r>
        <w:rPr>
          <w:rFonts w:cs="Calibri"/>
          <w:iCs/>
          <w:szCs w:val="22"/>
        </w:rPr>
        <w:t>unterschiedlicher</w:t>
      </w:r>
      <w:r w:rsidRPr="00762252">
        <w:rPr>
          <w:rFonts w:cs="Calibri"/>
          <w:iCs/>
          <w:szCs w:val="22"/>
        </w:rPr>
        <w:t xml:space="preserve"> Verkehrsteilnehmer</w:t>
      </w:r>
      <w:r>
        <w:rPr>
          <w:rFonts w:cs="Calibri"/>
          <w:iCs/>
          <w:szCs w:val="22"/>
        </w:rPr>
        <w:t xml:space="preserve"> </w:t>
      </w:r>
      <w:r w:rsidRPr="00762252">
        <w:rPr>
          <w:rFonts w:cs="Calibri"/>
          <w:iCs/>
          <w:szCs w:val="22"/>
        </w:rPr>
        <w:t>vermitteln</w:t>
      </w:r>
      <w:r>
        <w:rPr>
          <w:rFonts w:cs="Calibri"/>
          <w:iCs/>
          <w:szCs w:val="22"/>
        </w:rPr>
        <w:t xml:space="preserve"> zumindest den Ei</w:t>
      </w:r>
      <w:r>
        <w:rPr>
          <w:rFonts w:cs="Calibri"/>
          <w:iCs/>
          <w:szCs w:val="22"/>
        </w:rPr>
        <w:t>n</w:t>
      </w:r>
      <w:r>
        <w:rPr>
          <w:rFonts w:cs="Calibri"/>
          <w:iCs/>
          <w:szCs w:val="22"/>
        </w:rPr>
        <w:t>druck</w:t>
      </w:r>
      <w:r w:rsidRPr="00762252">
        <w:rPr>
          <w:rFonts w:cs="Calibri"/>
          <w:iCs/>
          <w:szCs w:val="22"/>
        </w:rPr>
        <w:t xml:space="preserve">, dass </w:t>
      </w:r>
      <w:r>
        <w:rPr>
          <w:rFonts w:cs="Calibri"/>
          <w:iCs/>
          <w:szCs w:val="22"/>
        </w:rPr>
        <w:t xml:space="preserve">sich </w:t>
      </w:r>
      <w:r w:rsidRPr="00762252">
        <w:rPr>
          <w:rFonts w:cs="Calibri"/>
          <w:iCs/>
          <w:szCs w:val="22"/>
        </w:rPr>
        <w:t xml:space="preserve">das Fahren unter Marihuana </w:t>
      </w:r>
      <w:r>
        <w:rPr>
          <w:rFonts w:cs="Calibri"/>
          <w:iCs/>
          <w:szCs w:val="22"/>
        </w:rPr>
        <w:t xml:space="preserve">auch </w:t>
      </w:r>
      <w:r w:rsidRPr="00762252">
        <w:rPr>
          <w:rFonts w:cs="Calibri"/>
          <w:iCs/>
          <w:szCs w:val="22"/>
        </w:rPr>
        <w:t xml:space="preserve">nach der </w:t>
      </w:r>
      <w:r>
        <w:rPr>
          <w:rFonts w:cs="Calibri"/>
          <w:iCs/>
          <w:szCs w:val="22"/>
        </w:rPr>
        <w:t>Regulierung</w:t>
      </w:r>
      <w:r w:rsidRPr="00762252">
        <w:rPr>
          <w:rFonts w:cs="Calibri"/>
          <w:iCs/>
          <w:szCs w:val="22"/>
        </w:rPr>
        <w:t xml:space="preserve"> </w:t>
      </w:r>
      <w:r>
        <w:rPr>
          <w:rFonts w:cs="Calibri"/>
          <w:iCs/>
          <w:szCs w:val="22"/>
        </w:rPr>
        <w:t>nicht als sozial bedeutsames Phänomen entwickelt hat</w:t>
      </w:r>
      <w:r w:rsidRPr="00762252">
        <w:rPr>
          <w:rFonts w:cs="Calibri"/>
          <w:iCs/>
          <w:szCs w:val="22"/>
        </w:rPr>
        <w:t>.</w:t>
      </w:r>
      <w:r>
        <w:rPr>
          <w:rFonts w:cs="Calibri"/>
          <w:iCs/>
          <w:szCs w:val="22"/>
        </w:rPr>
        <w:t xml:space="preserve"> Es bleibt abzuwarten, ob dies als Trend weiter  Bestand haben wird.</w:t>
      </w:r>
      <w:r w:rsidRPr="00762252">
        <w:rPr>
          <w:rFonts w:cs="Calibri"/>
          <w:iCs/>
          <w:szCs w:val="22"/>
        </w:rPr>
        <w:t xml:space="preserve"> </w:t>
      </w:r>
    </w:p>
    <w:p w14:paraId="365930AB" w14:textId="33688F21" w:rsidR="00FD1963" w:rsidRPr="003B28A2" w:rsidRDefault="00FD1963" w:rsidP="00FD1963">
      <w:pPr>
        <w:pStyle w:val="KeinLeerraum"/>
        <w:numPr>
          <w:ilvl w:val="0"/>
          <w:numId w:val="27"/>
        </w:numPr>
        <w:spacing w:line="276" w:lineRule="auto"/>
        <w:jc w:val="both"/>
        <w:rPr>
          <w:szCs w:val="22"/>
        </w:rPr>
      </w:pPr>
      <w:r w:rsidRPr="00762252">
        <w:rPr>
          <w:szCs w:val="22"/>
        </w:rPr>
        <w:t xml:space="preserve">Die vorliegenden Daten lassen sich zudem </w:t>
      </w:r>
      <w:r>
        <w:rPr>
          <w:szCs w:val="22"/>
        </w:rPr>
        <w:t>den Schluss zu</w:t>
      </w:r>
      <w:r w:rsidRPr="00762252">
        <w:rPr>
          <w:szCs w:val="22"/>
        </w:rPr>
        <w:t>, dass die negativen Auswi</w:t>
      </w:r>
      <w:r w:rsidRPr="00762252">
        <w:rPr>
          <w:szCs w:val="22"/>
        </w:rPr>
        <w:t>r</w:t>
      </w:r>
      <w:r w:rsidRPr="00762252">
        <w:rPr>
          <w:szCs w:val="22"/>
        </w:rPr>
        <w:t xml:space="preserve">kungen des Fahrens unter Marihuana nicht </w:t>
      </w:r>
      <w:r>
        <w:rPr>
          <w:szCs w:val="22"/>
        </w:rPr>
        <w:t>durch</w:t>
      </w:r>
      <w:r w:rsidRPr="00762252">
        <w:rPr>
          <w:szCs w:val="22"/>
        </w:rPr>
        <w:t xml:space="preserve"> die Verkehrsteilnehmer</w:t>
      </w:r>
      <w:r>
        <w:rPr>
          <w:szCs w:val="22"/>
        </w:rPr>
        <w:t xml:space="preserve"> </w:t>
      </w:r>
      <w:r w:rsidRPr="00762252">
        <w:rPr>
          <w:szCs w:val="22"/>
        </w:rPr>
        <w:t xml:space="preserve">insgesamt </w:t>
      </w:r>
      <w:r>
        <w:rPr>
          <w:szCs w:val="22"/>
        </w:rPr>
        <w:t>verursacht werden, sondern eher durch eine kleine</w:t>
      </w:r>
      <w:r w:rsidRPr="00762252">
        <w:rPr>
          <w:szCs w:val="22"/>
        </w:rPr>
        <w:t xml:space="preserve">, relativ gut benennbare Gruppe: </w:t>
      </w:r>
      <w:r>
        <w:rPr>
          <w:szCs w:val="22"/>
        </w:rPr>
        <w:t>E</w:t>
      </w:r>
      <w:r w:rsidRPr="00762252">
        <w:rPr>
          <w:szCs w:val="22"/>
        </w:rPr>
        <w:t>r</w:t>
      </w:r>
      <w:r w:rsidRPr="00762252">
        <w:rPr>
          <w:szCs w:val="22"/>
        </w:rPr>
        <w:t>wachsene Männer zwischen dem 26</w:t>
      </w:r>
      <w:r>
        <w:rPr>
          <w:szCs w:val="22"/>
        </w:rPr>
        <w:t>.</w:t>
      </w:r>
      <w:r w:rsidRPr="00762252">
        <w:rPr>
          <w:szCs w:val="22"/>
        </w:rPr>
        <w:t>-55</w:t>
      </w:r>
      <w:r>
        <w:rPr>
          <w:szCs w:val="22"/>
        </w:rPr>
        <w:t>.</w:t>
      </w:r>
      <w:r w:rsidRPr="00762252">
        <w:rPr>
          <w:szCs w:val="22"/>
        </w:rPr>
        <w:t xml:space="preserve"> Lebensjahr, die eher aus ländlichen Regionen kommen, vor allem am Wochenende mit ihrem Auto unterwegs sind, dabei größere Mengen Alkohol und </w:t>
      </w:r>
      <w:r>
        <w:rPr>
          <w:szCs w:val="22"/>
        </w:rPr>
        <w:t xml:space="preserve">oft </w:t>
      </w:r>
      <w:r w:rsidRPr="00762252">
        <w:rPr>
          <w:szCs w:val="22"/>
        </w:rPr>
        <w:t>zusätzlich dazu andere Drogen, darunter auch Marihuana, ko</w:t>
      </w:r>
      <w:r w:rsidRPr="00762252">
        <w:rPr>
          <w:szCs w:val="22"/>
        </w:rPr>
        <w:t>n</w:t>
      </w:r>
      <w:r w:rsidRPr="00762252">
        <w:rPr>
          <w:szCs w:val="22"/>
        </w:rPr>
        <w:t>sumieren und mehrheitlich in der Z</w:t>
      </w:r>
      <w:r>
        <w:rPr>
          <w:szCs w:val="22"/>
        </w:rPr>
        <w:t xml:space="preserve">eit zwischen 18.00 </w:t>
      </w:r>
      <w:r w:rsidR="00D94D2E">
        <w:rPr>
          <w:szCs w:val="22"/>
        </w:rPr>
        <w:t xml:space="preserve">und 5.00 Uhr verunglücken. </w:t>
      </w:r>
      <w:r w:rsidRPr="00762252">
        <w:rPr>
          <w:rFonts w:cs="Times New Roman"/>
          <w:szCs w:val="22"/>
        </w:rPr>
        <w:t>Diese Gruppe mit ihren sogenannten „Disko</w:t>
      </w:r>
      <w:r>
        <w:rPr>
          <w:rFonts w:cs="Times New Roman"/>
          <w:szCs w:val="22"/>
        </w:rPr>
        <w:t>-U</w:t>
      </w:r>
      <w:r w:rsidRPr="00762252">
        <w:rPr>
          <w:rFonts w:cs="Times New Roman"/>
          <w:szCs w:val="22"/>
        </w:rPr>
        <w:t xml:space="preserve">nfällen“ ist auch in </w:t>
      </w:r>
      <w:r>
        <w:rPr>
          <w:rFonts w:cs="Times New Roman"/>
          <w:szCs w:val="22"/>
        </w:rPr>
        <w:t>Deutschland</w:t>
      </w:r>
      <w:r w:rsidRPr="00762252">
        <w:rPr>
          <w:rFonts w:cs="Times New Roman"/>
          <w:szCs w:val="22"/>
        </w:rPr>
        <w:t xml:space="preserve"> als Hochrisik</w:t>
      </w:r>
      <w:r w:rsidRPr="00762252">
        <w:rPr>
          <w:rFonts w:cs="Times New Roman"/>
          <w:szCs w:val="22"/>
        </w:rPr>
        <w:t>o</w:t>
      </w:r>
      <w:r w:rsidRPr="00762252">
        <w:rPr>
          <w:rFonts w:cs="Times New Roman"/>
          <w:szCs w:val="22"/>
        </w:rPr>
        <w:t>gruppe bekannt.</w:t>
      </w:r>
    </w:p>
    <w:p w14:paraId="16ACDAFA" w14:textId="5A3B2C5D" w:rsidR="00FD1963" w:rsidRPr="00A23F4B" w:rsidRDefault="00FD1963" w:rsidP="00FD1963">
      <w:pPr>
        <w:pStyle w:val="Listenabsatz"/>
        <w:widowControl w:val="0"/>
        <w:numPr>
          <w:ilvl w:val="0"/>
          <w:numId w:val="6"/>
        </w:numPr>
        <w:autoSpaceDE w:val="0"/>
        <w:autoSpaceDN w:val="0"/>
        <w:adjustRightInd w:val="0"/>
        <w:spacing w:line="276" w:lineRule="auto"/>
        <w:jc w:val="both"/>
      </w:pPr>
      <w:r w:rsidRPr="00963749">
        <w:rPr>
          <w:szCs w:val="22"/>
        </w:rPr>
        <w:t xml:space="preserve">In den Daten des </w:t>
      </w:r>
      <w:r w:rsidRPr="00963749">
        <w:rPr>
          <w:rFonts w:cs="Georgia"/>
          <w:szCs w:val="22"/>
        </w:rPr>
        <w:t xml:space="preserve">Washington State Patrol Toxicology Lab wird für </w:t>
      </w:r>
      <w:r w:rsidRPr="00963749">
        <w:rPr>
          <w:szCs w:val="22"/>
        </w:rPr>
        <w:t>2015 (von Januar bis April) ausgewiesen, dass in 44 % aller DUI</w:t>
      </w:r>
      <w:r>
        <w:rPr>
          <w:szCs w:val="22"/>
        </w:rPr>
        <w:t>M</w:t>
      </w:r>
      <w:r w:rsidRPr="00963749">
        <w:rPr>
          <w:szCs w:val="22"/>
        </w:rPr>
        <w:t>-Fälle (driving under the influence of Mar</w:t>
      </w:r>
      <w:r w:rsidRPr="00963749">
        <w:rPr>
          <w:szCs w:val="22"/>
        </w:rPr>
        <w:t>i</w:t>
      </w:r>
      <w:r w:rsidRPr="00963749">
        <w:rPr>
          <w:szCs w:val="22"/>
        </w:rPr>
        <w:t xml:space="preserve">huana) </w:t>
      </w:r>
      <w:r w:rsidRPr="00963749">
        <w:rPr>
          <w:rFonts w:cs="Georgia"/>
          <w:szCs w:val="22"/>
        </w:rPr>
        <w:t>mehr als die legal zulässig Menge von fünf Nanogramm aktiven THCs per Millil</w:t>
      </w:r>
      <w:r w:rsidRPr="00963749">
        <w:rPr>
          <w:rFonts w:cs="Georgia"/>
          <w:szCs w:val="22"/>
        </w:rPr>
        <w:t>i</w:t>
      </w:r>
      <w:r w:rsidRPr="00963749">
        <w:rPr>
          <w:rFonts w:cs="Georgia"/>
          <w:szCs w:val="22"/>
        </w:rPr>
        <w:t>ter Blut nachgewiesen wurde</w:t>
      </w:r>
      <w:r w:rsidRPr="00963749">
        <w:rPr>
          <w:rFonts w:cs="Calibri"/>
          <w:szCs w:val="22"/>
        </w:rPr>
        <w:t xml:space="preserve">. </w:t>
      </w:r>
      <w:r w:rsidRPr="00A23F4B">
        <w:t>Interessanterweise zeigen die Daten</w:t>
      </w:r>
      <w:r>
        <w:t xml:space="preserve"> aber auch</w:t>
      </w:r>
      <w:r w:rsidRPr="00A23F4B">
        <w:t>, dass sich nach</w:t>
      </w:r>
      <w:r w:rsidRPr="00963749">
        <w:rPr>
          <w:rFonts w:cs="Times"/>
        </w:rPr>
        <w:t xml:space="preserve"> </w:t>
      </w:r>
      <w:r w:rsidRPr="00A23F4B">
        <w:t>Einführung verkehrsrechtlich vorgeschriebener Limits im Jahr 2013 die Zahl derj</w:t>
      </w:r>
      <w:r w:rsidRPr="00A23F4B">
        <w:t>e</w:t>
      </w:r>
      <w:r w:rsidRPr="00A23F4B">
        <w:t>nigen, die in einen schweren Verkehrsunfall mit mehr als der zugelassenen Menge THC involviert waren, kontinuierlich gesunken ist</w:t>
      </w:r>
      <w:r w:rsidRPr="00963749">
        <w:rPr>
          <w:rFonts w:cs="Times New Roman"/>
        </w:rPr>
        <w:t>.</w:t>
      </w:r>
      <w:r w:rsidRPr="00A23F4B">
        <w:t xml:space="preserve"> Dies spricht dafür, dass diese Vorgaben für die Verkehrsteilnehmer</w:t>
      </w:r>
      <w:r>
        <w:t xml:space="preserve"> </w:t>
      </w:r>
      <w:r w:rsidRPr="00A23F4B">
        <w:t xml:space="preserve">durchaus geeignet waren, Entscheidungen zur Teilnahme am Straßenverkehr </w:t>
      </w:r>
      <w:r>
        <w:t xml:space="preserve">nach Konsum </w:t>
      </w:r>
      <w:r w:rsidRPr="00A23F4B">
        <w:t xml:space="preserve">nicht </w:t>
      </w:r>
      <w:r>
        <w:t xml:space="preserve">anhand persönlicher Befindlichkeitsurteile </w:t>
      </w:r>
      <w:r w:rsidRPr="00A23F4B">
        <w:t>zu tre</w:t>
      </w:r>
      <w:r w:rsidRPr="00A23F4B">
        <w:t>f</w:t>
      </w:r>
      <w:r w:rsidRPr="00A23F4B">
        <w:t>fe</w:t>
      </w:r>
      <w:r>
        <w:t xml:space="preserve">n, sondern sich zunehmend mehr an gesetzlich </w:t>
      </w:r>
      <w:r w:rsidRPr="00A23F4B">
        <w:t>vorgegebenen Normen</w:t>
      </w:r>
      <w:r>
        <w:t xml:space="preserve"> </w:t>
      </w:r>
      <w:r w:rsidRPr="00A23F4B">
        <w:t xml:space="preserve">zu orientieren. </w:t>
      </w:r>
    </w:p>
    <w:p w14:paraId="00596DE9" w14:textId="5D8975B2" w:rsidR="00FD1963" w:rsidRDefault="00FD1963" w:rsidP="00FD1963">
      <w:pPr>
        <w:pStyle w:val="Beschriftung"/>
        <w:numPr>
          <w:ilvl w:val="0"/>
          <w:numId w:val="6"/>
        </w:numPr>
        <w:spacing w:line="276" w:lineRule="auto"/>
        <w:jc w:val="both"/>
        <w:rPr>
          <w:rFonts w:cs="Times New Roman"/>
          <w:b w:val="0"/>
          <w:sz w:val="22"/>
          <w:szCs w:val="22"/>
        </w:rPr>
      </w:pPr>
      <w:r w:rsidRPr="0076436C">
        <w:rPr>
          <w:b w:val="0"/>
          <w:sz w:val="22"/>
          <w:szCs w:val="22"/>
        </w:rPr>
        <w:t>Bezogen auf die Befürchtung, dass insbesondere Fahranfänger</w:t>
      </w:r>
      <w:r>
        <w:rPr>
          <w:b w:val="0"/>
          <w:sz w:val="22"/>
          <w:szCs w:val="22"/>
        </w:rPr>
        <w:t xml:space="preserve"> </w:t>
      </w:r>
      <w:r w:rsidRPr="0076436C">
        <w:rPr>
          <w:b w:val="0"/>
          <w:sz w:val="22"/>
          <w:szCs w:val="22"/>
        </w:rPr>
        <w:t>und sehr junge Fahrer</w:t>
      </w:r>
      <w:r>
        <w:rPr>
          <w:b w:val="0"/>
          <w:sz w:val="22"/>
          <w:szCs w:val="22"/>
        </w:rPr>
        <w:t xml:space="preserve"> </w:t>
      </w:r>
      <w:r w:rsidRPr="0076436C">
        <w:rPr>
          <w:b w:val="0"/>
          <w:sz w:val="22"/>
          <w:szCs w:val="22"/>
        </w:rPr>
        <w:t xml:space="preserve">die gebotenen Vorsichtsmaßnahmen für eine Teilnahme am Straßenverkehr in Verbindung mit </w:t>
      </w:r>
      <w:r>
        <w:rPr>
          <w:b w:val="0"/>
          <w:sz w:val="22"/>
          <w:szCs w:val="22"/>
        </w:rPr>
        <w:t>Marihuana-Konsum nicht respektieren</w:t>
      </w:r>
      <w:r w:rsidRPr="0076436C">
        <w:rPr>
          <w:b w:val="0"/>
          <w:sz w:val="22"/>
          <w:szCs w:val="22"/>
        </w:rPr>
        <w:t xml:space="preserve">, stellt sich in den vorliegenden Daten dar, dass </w:t>
      </w:r>
      <w:r>
        <w:rPr>
          <w:b w:val="0"/>
          <w:sz w:val="22"/>
          <w:szCs w:val="22"/>
        </w:rPr>
        <w:t xml:space="preserve">auch in den USA </w:t>
      </w:r>
      <w:r w:rsidRPr="0076436C">
        <w:rPr>
          <w:b w:val="0"/>
          <w:sz w:val="22"/>
          <w:szCs w:val="22"/>
        </w:rPr>
        <w:t>Fahrer</w:t>
      </w:r>
      <w:r>
        <w:rPr>
          <w:b w:val="0"/>
          <w:sz w:val="22"/>
          <w:szCs w:val="22"/>
        </w:rPr>
        <w:t xml:space="preserve"> </w:t>
      </w:r>
      <w:r w:rsidRPr="0076436C">
        <w:rPr>
          <w:b w:val="0"/>
          <w:sz w:val="22"/>
          <w:szCs w:val="22"/>
        </w:rPr>
        <w:t xml:space="preserve">zwischen </w:t>
      </w:r>
      <w:r w:rsidRPr="0076436C">
        <w:rPr>
          <w:rFonts w:cs="Times New Roman"/>
          <w:b w:val="0"/>
          <w:sz w:val="22"/>
          <w:szCs w:val="22"/>
        </w:rPr>
        <w:t>16-25 Jahren</w:t>
      </w:r>
      <w:r>
        <w:rPr>
          <w:rFonts w:cs="Times New Roman"/>
          <w:b w:val="0"/>
          <w:sz w:val="22"/>
          <w:szCs w:val="22"/>
        </w:rPr>
        <w:t>,</w:t>
      </w:r>
      <w:r w:rsidRPr="0076436C">
        <w:rPr>
          <w:rFonts w:cs="Times New Roman"/>
          <w:b w:val="0"/>
          <w:sz w:val="22"/>
          <w:szCs w:val="22"/>
        </w:rPr>
        <w:t xml:space="preserve"> wie in Deutschland</w:t>
      </w:r>
      <w:r>
        <w:rPr>
          <w:rFonts w:cs="Trebuchet MS"/>
          <w:b w:val="0"/>
          <w:sz w:val="22"/>
          <w:szCs w:val="22"/>
        </w:rPr>
        <w:t>,</w:t>
      </w:r>
      <w:r w:rsidRPr="0076436C">
        <w:rPr>
          <w:rFonts w:cs="Trebuchet MS"/>
          <w:b w:val="0"/>
          <w:sz w:val="22"/>
          <w:szCs w:val="22"/>
        </w:rPr>
        <w:t xml:space="preserve"> </w:t>
      </w:r>
      <w:r w:rsidRPr="0076436C">
        <w:rPr>
          <w:rFonts w:cs="Times New Roman"/>
          <w:b w:val="0"/>
          <w:sz w:val="22"/>
          <w:szCs w:val="22"/>
        </w:rPr>
        <w:t>zu der Gruppe</w:t>
      </w:r>
      <w:r>
        <w:rPr>
          <w:b w:val="0"/>
          <w:sz w:val="22"/>
          <w:szCs w:val="22"/>
        </w:rPr>
        <w:t xml:space="preserve"> gehör</w:t>
      </w:r>
      <w:r w:rsidRPr="0076436C">
        <w:rPr>
          <w:b w:val="0"/>
          <w:sz w:val="22"/>
          <w:szCs w:val="22"/>
        </w:rPr>
        <w:t>en</w:t>
      </w:r>
      <w:r w:rsidRPr="0076436C">
        <w:rPr>
          <w:rFonts w:cs="Times New Roman"/>
          <w:b w:val="0"/>
          <w:sz w:val="22"/>
          <w:szCs w:val="22"/>
        </w:rPr>
        <w:t xml:space="preserve">, die generell mehr als andere in Verkehrsunfälle mit Todesfolge involviert </w:t>
      </w:r>
      <w:r>
        <w:rPr>
          <w:rFonts w:cs="Times New Roman"/>
          <w:b w:val="0"/>
          <w:sz w:val="22"/>
          <w:szCs w:val="22"/>
        </w:rPr>
        <w:t>sind</w:t>
      </w:r>
      <w:r w:rsidRPr="0076436C">
        <w:rPr>
          <w:rFonts w:cs="Times New Roman"/>
          <w:b w:val="0"/>
          <w:sz w:val="22"/>
          <w:szCs w:val="22"/>
        </w:rPr>
        <w:t>. Diese Altersgruppe wird in Zusammenhang mit den Ermittlungen zu einem schweren Verkehrsunfall mit 68,8 % auch mehr als andere auf Alkohol und andere Drogen gete</w:t>
      </w:r>
      <w:r w:rsidRPr="0076436C">
        <w:rPr>
          <w:rFonts w:cs="Times New Roman"/>
          <w:b w:val="0"/>
          <w:sz w:val="22"/>
          <w:szCs w:val="22"/>
        </w:rPr>
        <w:t>s</w:t>
      </w:r>
      <w:r w:rsidRPr="0076436C">
        <w:rPr>
          <w:rFonts w:cs="Times New Roman"/>
          <w:b w:val="0"/>
          <w:sz w:val="22"/>
          <w:szCs w:val="22"/>
        </w:rPr>
        <w:t xml:space="preserve">tet. </w:t>
      </w:r>
      <w:r>
        <w:rPr>
          <w:rFonts w:cs="Times New Roman"/>
          <w:b w:val="0"/>
          <w:sz w:val="22"/>
          <w:szCs w:val="22"/>
        </w:rPr>
        <w:t>Trotz dieser intensiven Kontrollpraxis unter den Jüngeren sind</w:t>
      </w:r>
      <w:r w:rsidRPr="0076436C">
        <w:rPr>
          <w:rFonts w:cs="Times New Roman"/>
          <w:b w:val="0"/>
          <w:sz w:val="22"/>
          <w:szCs w:val="22"/>
        </w:rPr>
        <w:t xml:space="preserve"> </w:t>
      </w:r>
      <w:r>
        <w:rPr>
          <w:rFonts w:cs="Times New Roman"/>
          <w:b w:val="0"/>
          <w:sz w:val="22"/>
          <w:szCs w:val="22"/>
        </w:rPr>
        <w:t>es aber die 26-35-</w:t>
      </w:r>
      <w:r w:rsidRPr="0076436C">
        <w:rPr>
          <w:rFonts w:cs="Times New Roman"/>
          <w:b w:val="0"/>
          <w:sz w:val="22"/>
          <w:szCs w:val="22"/>
        </w:rPr>
        <w:t xml:space="preserve">Jährigen, für die mit 78 % am </w:t>
      </w:r>
      <w:r>
        <w:rPr>
          <w:rFonts w:cs="Times New Roman"/>
          <w:b w:val="0"/>
          <w:sz w:val="22"/>
          <w:szCs w:val="22"/>
        </w:rPr>
        <w:t>häufigsten</w:t>
      </w:r>
      <w:r w:rsidRPr="0076436C">
        <w:rPr>
          <w:rFonts w:cs="Times New Roman"/>
          <w:b w:val="0"/>
          <w:sz w:val="22"/>
          <w:szCs w:val="22"/>
        </w:rPr>
        <w:t xml:space="preserve"> ein positiver Test auf Alkohol und andere Dr</w:t>
      </w:r>
      <w:r w:rsidRPr="0076436C">
        <w:rPr>
          <w:rFonts w:cs="Times New Roman"/>
          <w:b w:val="0"/>
          <w:sz w:val="22"/>
          <w:szCs w:val="22"/>
        </w:rPr>
        <w:t>o</w:t>
      </w:r>
      <w:r w:rsidRPr="0076436C">
        <w:rPr>
          <w:rFonts w:cs="Times New Roman"/>
          <w:b w:val="0"/>
          <w:sz w:val="22"/>
          <w:szCs w:val="22"/>
        </w:rPr>
        <w:t xml:space="preserve">gen ausgewiesen </w:t>
      </w:r>
      <w:r>
        <w:rPr>
          <w:rFonts w:cs="Times New Roman"/>
          <w:b w:val="0"/>
          <w:sz w:val="22"/>
          <w:szCs w:val="22"/>
        </w:rPr>
        <w:t>wird</w:t>
      </w:r>
      <w:r w:rsidRPr="0076436C">
        <w:rPr>
          <w:rFonts w:cs="Times New Roman"/>
          <w:b w:val="0"/>
          <w:sz w:val="22"/>
          <w:szCs w:val="22"/>
        </w:rPr>
        <w:t xml:space="preserve">. </w:t>
      </w:r>
    </w:p>
    <w:p w14:paraId="01DA22E5" w14:textId="36170B3D" w:rsidR="00FD1963" w:rsidRDefault="00FD1963" w:rsidP="00FD1963">
      <w:pPr>
        <w:pStyle w:val="KeinLeerraum"/>
        <w:spacing w:line="276" w:lineRule="auto"/>
        <w:jc w:val="both"/>
        <w:rPr>
          <w:rFonts w:cs="Calibri"/>
          <w:iCs/>
          <w:szCs w:val="22"/>
        </w:rPr>
      </w:pPr>
      <w:r>
        <w:t>Es schält sich heraus, dass d</w:t>
      </w:r>
      <w:r w:rsidRPr="00762252">
        <w:rPr>
          <w:rFonts w:cs="Calibri"/>
          <w:iCs/>
          <w:szCs w:val="22"/>
        </w:rPr>
        <w:t xml:space="preserve">ie Wechselwirkungen zwischen neuen Konsumerfahrungen und einer </w:t>
      </w:r>
      <w:r>
        <w:rPr>
          <w:rFonts w:cs="Calibri"/>
          <w:iCs/>
          <w:szCs w:val="22"/>
        </w:rPr>
        <w:t xml:space="preserve">verantwortungsbewussten </w:t>
      </w:r>
      <w:r w:rsidRPr="00762252">
        <w:rPr>
          <w:rFonts w:cs="Calibri"/>
          <w:iCs/>
          <w:szCs w:val="22"/>
        </w:rPr>
        <w:t xml:space="preserve">Teilnahme am Straßenverkehr eher als vermittelt über diverse andere soziale Bezüge </w:t>
      </w:r>
      <w:r>
        <w:rPr>
          <w:rFonts w:cs="Calibri"/>
          <w:iCs/>
          <w:szCs w:val="22"/>
        </w:rPr>
        <w:t>verstanden werden müssen</w:t>
      </w:r>
      <w:r w:rsidRPr="00762252">
        <w:rPr>
          <w:rFonts w:cs="Calibri"/>
          <w:iCs/>
          <w:szCs w:val="22"/>
        </w:rPr>
        <w:t>. Der Vergleich zwischen Washington und Colorado unterstreicht, dass dazu u. a. gehört, ob und wie klar Limits und Grenzen für eine Ve</w:t>
      </w:r>
      <w:r w:rsidRPr="00762252">
        <w:rPr>
          <w:rFonts w:cs="Calibri"/>
          <w:iCs/>
          <w:szCs w:val="22"/>
        </w:rPr>
        <w:t>r</w:t>
      </w:r>
      <w:r w:rsidRPr="00762252">
        <w:rPr>
          <w:rFonts w:cs="Calibri"/>
          <w:iCs/>
          <w:szCs w:val="22"/>
        </w:rPr>
        <w:t xml:space="preserve">einbarkeit von Konsum und Teilnahme am Straßenverkehr gesetzt, deren Sinnhaftigkeit für die Zielgruppe vermittelt und durch Kontrolle und Sanktion auch durchgesetzt werden. </w:t>
      </w:r>
    </w:p>
    <w:p w14:paraId="287954DB" w14:textId="49C71820" w:rsidR="00FD1963" w:rsidRPr="00762252" w:rsidRDefault="00FD1963" w:rsidP="00FD1963">
      <w:pPr>
        <w:pStyle w:val="KeinLeerraum"/>
        <w:spacing w:line="276" w:lineRule="auto"/>
        <w:jc w:val="both"/>
        <w:rPr>
          <w:rFonts w:cs="Calibri"/>
          <w:iCs/>
          <w:szCs w:val="22"/>
        </w:rPr>
      </w:pPr>
      <w:r>
        <w:rPr>
          <w:rFonts w:cs="Calibri"/>
          <w:iCs/>
          <w:szCs w:val="22"/>
        </w:rPr>
        <w:t>I</w:t>
      </w:r>
      <w:r w:rsidRPr="00762252">
        <w:rPr>
          <w:rFonts w:cs="Calibri"/>
          <w:iCs/>
          <w:szCs w:val="22"/>
        </w:rPr>
        <w:t xml:space="preserve">n diesem Zusammenhang </w:t>
      </w:r>
      <w:r>
        <w:rPr>
          <w:rFonts w:cs="Calibri"/>
          <w:iCs/>
          <w:szCs w:val="22"/>
        </w:rPr>
        <w:t>wird deutlich</w:t>
      </w:r>
      <w:r w:rsidRPr="00762252">
        <w:rPr>
          <w:rFonts w:cs="Calibri"/>
          <w:iCs/>
          <w:szCs w:val="22"/>
        </w:rPr>
        <w:t xml:space="preserve">, dass </w:t>
      </w:r>
      <w:r>
        <w:rPr>
          <w:rFonts w:cs="Calibri"/>
          <w:iCs/>
          <w:szCs w:val="22"/>
        </w:rPr>
        <w:t>für eine</w:t>
      </w:r>
      <w:r w:rsidRPr="00762252">
        <w:rPr>
          <w:rFonts w:cs="Calibri"/>
          <w:iCs/>
          <w:szCs w:val="22"/>
        </w:rPr>
        <w:t xml:space="preserve"> Bevölkerung, in der Marihuana legal ko</w:t>
      </w:r>
      <w:r w:rsidRPr="00762252">
        <w:rPr>
          <w:rFonts w:cs="Calibri"/>
          <w:iCs/>
          <w:szCs w:val="22"/>
        </w:rPr>
        <w:t>n</w:t>
      </w:r>
      <w:r w:rsidRPr="00762252">
        <w:rPr>
          <w:rFonts w:cs="Calibri"/>
          <w:iCs/>
          <w:szCs w:val="22"/>
        </w:rPr>
        <w:t xml:space="preserve">sumiert werden kann, Testroutinen </w:t>
      </w:r>
      <w:r>
        <w:rPr>
          <w:rFonts w:cs="Calibri"/>
          <w:iCs/>
          <w:szCs w:val="22"/>
        </w:rPr>
        <w:t xml:space="preserve">festzulegen sind, </w:t>
      </w:r>
      <w:r w:rsidRPr="00762252">
        <w:rPr>
          <w:rFonts w:cs="Calibri"/>
          <w:iCs/>
          <w:szCs w:val="22"/>
        </w:rPr>
        <w:t>die nicht einen Konsum in zurückliegender Zeit, sondern tatsächlich eine aktuelle Beeinträch</w:t>
      </w:r>
      <w:r>
        <w:rPr>
          <w:rFonts w:cs="Calibri"/>
          <w:iCs/>
          <w:szCs w:val="22"/>
        </w:rPr>
        <w:t xml:space="preserve">tigung der Person durch aktiv </w:t>
      </w:r>
      <w:r w:rsidRPr="00762252">
        <w:rPr>
          <w:rFonts w:cs="Calibri"/>
          <w:iCs/>
          <w:szCs w:val="22"/>
        </w:rPr>
        <w:t xml:space="preserve">wirkendes THC nachweisen. Welche Cut-off-Werte </w:t>
      </w:r>
      <w:r>
        <w:rPr>
          <w:rFonts w:cs="Calibri"/>
          <w:iCs/>
          <w:szCs w:val="22"/>
        </w:rPr>
        <w:t>dafür</w:t>
      </w:r>
      <w:r w:rsidRPr="00762252">
        <w:rPr>
          <w:rFonts w:cs="Calibri"/>
          <w:iCs/>
          <w:szCs w:val="22"/>
        </w:rPr>
        <w:t xml:space="preserve"> gelten sollen, ist zudem wissenschaftlich zu begründen. Die in Washington und Colorado </w:t>
      </w:r>
      <w:r>
        <w:rPr>
          <w:rFonts w:cs="Calibri"/>
          <w:iCs/>
          <w:szCs w:val="22"/>
        </w:rPr>
        <w:t xml:space="preserve">geltenden </w:t>
      </w:r>
      <w:r w:rsidRPr="00762252">
        <w:rPr>
          <w:rFonts w:cs="Calibri"/>
          <w:iCs/>
          <w:szCs w:val="22"/>
        </w:rPr>
        <w:t>5 ng/ml Blut scheinen eher willkürlich festgelegt</w:t>
      </w:r>
      <w:r w:rsidRPr="00762252">
        <w:rPr>
          <w:rFonts w:cs="Arial"/>
          <w:szCs w:val="22"/>
        </w:rPr>
        <w:t>.</w:t>
      </w:r>
    </w:p>
    <w:p w14:paraId="51B9171C" w14:textId="1394AA19" w:rsidR="00FD1963" w:rsidRPr="00410326" w:rsidRDefault="00FD1963" w:rsidP="00FD1963">
      <w:pPr>
        <w:widowControl w:val="0"/>
        <w:autoSpaceDE w:val="0"/>
        <w:autoSpaceDN w:val="0"/>
        <w:adjustRightInd w:val="0"/>
        <w:spacing w:after="240" w:line="276" w:lineRule="auto"/>
        <w:jc w:val="both"/>
        <w:rPr>
          <w:rFonts w:cs="Calibri"/>
          <w:iCs/>
          <w:szCs w:val="22"/>
        </w:rPr>
      </w:pPr>
      <w:r w:rsidRPr="00410326">
        <w:rPr>
          <w:rFonts w:cs="Calibri"/>
          <w:iCs/>
          <w:szCs w:val="22"/>
        </w:rPr>
        <w:t>Unübersehbar ist, dass sich mit der legalen Verfügbarkeit von Marihuana auch in Bezug auf die Möglichkeiten und Grenzen einer Vereinbarkeit von Konsum und Teilnahme am Straßenverkehr unter allen Verkehrsteilnehmer</w:t>
      </w:r>
      <w:r>
        <w:rPr>
          <w:rFonts w:cs="Calibri"/>
          <w:iCs/>
          <w:szCs w:val="22"/>
        </w:rPr>
        <w:t xml:space="preserve">n </w:t>
      </w:r>
      <w:r w:rsidRPr="00410326">
        <w:rPr>
          <w:rFonts w:cs="Calibri"/>
          <w:iCs/>
          <w:szCs w:val="22"/>
        </w:rPr>
        <w:t>Lernprozesse zu einem Risikomanagement vollziehen müssen.</w:t>
      </w:r>
      <w:r w:rsidRPr="00410326">
        <w:rPr>
          <w:rFonts w:cs="Georgia"/>
          <w:szCs w:val="22"/>
        </w:rPr>
        <w:t xml:space="preserve"> So waren </w:t>
      </w:r>
      <w:r>
        <w:rPr>
          <w:rFonts w:cs="Georgia"/>
          <w:szCs w:val="22"/>
        </w:rPr>
        <w:t>im Jahr 2014</w:t>
      </w:r>
      <w:r w:rsidRPr="00410326">
        <w:rPr>
          <w:rFonts w:cs="Georgia"/>
          <w:szCs w:val="22"/>
        </w:rPr>
        <w:t xml:space="preserve"> 65,1 % aller befragten Fahrer</w:t>
      </w:r>
      <w:r>
        <w:rPr>
          <w:rFonts w:cs="Georgia"/>
          <w:szCs w:val="22"/>
        </w:rPr>
        <w:t xml:space="preserve"> </w:t>
      </w:r>
      <w:r w:rsidRPr="00410326">
        <w:rPr>
          <w:rFonts w:cs="Georgia"/>
          <w:szCs w:val="22"/>
        </w:rPr>
        <w:t>der Auffassung, dass zwei Stunden nach dem Marihua</w:t>
      </w:r>
      <w:r>
        <w:rPr>
          <w:rFonts w:cs="Georgia"/>
          <w:szCs w:val="22"/>
        </w:rPr>
        <w:t>na-</w:t>
      </w:r>
      <w:r w:rsidRPr="00410326">
        <w:rPr>
          <w:rFonts w:cs="Georgia"/>
          <w:szCs w:val="22"/>
        </w:rPr>
        <w:t>Konsum die Fahrtauglichke</w:t>
      </w:r>
      <w:r>
        <w:rPr>
          <w:rFonts w:cs="Georgia"/>
          <w:szCs w:val="22"/>
        </w:rPr>
        <w:t>it wieder gegeben sei, 45 % d</w:t>
      </w:r>
      <w:r w:rsidRPr="00410326">
        <w:rPr>
          <w:rFonts w:cs="Georgia"/>
          <w:szCs w:val="22"/>
        </w:rPr>
        <w:t>er Befragten sind a</w:t>
      </w:r>
      <w:r w:rsidRPr="00410326">
        <w:rPr>
          <w:rFonts w:cs="Georgia"/>
          <w:szCs w:val="22"/>
        </w:rPr>
        <w:t>l</w:t>
      </w:r>
      <w:r w:rsidRPr="00410326">
        <w:rPr>
          <w:rFonts w:cs="Georgia"/>
          <w:szCs w:val="22"/>
        </w:rPr>
        <w:t>lerdings schon vor Ablauf von zwei Stunden gefahren, 60 % glaubten, dass ihr Mari</w:t>
      </w:r>
      <w:r>
        <w:rPr>
          <w:rFonts w:cs="Georgia"/>
          <w:szCs w:val="22"/>
        </w:rPr>
        <w:t>huana-K</w:t>
      </w:r>
      <w:r w:rsidRPr="00410326">
        <w:rPr>
          <w:rFonts w:cs="Georgia"/>
          <w:szCs w:val="22"/>
        </w:rPr>
        <w:t>onsum ihre Fahrtüchtigkeit nicht beeinflussen würde und nur 3 % beurteilten, dass ihr aktue</w:t>
      </w:r>
      <w:r w:rsidRPr="00410326">
        <w:rPr>
          <w:rFonts w:cs="Georgia"/>
          <w:szCs w:val="22"/>
        </w:rPr>
        <w:t>l</w:t>
      </w:r>
      <w:r w:rsidRPr="00410326">
        <w:rPr>
          <w:rFonts w:cs="Georgia"/>
          <w:szCs w:val="22"/>
        </w:rPr>
        <w:t xml:space="preserve">ler Konsum ihre Fahrtauglichkeit verschlechtere. </w:t>
      </w:r>
      <w:r>
        <w:rPr>
          <w:rFonts w:cs="Georgia"/>
          <w:szCs w:val="22"/>
        </w:rPr>
        <w:t xml:space="preserve">Die Bedeutung solcher </w:t>
      </w:r>
      <w:r w:rsidRPr="00762252">
        <w:rPr>
          <w:rFonts w:cs="Trebuchet MS"/>
          <w:szCs w:val="22"/>
        </w:rPr>
        <w:t>sozia</w:t>
      </w:r>
      <w:r>
        <w:rPr>
          <w:rFonts w:cs="Trebuchet MS"/>
          <w:szCs w:val="22"/>
        </w:rPr>
        <w:t>ler</w:t>
      </w:r>
      <w:r w:rsidRPr="00762252">
        <w:rPr>
          <w:rFonts w:cs="Trebuchet MS"/>
          <w:szCs w:val="22"/>
        </w:rPr>
        <w:t xml:space="preserve"> Lern</w:t>
      </w:r>
      <w:r>
        <w:rPr>
          <w:rFonts w:cs="Trebuchet MS"/>
          <w:szCs w:val="22"/>
        </w:rPr>
        <w:t>prozesse ist bekannt</w:t>
      </w:r>
      <w:r w:rsidR="00D94D2E">
        <w:rPr>
          <w:rFonts w:cs="Trebuchet MS"/>
          <w:szCs w:val="22"/>
        </w:rPr>
        <w:t xml:space="preserve"> und </w:t>
      </w:r>
      <w:r w:rsidRPr="00762252">
        <w:rPr>
          <w:rFonts w:cs="Trebuchet MS"/>
          <w:szCs w:val="22"/>
        </w:rPr>
        <w:t>sind</w:t>
      </w:r>
      <w:r>
        <w:rPr>
          <w:rFonts w:cs="Trebuchet MS"/>
          <w:szCs w:val="22"/>
        </w:rPr>
        <w:t xml:space="preserve"> folgerichtig auch bei Regulier</w:t>
      </w:r>
      <w:r w:rsidRPr="00762252">
        <w:rPr>
          <w:rFonts w:cs="Trebuchet MS"/>
          <w:szCs w:val="22"/>
        </w:rPr>
        <w:t>ung</w:t>
      </w:r>
      <w:r>
        <w:rPr>
          <w:rFonts w:cs="Trebuchet MS"/>
          <w:szCs w:val="22"/>
        </w:rPr>
        <w:t>sprozessen</w:t>
      </w:r>
      <w:r w:rsidRPr="00762252">
        <w:rPr>
          <w:rFonts w:cs="Trebuchet MS"/>
          <w:szCs w:val="22"/>
        </w:rPr>
        <w:t xml:space="preserve"> von Cannabis in Rechnung zu stellen. </w:t>
      </w:r>
      <w:r>
        <w:rPr>
          <w:rFonts w:cs="Trebuchet MS"/>
          <w:szCs w:val="22"/>
        </w:rPr>
        <w:t xml:space="preserve">Dazu kann </w:t>
      </w:r>
      <w:r w:rsidRPr="00410326">
        <w:rPr>
          <w:rFonts w:cs="Georgia"/>
          <w:szCs w:val="22"/>
        </w:rPr>
        <w:t xml:space="preserve">als </w:t>
      </w:r>
      <w:r w:rsidRPr="00410326">
        <w:rPr>
          <w:rFonts w:cs="Calibri"/>
          <w:iCs/>
          <w:szCs w:val="22"/>
        </w:rPr>
        <w:t xml:space="preserve">bedeutsame Erfahrung </w:t>
      </w:r>
      <w:r>
        <w:rPr>
          <w:rFonts w:cs="Calibri"/>
          <w:iCs/>
          <w:szCs w:val="22"/>
        </w:rPr>
        <w:t>gelten</w:t>
      </w:r>
      <w:r w:rsidRPr="00410326">
        <w:rPr>
          <w:rFonts w:cs="Calibri"/>
          <w:iCs/>
          <w:szCs w:val="22"/>
        </w:rPr>
        <w:t>, dass die</w:t>
      </w:r>
      <w:r>
        <w:rPr>
          <w:rFonts w:cs="Calibri"/>
          <w:iCs/>
          <w:szCs w:val="22"/>
        </w:rPr>
        <w:t>se</w:t>
      </w:r>
      <w:r w:rsidRPr="00410326">
        <w:rPr>
          <w:rFonts w:cs="Calibri"/>
          <w:iCs/>
          <w:szCs w:val="22"/>
        </w:rPr>
        <w:t xml:space="preserve"> Lernprozesse nicht allein durch eine verstärkte Kontroll- und Sanktionspraxis </w:t>
      </w:r>
      <w:r>
        <w:rPr>
          <w:rFonts w:cs="Calibri"/>
          <w:iCs/>
          <w:szCs w:val="22"/>
        </w:rPr>
        <w:t>zu</w:t>
      </w:r>
      <w:r w:rsidRPr="00410326">
        <w:rPr>
          <w:rFonts w:cs="Calibri"/>
          <w:iCs/>
          <w:szCs w:val="22"/>
        </w:rPr>
        <w:t xml:space="preserve"> </w:t>
      </w:r>
      <w:r>
        <w:rPr>
          <w:rFonts w:cs="Calibri"/>
          <w:iCs/>
          <w:szCs w:val="22"/>
        </w:rPr>
        <w:t xml:space="preserve">initiieren sind. </w:t>
      </w:r>
      <w:r w:rsidRPr="00410326">
        <w:rPr>
          <w:rFonts w:cs="Calibri"/>
          <w:iCs/>
          <w:szCs w:val="22"/>
        </w:rPr>
        <w:t>Vielmehr gilt es, über diverse Medien und mit entsprechenden Kampagnen zu den Zusammenhän</w:t>
      </w:r>
      <w:r>
        <w:rPr>
          <w:rFonts w:cs="Calibri"/>
          <w:iCs/>
          <w:szCs w:val="22"/>
        </w:rPr>
        <w:t>gen von Marihuana-K</w:t>
      </w:r>
      <w:r w:rsidRPr="00410326">
        <w:rPr>
          <w:rFonts w:cs="Calibri"/>
          <w:iCs/>
          <w:szCs w:val="22"/>
        </w:rPr>
        <w:t xml:space="preserve">onsum und Verkehrssicherheit aufzuklären. Dies </w:t>
      </w:r>
      <w:r>
        <w:rPr>
          <w:rFonts w:cs="Calibri"/>
          <w:iCs/>
          <w:szCs w:val="22"/>
        </w:rPr>
        <w:t>müsste</w:t>
      </w:r>
      <w:r w:rsidRPr="00410326">
        <w:rPr>
          <w:rFonts w:cs="Calibri"/>
          <w:iCs/>
          <w:szCs w:val="22"/>
        </w:rPr>
        <w:t xml:space="preserve"> allerdings weit über Kampagne</w:t>
      </w:r>
      <w:r>
        <w:rPr>
          <w:rFonts w:cs="Calibri"/>
          <w:iCs/>
          <w:szCs w:val="22"/>
        </w:rPr>
        <w:t xml:space="preserve">n hinaus gehen, wie sie </w:t>
      </w:r>
      <w:r w:rsidRPr="00410326">
        <w:rPr>
          <w:rFonts w:cs="Calibri"/>
          <w:iCs/>
          <w:szCs w:val="22"/>
        </w:rPr>
        <w:t xml:space="preserve">beispielsweise in Colorado </w:t>
      </w:r>
      <w:r>
        <w:rPr>
          <w:rFonts w:cs="Calibri"/>
          <w:iCs/>
          <w:szCs w:val="22"/>
        </w:rPr>
        <w:t xml:space="preserve">als </w:t>
      </w:r>
      <w:r w:rsidRPr="00410326">
        <w:rPr>
          <w:rFonts w:cs="Calibri"/>
          <w:iCs/>
          <w:szCs w:val="22"/>
        </w:rPr>
        <w:t>„</w:t>
      </w:r>
      <w:r w:rsidRPr="00410326">
        <w:rPr>
          <w:rFonts w:cs="Helvetica Neue"/>
          <w:szCs w:val="22"/>
        </w:rPr>
        <w:t xml:space="preserve">Drive High, Get a DUI" </w:t>
      </w:r>
      <w:r w:rsidRPr="00410326">
        <w:rPr>
          <w:rFonts w:cs="Calibri"/>
          <w:iCs/>
          <w:szCs w:val="22"/>
        </w:rPr>
        <w:t>praktiziert</w:t>
      </w:r>
      <w:r>
        <w:rPr>
          <w:rFonts w:cs="Calibri"/>
          <w:iCs/>
          <w:szCs w:val="22"/>
        </w:rPr>
        <w:t xml:space="preserve"> werden.</w:t>
      </w:r>
      <w:r w:rsidRPr="00410326">
        <w:rPr>
          <w:rFonts w:cs="Calibri"/>
          <w:iCs/>
          <w:szCs w:val="22"/>
        </w:rPr>
        <w:t xml:space="preserve"> </w:t>
      </w:r>
      <w:r>
        <w:rPr>
          <w:rFonts w:cs="Trebuchet MS"/>
          <w:szCs w:val="22"/>
        </w:rPr>
        <w:t>Auf Grund</w:t>
      </w:r>
      <w:r w:rsidRPr="00762252">
        <w:rPr>
          <w:rFonts w:cs="Trebuchet MS"/>
          <w:szCs w:val="22"/>
        </w:rPr>
        <w:t xml:space="preserve"> </w:t>
      </w:r>
      <w:r>
        <w:rPr>
          <w:rFonts w:cs="Trebuchet MS"/>
          <w:szCs w:val="22"/>
        </w:rPr>
        <w:t>der</w:t>
      </w:r>
      <w:r w:rsidRPr="00762252">
        <w:rPr>
          <w:rFonts w:cs="Trebuchet MS"/>
          <w:szCs w:val="22"/>
        </w:rPr>
        <w:t xml:space="preserve"> jahrzehntelange</w:t>
      </w:r>
      <w:r>
        <w:rPr>
          <w:rFonts w:cs="Trebuchet MS"/>
          <w:szCs w:val="22"/>
        </w:rPr>
        <w:t>n</w:t>
      </w:r>
      <w:r w:rsidRPr="00762252">
        <w:rPr>
          <w:rFonts w:cs="Trebuchet MS"/>
          <w:szCs w:val="22"/>
        </w:rPr>
        <w:t xml:space="preserve"> Kriminalisierung und das dadurch bedingte Fehlen </w:t>
      </w:r>
      <w:r>
        <w:rPr>
          <w:rFonts w:cs="Trebuchet MS"/>
          <w:szCs w:val="22"/>
        </w:rPr>
        <w:t>praktischer</w:t>
      </w:r>
      <w:r w:rsidRPr="00762252">
        <w:rPr>
          <w:rFonts w:cs="Trebuchet MS"/>
          <w:szCs w:val="22"/>
        </w:rPr>
        <w:t xml:space="preserve"> Alltagserfa</w:t>
      </w:r>
      <w:r w:rsidRPr="00762252">
        <w:rPr>
          <w:rFonts w:cs="Trebuchet MS"/>
          <w:szCs w:val="22"/>
        </w:rPr>
        <w:t>h</w:t>
      </w:r>
      <w:r w:rsidRPr="00762252">
        <w:rPr>
          <w:rFonts w:cs="Trebuchet MS"/>
          <w:szCs w:val="22"/>
        </w:rPr>
        <w:t xml:space="preserve">rungen und </w:t>
      </w:r>
      <w:r>
        <w:rPr>
          <w:rFonts w:cs="Trebuchet MS"/>
          <w:szCs w:val="22"/>
        </w:rPr>
        <w:t>-</w:t>
      </w:r>
      <w:r w:rsidRPr="00762252">
        <w:rPr>
          <w:rFonts w:cs="Trebuchet MS"/>
          <w:szCs w:val="22"/>
        </w:rPr>
        <w:t>routinen</w:t>
      </w:r>
      <w:r>
        <w:rPr>
          <w:rFonts w:cs="Trebuchet MS"/>
          <w:szCs w:val="22"/>
        </w:rPr>
        <w:t xml:space="preserve"> </w:t>
      </w:r>
      <w:r w:rsidRPr="00762252">
        <w:rPr>
          <w:rFonts w:cs="Trebuchet MS"/>
          <w:szCs w:val="22"/>
        </w:rPr>
        <w:t>scheint</w:t>
      </w:r>
      <w:r>
        <w:rPr>
          <w:rFonts w:cs="Trebuchet MS"/>
          <w:szCs w:val="22"/>
        </w:rPr>
        <w:t xml:space="preserve"> es in der Bevölkerung </w:t>
      </w:r>
      <w:r w:rsidRPr="00762252">
        <w:rPr>
          <w:rFonts w:cs="Trebuchet MS"/>
          <w:szCs w:val="22"/>
        </w:rPr>
        <w:t>deutlich schwieriger</w:t>
      </w:r>
      <w:r>
        <w:rPr>
          <w:rFonts w:cs="Trebuchet MS"/>
          <w:szCs w:val="22"/>
        </w:rPr>
        <w:t xml:space="preserve">, zu individuell </w:t>
      </w:r>
      <w:r w:rsidRPr="00762252">
        <w:rPr>
          <w:rFonts w:cs="Trebuchet MS"/>
          <w:szCs w:val="22"/>
        </w:rPr>
        <w:t>geeign</w:t>
      </w:r>
      <w:r w:rsidRPr="00762252">
        <w:rPr>
          <w:rFonts w:cs="Trebuchet MS"/>
          <w:szCs w:val="22"/>
        </w:rPr>
        <w:t>e</w:t>
      </w:r>
      <w:r>
        <w:rPr>
          <w:rFonts w:cs="Trebuchet MS"/>
          <w:szCs w:val="22"/>
        </w:rPr>
        <w:t>ten</w:t>
      </w:r>
      <w:r w:rsidRPr="00762252">
        <w:rPr>
          <w:rFonts w:cs="Trebuchet MS"/>
          <w:szCs w:val="22"/>
        </w:rPr>
        <w:t xml:space="preserve"> Konsummengen für Cannabis</w:t>
      </w:r>
      <w:r>
        <w:rPr>
          <w:rFonts w:cs="Trebuchet MS"/>
          <w:szCs w:val="22"/>
        </w:rPr>
        <w:t xml:space="preserve"> zu finden</w:t>
      </w:r>
      <w:r w:rsidRPr="00762252">
        <w:rPr>
          <w:rFonts w:cs="Trebuchet MS"/>
          <w:szCs w:val="22"/>
        </w:rPr>
        <w:t>, die eine verantwortliche Teilnahme am Straßenve</w:t>
      </w:r>
      <w:r w:rsidRPr="00762252">
        <w:rPr>
          <w:rFonts w:cs="Trebuchet MS"/>
          <w:szCs w:val="22"/>
        </w:rPr>
        <w:t>r</w:t>
      </w:r>
      <w:r w:rsidRPr="00762252">
        <w:rPr>
          <w:rFonts w:cs="Trebuchet MS"/>
          <w:szCs w:val="22"/>
        </w:rPr>
        <w:t>kehr ermögli</w:t>
      </w:r>
      <w:r>
        <w:rPr>
          <w:rFonts w:cs="Trebuchet MS"/>
          <w:szCs w:val="22"/>
        </w:rPr>
        <w:t>chen</w:t>
      </w:r>
      <w:r w:rsidRPr="00762252">
        <w:rPr>
          <w:rFonts w:cs="Trebuchet MS"/>
          <w:szCs w:val="22"/>
        </w:rPr>
        <w:t>.</w:t>
      </w:r>
    </w:p>
    <w:p w14:paraId="44B864A7" w14:textId="77777777" w:rsidR="00FD1963" w:rsidRPr="00410326" w:rsidRDefault="00FD1963" w:rsidP="00FD1963">
      <w:pPr>
        <w:pStyle w:val="KeinLeerraum"/>
        <w:spacing w:line="276" w:lineRule="auto"/>
        <w:jc w:val="both"/>
        <w:rPr>
          <w:b/>
          <w:szCs w:val="22"/>
        </w:rPr>
      </w:pPr>
      <w:r w:rsidRPr="00410326">
        <w:rPr>
          <w:b/>
          <w:szCs w:val="22"/>
        </w:rPr>
        <w:t>Forschungsdilemmata</w:t>
      </w:r>
    </w:p>
    <w:p w14:paraId="70FA23CC" w14:textId="77777777" w:rsidR="00FD1963" w:rsidRPr="00762252" w:rsidRDefault="00FD1963" w:rsidP="00FD1963">
      <w:pPr>
        <w:pStyle w:val="KeinLeerraum"/>
        <w:spacing w:line="276" w:lineRule="auto"/>
        <w:jc w:val="both"/>
        <w:rPr>
          <w:rFonts w:cs="Calibri"/>
          <w:iCs/>
          <w:szCs w:val="22"/>
        </w:rPr>
      </w:pPr>
      <w:r>
        <w:rPr>
          <w:rFonts w:cs="Calibri"/>
          <w:iCs/>
          <w:szCs w:val="22"/>
        </w:rPr>
        <w:t>In beiden Bundess</w:t>
      </w:r>
      <w:r w:rsidRPr="00762252">
        <w:rPr>
          <w:rFonts w:cs="Calibri"/>
          <w:iCs/>
          <w:szCs w:val="22"/>
        </w:rPr>
        <w:t xml:space="preserve">taaten erfolgte </w:t>
      </w:r>
      <w:r>
        <w:rPr>
          <w:rFonts w:cs="Calibri"/>
          <w:iCs/>
          <w:szCs w:val="22"/>
        </w:rPr>
        <w:t>der Start des Regul</w:t>
      </w:r>
      <w:r w:rsidRPr="00762252">
        <w:rPr>
          <w:rFonts w:cs="Calibri"/>
          <w:iCs/>
          <w:szCs w:val="22"/>
        </w:rPr>
        <w:t>ierung</w:t>
      </w:r>
      <w:r>
        <w:rPr>
          <w:rFonts w:cs="Calibri"/>
          <w:iCs/>
          <w:szCs w:val="22"/>
        </w:rPr>
        <w:t>sprozesses</w:t>
      </w:r>
      <w:r w:rsidRPr="00762252">
        <w:rPr>
          <w:rFonts w:cs="Calibri"/>
          <w:iCs/>
          <w:szCs w:val="22"/>
        </w:rPr>
        <w:t xml:space="preserve"> von Marihuana weit vor dem Installieren eines funktionierenden Monitorings, mit dem die Effekte dieses drogenpolit</w:t>
      </w:r>
      <w:r w:rsidRPr="00762252">
        <w:rPr>
          <w:rFonts w:cs="Calibri"/>
          <w:iCs/>
          <w:szCs w:val="22"/>
        </w:rPr>
        <w:t>i</w:t>
      </w:r>
      <w:r w:rsidRPr="00762252">
        <w:rPr>
          <w:rFonts w:cs="Calibri"/>
          <w:iCs/>
          <w:szCs w:val="22"/>
        </w:rPr>
        <w:t>schen Schrittes für die Entwicklung der Verkehrssicherheit begleitet und ggf. Korrekturen a</w:t>
      </w:r>
      <w:r w:rsidRPr="00762252">
        <w:rPr>
          <w:rFonts w:cs="Calibri"/>
          <w:iCs/>
          <w:szCs w:val="22"/>
        </w:rPr>
        <w:t>n</w:t>
      </w:r>
      <w:r w:rsidRPr="00762252">
        <w:rPr>
          <w:rFonts w:cs="Calibri"/>
          <w:iCs/>
          <w:szCs w:val="22"/>
        </w:rPr>
        <w:t>gemahnt werden können. Diverse, immer wieder neu festgelegte Verfahrensabläufe, das Sa</w:t>
      </w:r>
      <w:r w:rsidRPr="00762252">
        <w:rPr>
          <w:rFonts w:cs="Calibri"/>
          <w:iCs/>
          <w:szCs w:val="22"/>
        </w:rPr>
        <w:t>m</w:t>
      </w:r>
      <w:r w:rsidRPr="00762252">
        <w:rPr>
          <w:rFonts w:cs="Calibri"/>
          <w:iCs/>
          <w:szCs w:val="22"/>
        </w:rPr>
        <w:t xml:space="preserve">meln von Daten durch unterschiedliche Institutionen mit unterschiedlichen Mustern und schließlich das Fehlen eines Konzepts, um tatsächlich </w:t>
      </w:r>
      <w:r>
        <w:rPr>
          <w:rFonts w:cs="Calibri"/>
          <w:iCs/>
          <w:szCs w:val="22"/>
        </w:rPr>
        <w:t xml:space="preserve">über </w:t>
      </w:r>
      <w:r w:rsidRPr="00762252">
        <w:rPr>
          <w:rFonts w:cs="Calibri"/>
          <w:iCs/>
          <w:szCs w:val="22"/>
        </w:rPr>
        <w:t xml:space="preserve">aussagefähige Daten </w:t>
      </w:r>
      <w:r>
        <w:rPr>
          <w:rFonts w:cs="Calibri"/>
          <w:iCs/>
          <w:szCs w:val="22"/>
        </w:rPr>
        <w:t>verfügen zu können</w:t>
      </w:r>
      <w:r w:rsidRPr="00762252">
        <w:rPr>
          <w:rFonts w:cs="Calibri"/>
          <w:iCs/>
          <w:szCs w:val="22"/>
        </w:rPr>
        <w:t>, werden bis heute zu großen Herausforde</w:t>
      </w:r>
      <w:r>
        <w:rPr>
          <w:rFonts w:cs="Calibri"/>
          <w:iCs/>
          <w:szCs w:val="22"/>
        </w:rPr>
        <w:t>rungen einer wissenschaftlichen Begleitfo</w:t>
      </w:r>
      <w:r>
        <w:rPr>
          <w:rFonts w:cs="Calibri"/>
          <w:iCs/>
          <w:szCs w:val="22"/>
        </w:rPr>
        <w:t>r</w:t>
      </w:r>
      <w:r>
        <w:rPr>
          <w:rFonts w:cs="Calibri"/>
          <w:iCs/>
          <w:szCs w:val="22"/>
        </w:rPr>
        <w:t>schung</w:t>
      </w:r>
      <w:r w:rsidRPr="00762252">
        <w:rPr>
          <w:rFonts w:cs="Calibri"/>
          <w:iCs/>
          <w:szCs w:val="22"/>
        </w:rPr>
        <w:t xml:space="preserve">. Die Tatsache, dass viele der an der Kontrolle beteiligten </w:t>
      </w:r>
      <w:r>
        <w:rPr>
          <w:rFonts w:cs="Calibri"/>
          <w:iCs/>
          <w:szCs w:val="22"/>
        </w:rPr>
        <w:t>Institutionen</w:t>
      </w:r>
      <w:r w:rsidRPr="00762252">
        <w:rPr>
          <w:rFonts w:cs="Calibri"/>
          <w:iCs/>
          <w:szCs w:val="22"/>
        </w:rPr>
        <w:t xml:space="preserve"> zugleich Nutz</w:t>
      </w:r>
      <w:r>
        <w:rPr>
          <w:rFonts w:cs="Calibri"/>
          <w:iCs/>
          <w:szCs w:val="22"/>
        </w:rPr>
        <w:t>ni</w:t>
      </w:r>
      <w:r>
        <w:rPr>
          <w:rFonts w:cs="Calibri"/>
          <w:iCs/>
          <w:szCs w:val="22"/>
        </w:rPr>
        <w:t>e</w:t>
      </w:r>
      <w:r>
        <w:rPr>
          <w:rFonts w:cs="Calibri"/>
          <w:iCs/>
          <w:szCs w:val="22"/>
        </w:rPr>
        <w:t>ßer zusätzlicher regulierungs</w:t>
      </w:r>
      <w:r w:rsidRPr="00762252">
        <w:rPr>
          <w:rFonts w:cs="Calibri"/>
          <w:iCs/>
          <w:szCs w:val="22"/>
        </w:rPr>
        <w:t xml:space="preserve">bedingter Steuereinnahmen </w:t>
      </w:r>
      <w:r>
        <w:rPr>
          <w:rFonts w:cs="Calibri"/>
          <w:iCs/>
          <w:szCs w:val="22"/>
        </w:rPr>
        <w:t>sind</w:t>
      </w:r>
      <w:r w:rsidRPr="00762252">
        <w:rPr>
          <w:rFonts w:cs="Calibri"/>
          <w:iCs/>
          <w:szCs w:val="22"/>
        </w:rPr>
        <w:t>, sofern sie die Dringlichkeit ihrer Arbeit herausstellen, legt zudem nahe, mit einem Monitoring unabhängige Institutionen zu b</w:t>
      </w:r>
      <w:r w:rsidRPr="00762252">
        <w:rPr>
          <w:rFonts w:cs="Calibri"/>
          <w:iCs/>
          <w:szCs w:val="22"/>
        </w:rPr>
        <w:t>e</w:t>
      </w:r>
      <w:r w:rsidRPr="00762252">
        <w:rPr>
          <w:rFonts w:cs="Calibri"/>
          <w:iCs/>
          <w:szCs w:val="22"/>
        </w:rPr>
        <w:t>trauen.</w:t>
      </w:r>
    </w:p>
    <w:p w14:paraId="473C2DBD" w14:textId="77777777" w:rsidR="00FD1963" w:rsidRDefault="00FD1963" w:rsidP="00FD1963">
      <w:pPr>
        <w:pStyle w:val="KeinLeerraum"/>
        <w:spacing w:line="276" w:lineRule="auto"/>
        <w:jc w:val="both"/>
        <w:rPr>
          <w:szCs w:val="22"/>
        </w:rPr>
      </w:pPr>
      <w:r w:rsidRPr="00762252">
        <w:rPr>
          <w:szCs w:val="22"/>
        </w:rPr>
        <w:t xml:space="preserve">Unübersehbar </w:t>
      </w:r>
      <w:r>
        <w:rPr>
          <w:szCs w:val="22"/>
        </w:rPr>
        <w:t>ist zudem</w:t>
      </w:r>
      <w:r w:rsidRPr="00762252">
        <w:rPr>
          <w:szCs w:val="22"/>
        </w:rPr>
        <w:t>, dass für weitere Forschungen die Einführung standardisierter Rout</w:t>
      </w:r>
      <w:r w:rsidRPr="00762252">
        <w:rPr>
          <w:szCs w:val="22"/>
        </w:rPr>
        <w:t>i</w:t>
      </w:r>
      <w:r>
        <w:rPr>
          <w:szCs w:val="22"/>
        </w:rPr>
        <w:t>nen bei der Datene</w:t>
      </w:r>
      <w:r w:rsidRPr="00762252">
        <w:rPr>
          <w:szCs w:val="22"/>
        </w:rPr>
        <w:t xml:space="preserve">rhebung </w:t>
      </w:r>
      <w:r>
        <w:rPr>
          <w:szCs w:val="22"/>
        </w:rPr>
        <w:t>n</w:t>
      </w:r>
      <w:r w:rsidRPr="00762252">
        <w:rPr>
          <w:szCs w:val="22"/>
        </w:rPr>
        <w:t>otwendig</w:t>
      </w:r>
      <w:r>
        <w:rPr>
          <w:szCs w:val="22"/>
        </w:rPr>
        <w:t xml:space="preserve"> sind</w:t>
      </w:r>
      <w:r w:rsidRPr="00762252">
        <w:rPr>
          <w:szCs w:val="22"/>
        </w:rPr>
        <w:t>, die weder eine Über</w:t>
      </w:r>
      <w:r>
        <w:rPr>
          <w:szCs w:val="22"/>
        </w:rPr>
        <w:t>- (z. B. durch die Wahl der Cut-off-Werte)</w:t>
      </w:r>
      <w:r w:rsidRPr="00762252">
        <w:rPr>
          <w:szCs w:val="22"/>
        </w:rPr>
        <w:t xml:space="preserve"> noch eine Unterbewertu</w:t>
      </w:r>
      <w:r>
        <w:rPr>
          <w:szCs w:val="22"/>
        </w:rPr>
        <w:t>ng des Einflusses des Marihuana-K</w:t>
      </w:r>
      <w:r w:rsidRPr="00762252">
        <w:rPr>
          <w:szCs w:val="22"/>
        </w:rPr>
        <w:t>onsums auf die Verkehr</w:t>
      </w:r>
      <w:r w:rsidRPr="00762252">
        <w:rPr>
          <w:szCs w:val="22"/>
        </w:rPr>
        <w:t>s</w:t>
      </w:r>
      <w:r w:rsidRPr="00762252">
        <w:rPr>
          <w:szCs w:val="22"/>
        </w:rPr>
        <w:t>sicherheitslage allgemein zulassen.</w:t>
      </w:r>
    </w:p>
    <w:p w14:paraId="03C4D4CC" w14:textId="37B5C2C4" w:rsidR="00FD1963" w:rsidRPr="00A26F01" w:rsidRDefault="00FD1963" w:rsidP="00D94D2E">
      <w:pPr>
        <w:pStyle w:val="berschrift2"/>
        <w:rPr>
          <w:iCs/>
        </w:rPr>
      </w:pPr>
      <w:bookmarkStart w:id="7" w:name="_Toc349300336"/>
      <w:r w:rsidRPr="00A26F01">
        <w:t xml:space="preserve">Regulierungsprozesse </w:t>
      </w:r>
      <w:r w:rsidR="00C17576">
        <w:t xml:space="preserve">und </w:t>
      </w:r>
      <w:r w:rsidRPr="00A26F01">
        <w:t>die Nachfrage nach Behandlungen bei problemat</w:t>
      </w:r>
      <w:r w:rsidRPr="00A26F01">
        <w:t>i</w:t>
      </w:r>
      <w:r w:rsidRPr="00A26F01">
        <w:t>schem Marihuana-Konsum</w:t>
      </w:r>
      <w:bookmarkEnd w:id="7"/>
      <w:r w:rsidRPr="00A26F01">
        <w:t xml:space="preserve"> </w:t>
      </w:r>
    </w:p>
    <w:p w14:paraId="31244970" w14:textId="77777777" w:rsidR="00FD1963" w:rsidRDefault="00FD1963" w:rsidP="00FD1963">
      <w:pPr>
        <w:spacing w:line="276" w:lineRule="auto"/>
        <w:jc w:val="both"/>
        <w:rPr>
          <w:szCs w:val="22"/>
        </w:rPr>
      </w:pPr>
      <w:r>
        <w:rPr>
          <w:szCs w:val="22"/>
        </w:rPr>
        <w:t>Wird die Möglichkeit eines autonom kontrollierten und problemlos in den Lebensstil integrie</w:t>
      </w:r>
      <w:r>
        <w:rPr>
          <w:szCs w:val="22"/>
        </w:rPr>
        <w:t>r</w:t>
      </w:r>
      <w:r>
        <w:rPr>
          <w:szCs w:val="22"/>
        </w:rPr>
        <w:t xml:space="preserve">ten Cannabiskonsum bezweifelt, ergibt sich die </w:t>
      </w:r>
      <w:r w:rsidRPr="00FB288D">
        <w:rPr>
          <w:szCs w:val="22"/>
        </w:rPr>
        <w:t>Besorgnis</w:t>
      </w:r>
      <w:r>
        <w:rPr>
          <w:szCs w:val="22"/>
        </w:rPr>
        <w:t>, dass es mit</w:t>
      </w:r>
      <w:r w:rsidRPr="00FB288D">
        <w:rPr>
          <w:szCs w:val="22"/>
        </w:rPr>
        <w:t xml:space="preserve"> einer Regulierung</w:t>
      </w:r>
      <w:r>
        <w:rPr>
          <w:szCs w:val="22"/>
        </w:rPr>
        <w:t xml:space="preserve"> umg</w:t>
      </w:r>
      <w:r>
        <w:rPr>
          <w:szCs w:val="22"/>
        </w:rPr>
        <w:t>e</w:t>
      </w:r>
      <w:r>
        <w:rPr>
          <w:szCs w:val="22"/>
        </w:rPr>
        <w:t>hend zu einem massiven Anstieg hochproblematischer Konsummuster kommt, die umfassende therapeutische Hilfe begründen. Die bisher vorliegenden Daten zeichnen allerdings dazu ein anderes Bild:</w:t>
      </w:r>
    </w:p>
    <w:p w14:paraId="5822116C" w14:textId="56F8927E" w:rsidR="00FD1963" w:rsidRDefault="00FD1963" w:rsidP="00FD1963">
      <w:pPr>
        <w:pStyle w:val="KeinLeerraum"/>
        <w:numPr>
          <w:ilvl w:val="0"/>
          <w:numId w:val="16"/>
        </w:numPr>
        <w:tabs>
          <w:tab w:val="clear" w:pos="720"/>
          <w:tab w:val="num" w:pos="284"/>
        </w:tabs>
        <w:spacing w:line="276" w:lineRule="auto"/>
        <w:ind w:left="284" w:hanging="284"/>
        <w:jc w:val="both"/>
        <w:rPr>
          <w:szCs w:val="22"/>
        </w:rPr>
      </w:pPr>
      <w:r>
        <w:rPr>
          <w:szCs w:val="22"/>
        </w:rPr>
        <w:t>Unter der Gesamtzahl der Suchtkrankenbehandlungen (Gesamtbevölkerung 12 Jahre und älter) haben Therapien wegen problematischen Marihuana-Konsums schon immer einen g</w:t>
      </w:r>
      <w:r>
        <w:rPr>
          <w:szCs w:val="22"/>
        </w:rPr>
        <w:t>e</w:t>
      </w:r>
      <w:r>
        <w:rPr>
          <w:szCs w:val="22"/>
        </w:rPr>
        <w:t>ringen Anteil, der seit 2011 kontinuierlich gesunken ist (15 % im Jahr 2014).</w:t>
      </w:r>
    </w:p>
    <w:p w14:paraId="2E033DDE" w14:textId="37720103" w:rsidR="00FD1963" w:rsidRPr="009654A9" w:rsidRDefault="00FD1963" w:rsidP="00FD1963">
      <w:pPr>
        <w:pStyle w:val="KeinLeerraum"/>
        <w:numPr>
          <w:ilvl w:val="0"/>
          <w:numId w:val="16"/>
        </w:numPr>
        <w:tabs>
          <w:tab w:val="clear" w:pos="720"/>
          <w:tab w:val="num" w:pos="284"/>
        </w:tabs>
        <w:spacing w:line="276" w:lineRule="auto"/>
        <w:ind w:left="284" w:hanging="284"/>
        <w:jc w:val="both"/>
        <w:rPr>
          <w:sz w:val="24"/>
        </w:rPr>
      </w:pPr>
      <w:r>
        <w:rPr>
          <w:szCs w:val="22"/>
        </w:rPr>
        <w:t>U</w:t>
      </w:r>
      <w:r w:rsidRPr="009654A9">
        <w:rPr>
          <w:szCs w:val="22"/>
        </w:rPr>
        <w:t xml:space="preserve">nter den Behandlungen problematischer Marihuana-Konsumformen </w:t>
      </w:r>
      <w:r>
        <w:rPr>
          <w:szCs w:val="22"/>
        </w:rPr>
        <w:t xml:space="preserve">kann </w:t>
      </w:r>
      <w:r w:rsidRPr="009654A9">
        <w:rPr>
          <w:szCs w:val="22"/>
        </w:rPr>
        <w:t xml:space="preserve">als Besonderheit die Dominanz ambulanter Angebote gelten: Im Jahr 2014 fanden 86 % aller Behandlungen in ambulanten Settings statt, </w:t>
      </w:r>
      <w:r>
        <w:rPr>
          <w:szCs w:val="22"/>
        </w:rPr>
        <w:t xml:space="preserve">davon </w:t>
      </w:r>
      <w:r w:rsidRPr="009654A9">
        <w:rPr>
          <w:szCs w:val="22"/>
        </w:rPr>
        <w:t xml:space="preserve">62 % in ambulanten Intensiv-Settings, die eine Anwesenheit von mindestens zwei Stunden </w:t>
      </w:r>
      <w:r>
        <w:rPr>
          <w:szCs w:val="22"/>
        </w:rPr>
        <w:t xml:space="preserve">pro Tag </w:t>
      </w:r>
      <w:r w:rsidRPr="009654A9">
        <w:rPr>
          <w:szCs w:val="22"/>
        </w:rPr>
        <w:t>erfordern.</w:t>
      </w:r>
    </w:p>
    <w:p w14:paraId="4D693B20" w14:textId="77777777" w:rsidR="00FD1963" w:rsidRDefault="00FD1963" w:rsidP="00FD1963">
      <w:pPr>
        <w:pStyle w:val="KeinLeerraum"/>
        <w:numPr>
          <w:ilvl w:val="0"/>
          <w:numId w:val="16"/>
        </w:numPr>
        <w:tabs>
          <w:tab w:val="clear" w:pos="720"/>
          <w:tab w:val="num" w:pos="284"/>
        </w:tabs>
        <w:spacing w:line="276" w:lineRule="auto"/>
        <w:ind w:left="284" w:hanging="284"/>
        <w:jc w:val="both"/>
        <w:rPr>
          <w:szCs w:val="22"/>
        </w:rPr>
      </w:pPr>
      <w:r>
        <w:rPr>
          <w:iCs/>
          <w:szCs w:val="22"/>
        </w:rPr>
        <w:t>In den USA sind</w:t>
      </w:r>
      <w:r>
        <w:rPr>
          <w:szCs w:val="22"/>
        </w:rPr>
        <w:t xml:space="preserve"> es eher die Heranwachsenden und jungen Erwachsenen, die wegen ihres Marihuana-Konsums eine Behandlung aufnehmen: Im Jahr 2012 wurden 34 % aller Behan</w:t>
      </w:r>
      <w:r>
        <w:rPr>
          <w:szCs w:val="22"/>
        </w:rPr>
        <w:t>d</w:t>
      </w:r>
      <w:r>
        <w:rPr>
          <w:szCs w:val="22"/>
        </w:rPr>
        <w:t>lungen wegen problematischen Cannabiskonsums von Personen unter 20 Jahre begonnen (im Jahr 2014 waren 32 %). Zu beachten</w:t>
      </w:r>
      <w:r w:rsidRPr="00CD23F5">
        <w:rPr>
          <w:szCs w:val="22"/>
        </w:rPr>
        <w:t xml:space="preserve"> </w:t>
      </w:r>
      <w:r>
        <w:rPr>
          <w:szCs w:val="22"/>
        </w:rPr>
        <w:t xml:space="preserve">ist allerdings, dass diese Altersgruppe nur 8 % aller insgesamt Behandelten ausmacht, weshalb die absoluten Zahlen sehr gering sind. </w:t>
      </w:r>
    </w:p>
    <w:p w14:paraId="590E0D6B" w14:textId="74349455" w:rsidR="00FD1963" w:rsidRPr="00070EF6" w:rsidRDefault="00FD1963" w:rsidP="00FD1963">
      <w:pPr>
        <w:pStyle w:val="KeinLeerraum"/>
        <w:numPr>
          <w:ilvl w:val="0"/>
          <w:numId w:val="16"/>
        </w:numPr>
        <w:tabs>
          <w:tab w:val="clear" w:pos="720"/>
          <w:tab w:val="num" w:pos="284"/>
        </w:tabs>
        <w:spacing w:line="276" w:lineRule="auto"/>
        <w:ind w:left="284" w:hanging="284"/>
        <w:jc w:val="both"/>
        <w:rPr>
          <w:rFonts w:cs="Times"/>
          <w:color w:val="000000"/>
          <w:szCs w:val="22"/>
        </w:rPr>
      </w:pPr>
      <w:r>
        <w:rPr>
          <w:szCs w:val="22"/>
        </w:rPr>
        <w:t>U</w:t>
      </w:r>
      <w:r w:rsidRPr="00070EF6">
        <w:rPr>
          <w:szCs w:val="22"/>
        </w:rPr>
        <w:t>nter den Behandlungen bei</w:t>
      </w:r>
      <w:r>
        <w:rPr>
          <w:szCs w:val="22"/>
        </w:rPr>
        <w:t xml:space="preserve"> problematischem Substanzkonsum </w:t>
      </w:r>
      <w:r w:rsidRPr="00070EF6">
        <w:rPr>
          <w:szCs w:val="22"/>
        </w:rPr>
        <w:t>waren Jugend</w:t>
      </w:r>
      <w:r>
        <w:rPr>
          <w:szCs w:val="22"/>
        </w:rPr>
        <w:t>liche zwischen 12-17 Jahren s</w:t>
      </w:r>
      <w:r w:rsidRPr="00070EF6">
        <w:rPr>
          <w:szCs w:val="22"/>
        </w:rPr>
        <w:t xml:space="preserve">owohl </w:t>
      </w:r>
      <w:r>
        <w:rPr>
          <w:szCs w:val="22"/>
        </w:rPr>
        <w:t>Prä- (bis zum Jahr 2012=</w:t>
      </w:r>
      <w:r w:rsidRPr="00070EF6">
        <w:rPr>
          <w:szCs w:val="22"/>
        </w:rPr>
        <w:t xml:space="preserve">7 %) als </w:t>
      </w:r>
      <w:r>
        <w:rPr>
          <w:szCs w:val="22"/>
        </w:rPr>
        <w:t>auch Post-Regulierung (2014=</w:t>
      </w:r>
      <w:r w:rsidRPr="00070EF6">
        <w:rPr>
          <w:szCs w:val="22"/>
        </w:rPr>
        <w:t>5 %) in der deutlichen Minderheit</w:t>
      </w:r>
      <w:r w:rsidR="00227607">
        <w:rPr>
          <w:szCs w:val="22"/>
        </w:rPr>
        <w:t xml:space="preserve">. </w:t>
      </w:r>
      <w:r>
        <w:rPr>
          <w:szCs w:val="22"/>
        </w:rPr>
        <w:t xml:space="preserve">Dieser </w:t>
      </w:r>
      <w:r w:rsidRPr="00070EF6">
        <w:rPr>
          <w:szCs w:val="22"/>
        </w:rPr>
        <w:t xml:space="preserve">Trend </w:t>
      </w:r>
      <w:r>
        <w:rPr>
          <w:szCs w:val="22"/>
        </w:rPr>
        <w:t>zeigt</w:t>
      </w:r>
      <w:r w:rsidRPr="00070EF6">
        <w:rPr>
          <w:szCs w:val="22"/>
        </w:rPr>
        <w:t xml:space="preserve"> sich </w:t>
      </w:r>
      <w:r>
        <w:rPr>
          <w:szCs w:val="22"/>
        </w:rPr>
        <w:t>eindrücklich auch im</w:t>
      </w:r>
      <w:r w:rsidRPr="00070EF6">
        <w:rPr>
          <w:szCs w:val="22"/>
        </w:rPr>
        <w:t xml:space="preserve"> Rückgang </w:t>
      </w:r>
      <w:r>
        <w:rPr>
          <w:szCs w:val="22"/>
        </w:rPr>
        <w:t>der</w:t>
      </w:r>
      <w:r w:rsidRPr="00070EF6">
        <w:rPr>
          <w:szCs w:val="22"/>
        </w:rPr>
        <w:t xml:space="preserve"> </w:t>
      </w:r>
      <w:r>
        <w:rPr>
          <w:szCs w:val="22"/>
        </w:rPr>
        <w:t>abs</w:t>
      </w:r>
      <w:r>
        <w:rPr>
          <w:szCs w:val="22"/>
        </w:rPr>
        <w:t>o</w:t>
      </w:r>
      <w:r>
        <w:rPr>
          <w:szCs w:val="22"/>
        </w:rPr>
        <w:t xml:space="preserve">luten Zahlen, die sich quasi halbiert haben </w:t>
      </w:r>
      <w:r w:rsidRPr="00070EF6">
        <w:rPr>
          <w:szCs w:val="22"/>
        </w:rPr>
        <w:t>(</w:t>
      </w:r>
      <w:r w:rsidR="007C55FB">
        <w:rPr>
          <w:rFonts w:cs="Times New Roman"/>
          <w:color w:val="000000"/>
          <w:szCs w:val="22"/>
        </w:rPr>
        <w:t>von 146.423 auf 78.</w:t>
      </w:r>
      <w:r w:rsidRPr="00070EF6">
        <w:rPr>
          <w:rFonts w:cs="Times New Roman"/>
          <w:color w:val="000000"/>
          <w:szCs w:val="22"/>
        </w:rPr>
        <w:t>018 Personen in den Jahren 2004 bis 2014</w:t>
      </w:r>
      <w:r w:rsidR="00227607">
        <w:rPr>
          <w:rFonts w:cs="Times New Roman"/>
          <w:color w:val="000000"/>
          <w:szCs w:val="22"/>
        </w:rPr>
        <w:t>).</w:t>
      </w:r>
    </w:p>
    <w:p w14:paraId="0B25B710" w14:textId="5B03706F" w:rsidR="00FD1963" w:rsidRDefault="00FD1963" w:rsidP="00FD1963">
      <w:pPr>
        <w:pStyle w:val="KeinLeerraum"/>
        <w:numPr>
          <w:ilvl w:val="0"/>
          <w:numId w:val="16"/>
        </w:numPr>
        <w:tabs>
          <w:tab w:val="clear" w:pos="720"/>
          <w:tab w:val="num" w:pos="284"/>
        </w:tabs>
        <w:spacing w:line="276" w:lineRule="auto"/>
        <w:ind w:left="284" w:hanging="284"/>
        <w:jc w:val="both"/>
        <w:rPr>
          <w:szCs w:val="22"/>
        </w:rPr>
      </w:pPr>
      <w:r>
        <w:rPr>
          <w:szCs w:val="22"/>
        </w:rPr>
        <w:t>D</w:t>
      </w:r>
      <w:r w:rsidRPr="00F27FC2">
        <w:rPr>
          <w:szCs w:val="22"/>
        </w:rPr>
        <w:t xml:space="preserve">er prozentuale Anteil der </w:t>
      </w:r>
      <w:r>
        <w:rPr>
          <w:szCs w:val="22"/>
        </w:rPr>
        <w:t>12-17-Jährigen</w:t>
      </w:r>
      <w:r w:rsidRPr="00F27FC2">
        <w:rPr>
          <w:szCs w:val="22"/>
        </w:rPr>
        <w:t>, die sich wegen Problemen mit ihrem Marihuana-Konsum in Behandl</w:t>
      </w:r>
      <w:r>
        <w:rPr>
          <w:szCs w:val="22"/>
        </w:rPr>
        <w:t xml:space="preserve">ung begeben haben, </w:t>
      </w:r>
      <w:r w:rsidRPr="00F27FC2">
        <w:rPr>
          <w:szCs w:val="22"/>
        </w:rPr>
        <w:t>ist</w:t>
      </w:r>
      <w:r>
        <w:rPr>
          <w:szCs w:val="22"/>
        </w:rPr>
        <w:t xml:space="preserve"> zwischen 2004 (64 %) und 2014</w:t>
      </w:r>
      <w:r w:rsidRPr="00F27FC2">
        <w:rPr>
          <w:szCs w:val="22"/>
        </w:rPr>
        <w:t xml:space="preserve"> (76 %) </w:t>
      </w:r>
      <w:r>
        <w:rPr>
          <w:szCs w:val="22"/>
        </w:rPr>
        <w:t xml:space="preserve">ohne Piek </w:t>
      </w:r>
      <w:r w:rsidRPr="00F27FC2">
        <w:rPr>
          <w:szCs w:val="22"/>
        </w:rPr>
        <w:t>kontinuierlich gestiegen</w:t>
      </w:r>
      <w:r>
        <w:rPr>
          <w:szCs w:val="22"/>
        </w:rPr>
        <w:t xml:space="preserve">. Zu beachten ist jedoch, dass </w:t>
      </w:r>
      <w:r w:rsidRPr="00F27FC2">
        <w:rPr>
          <w:szCs w:val="22"/>
        </w:rPr>
        <w:t>die absolute Zahl der Behandlungsfälle in die</w:t>
      </w:r>
      <w:r>
        <w:rPr>
          <w:szCs w:val="22"/>
        </w:rPr>
        <w:t>sem Zeitraum um 36</w:t>
      </w:r>
      <w:r w:rsidRPr="00F27FC2">
        <w:rPr>
          <w:szCs w:val="22"/>
        </w:rPr>
        <w:t xml:space="preserve"> % gesunken </w:t>
      </w:r>
      <w:r>
        <w:rPr>
          <w:szCs w:val="22"/>
        </w:rPr>
        <w:t xml:space="preserve">ist </w:t>
      </w:r>
      <w:r w:rsidRPr="00F27FC2">
        <w:rPr>
          <w:szCs w:val="22"/>
        </w:rPr>
        <w:t xml:space="preserve">(von </w:t>
      </w:r>
      <w:r>
        <w:rPr>
          <w:rFonts w:ascii="Times New Roman" w:hAnsi="Times New Roman"/>
          <w:sz w:val="24"/>
        </w:rPr>
        <w:t xml:space="preserve">93,474 auf 59,549 </w:t>
      </w:r>
      <w:r>
        <w:rPr>
          <w:szCs w:val="22"/>
        </w:rPr>
        <w:t>in der Zeit von 2004 bis 2014</w:t>
      </w:r>
      <w:r w:rsidR="00227607">
        <w:rPr>
          <w:szCs w:val="22"/>
        </w:rPr>
        <w:t xml:space="preserve">). </w:t>
      </w:r>
      <w:r>
        <w:rPr>
          <w:szCs w:val="22"/>
        </w:rPr>
        <w:t>Das bedeutet, dass bei den</w:t>
      </w:r>
      <w:r w:rsidRPr="00532BD9">
        <w:rPr>
          <w:szCs w:val="22"/>
        </w:rPr>
        <w:t xml:space="preserve"> 12-17</w:t>
      </w:r>
      <w:r>
        <w:rPr>
          <w:szCs w:val="22"/>
        </w:rPr>
        <w:t>-</w:t>
      </w:r>
      <w:r w:rsidRPr="00532BD9">
        <w:rPr>
          <w:szCs w:val="22"/>
        </w:rPr>
        <w:t xml:space="preserve">Jährigen </w:t>
      </w:r>
      <w:r>
        <w:rPr>
          <w:szCs w:val="22"/>
        </w:rPr>
        <w:t>zwar die</w:t>
      </w:r>
      <w:r w:rsidRPr="00532BD9">
        <w:rPr>
          <w:szCs w:val="22"/>
        </w:rPr>
        <w:t xml:space="preserve"> Inanspruchnahme </w:t>
      </w:r>
      <w:r>
        <w:rPr>
          <w:szCs w:val="22"/>
        </w:rPr>
        <w:t>von Cannabis-</w:t>
      </w:r>
      <w:r w:rsidRPr="00532BD9">
        <w:rPr>
          <w:szCs w:val="22"/>
        </w:rPr>
        <w:t>Behandlungen dominiert</w:t>
      </w:r>
      <w:r>
        <w:rPr>
          <w:szCs w:val="22"/>
        </w:rPr>
        <w:t xml:space="preserve">, diese am Zustandekommen anderer Behandlungsfallzahlen nur wenig beteiligt sind (vgl. ebenda). Insofern haben sich also im Vergleich zu den Vorjahren in dieser Altersgruppe Probleme mit anderen psychoaktiven Substanzen (Alkohol, Kokain, </w:t>
      </w:r>
      <w:r w:rsidRPr="007F2F38">
        <w:rPr>
          <w:szCs w:val="22"/>
        </w:rPr>
        <w:t>M</w:t>
      </w:r>
      <w:r w:rsidRPr="007F2F38">
        <w:rPr>
          <w:szCs w:val="22"/>
        </w:rPr>
        <w:t>e</w:t>
      </w:r>
      <w:r w:rsidRPr="007F2F38">
        <w:rPr>
          <w:szCs w:val="22"/>
        </w:rPr>
        <w:t xml:space="preserve">thamphetamine) </w:t>
      </w:r>
      <w:r>
        <w:rPr>
          <w:szCs w:val="22"/>
        </w:rPr>
        <w:t xml:space="preserve">offenkundig </w:t>
      </w:r>
      <w:r w:rsidRPr="007F2F38">
        <w:rPr>
          <w:szCs w:val="22"/>
        </w:rPr>
        <w:t>relativiert</w:t>
      </w:r>
      <w:r>
        <w:rPr>
          <w:szCs w:val="22"/>
        </w:rPr>
        <w:t>.</w:t>
      </w:r>
      <w:r w:rsidRPr="007F2F38">
        <w:rPr>
          <w:szCs w:val="22"/>
        </w:rPr>
        <w:t xml:space="preserve"> </w:t>
      </w:r>
    </w:p>
    <w:p w14:paraId="40EC9796" w14:textId="663D85CA" w:rsidR="00FD1963" w:rsidRDefault="00FD1963" w:rsidP="00FD1963">
      <w:pPr>
        <w:pStyle w:val="KeinLeerraum"/>
        <w:numPr>
          <w:ilvl w:val="0"/>
          <w:numId w:val="16"/>
        </w:numPr>
        <w:tabs>
          <w:tab w:val="clear" w:pos="720"/>
          <w:tab w:val="num" w:pos="284"/>
        </w:tabs>
        <w:spacing w:line="276" w:lineRule="auto"/>
        <w:ind w:left="284" w:hanging="284"/>
        <w:jc w:val="both"/>
        <w:rPr>
          <w:szCs w:val="22"/>
        </w:rPr>
      </w:pPr>
      <w:r>
        <w:rPr>
          <w:szCs w:val="22"/>
        </w:rPr>
        <w:t xml:space="preserve">Der Anteil der 18-29-Jährigen an der Gesamtzahl der Behandlungen stieg sanft und ebenfalls ohne Piek Prä- und Postregulierung (2004 = 31 %, 2014 = 34 % </w:t>
      </w:r>
      <w:r w:rsidR="00227607">
        <w:rPr>
          <w:szCs w:val="22"/>
        </w:rPr>
        <w:t xml:space="preserve">). </w:t>
      </w:r>
      <w:r>
        <w:rPr>
          <w:szCs w:val="22"/>
        </w:rPr>
        <w:t>Dies ist auch die Alter</w:t>
      </w:r>
      <w:r>
        <w:rPr>
          <w:szCs w:val="22"/>
        </w:rPr>
        <w:t>s</w:t>
      </w:r>
      <w:r>
        <w:rPr>
          <w:szCs w:val="22"/>
        </w:rPr>
        <w:t>gruppe, die von den Regulierungen des Marihuana-Konsums profitiert.</w:t>
      </w:r>
    </w:p>
    <w:p w14:paraId="4F8026DD" w14:textId="614273AB" w:rsidR="00FD1963" w:rsidRPr="00070EF6" w:rsidRDefault="00FD1963" w:rsidP="00FD1963">
      <w:pPr>
        <w:pStyle w:val="KeinLeerraum"/>
        <w:numPr>
          <w:ilvl w:val="0"/>
          <w:numId w:val="16"/>
        </w:numPr>
        <w:tabs>
          <w:tab w:val="clear" w:pos="720"/>
          <w:tab w:val="num" w:pos="284"/>
        </w:tabs>
        <w:spacing w:line="276" w:lineRule="auto"/>
        <w:ind w:left="284" w:hanging="284"/>
        <w:jc w:val="both"/>
        <w:rPr>
          <w:szCs w:val="22"/>
        </w:rPr>
      </w:pPr>
      <w:r>
        <w:rPr>
          <w:szCs w:val="22"/>
        </w:rPr>
        <w:t>Das Durchschnittsalter der wegen Marihuana-Konsums Behandelten ist Postregulierung b</w:t>
      </w:r>
      <w:r>
        <w:rPr>
          <w:szCs w:val="22"/>
        </w:rPr>
        <w:t>e</w:t>
      </w:r>
      <w:r>
        <w:rPr>
          <w:szCs w:val="22"/>
        </w:rPr>
        <w:t xml:space="preserve">stiegen (2012=25 Jahre, 2014=26 Jahre). </w:t>
      </w:r>
    </w:p>
    <w:p w14:paraId="025FD02B" w14:textId="6F3F8F34" w:rsidR="00FD1963" w:rsidRDefault="00FD1963" w:rsidP="00FD1963">
      <w:pPr>
        <w:pStyle w:val="KeinLeerraum"/>
        <w:numPr>
          <w:ilvl w:val="0"/>
          <w:numId w:val="16"/>
        </w:numPr>
        <w:tabs>
          <w:tab w:val="clear" w:pos="720"/>
          <w:tab w:val="num" w:pos="284"/>
        </w:tabs>
        <w:spacing w:line="276" w:lineRule="auto"/>
        <w:ind w:left="284" w:hanging="284"/>
        <w:jc w:val="both"/>
        <w:rPr>
          <w:szCs w:val="22"/>
        </w:rPr>
      </w:pPr>
      <w:r>
        <w:rPr>
          <w:iCs/>
          <w:szCs w:val="22"/>
        </w:rPr>
        <w:t xml:space="preserve">Herauszustellen ist, </w:t>
      </w:r>
      <w:r w:rsidRPr="00344326">
        <w:rPr>
          <w:iCs/>
          <w:szCs w:val="22"/>
        </w:rPr>
        <w:t>dass</w:t>
      </w:r>
      <w:r w:rsidRPr="00B37E29">
        <w:rPr>
          <w:szCs w:val="22"/>
        </w:rPr>
        <w:t xml:space="preserve"> </w:t>
      </w:r>
      <w:r>
        <w:rPr>
          <w:szCs w:val="22"/>
        </w:rPr>
        <w:t xml:space="preserve">unabhängig von den drogenpolitischen Regulierungen die 12-17-Jährigen nur im geringen Umfang freiwillig eine Behandlung wegen ihren Marihuana-Konsums aufnehmen (nur </w:t>
      </w:r>
      <w:r w:rsidRPr="00B37E29">
        <w:rPr>
          <w:szCs w:val="22"/>
        </w:rPr>
        <w:t>20 %</w:t>
      </w:r>
      <w:r w:rsidRPr="000C4D79">
        <w:rPr>
          <w:szCs w:val="22"/>
        </w:rPr>
        <w:t xml:space="preserve"> </w:t>
      </w:r>
      <w:r w:rsidRPr="00B37E29">
        <w:rPr>
          <w:szCs w:val="22"/>
        </w:rPr>
        <w:t xml:space="preserve">auf eigene Initiative oder </w:t>
      </w:r>
      <w:r>
        <w:rPr>
          <w:szCs w:val="22"/>
        </w:rPr>
        <w:t>auf</w:t>
      </w:r>
      <w:r w:rsidRPr="00B37E29">
        <w:rPr>
          <w:szCs w:val="22"/>
        </w:rPr>
        <w:t xml:space="preserve"> Initiative vo</w:t>
      </w:r>
      <w:r>
        <w:rPr>
          <w:szCs w:val="22"/>
        </w:rPr>
        <w:t>n Einzelpersonen z. B. Eltern). 4</w:t>
      </w:r>
      <w:r w:rsidRPr="00B37E29">
        <w:rPr>
          <w:szCs w:val="22"/>
        </w:rPr>
        <w:t xml:space="preserve">4 % aller Behandlungsaufnahmen kamen auf Anordnung durch ein Gericht oder Strafvollzugsinstitutionen zustande, 13 % </w:t>
      </w:r>
      <w:r>
        <w:rPr>
          <w:szCs w:val="22"/>
        </w:rPr>
        <w:t>durch</w:t>
      </w:r>
      <w:r w:rsidRPr="00B37E29">
        <w:rPr>
          <w:szCs w:val="22"/>
        </w:rPr>
        <w:t xml:space="preserve"> </w:t>
      </w:r>
      <w:r>
        <w:rPr>
          <w:szCs w:val="22"/>
        </w:rPr>
        <w:t>die</w:t>
      </w:r>
      <w:r w:rsidRPr="00B37E29">
        <w:rPr>
          <w:szCs w:val="22"/>
        </w:rPr>
        <w:t xml:space="preserve"> Schule</w:t>
      </w:r>
      <w:r>
        <w:rPr>
          <w:szCs w:val="22"/>
        </w:rPr>
        <w:t>, der Rest durch andere Instituti</w:t>
      </w:r>
      <w:r>
        <w:rPr>
          <w:szCs w:val="22"/>
        </w:rPr>
        <w:t>o</w:t>
      </w:r>
      <w:r>
        <w:rPr>
          <w:szCs w:val="22"/>
        </w:rPr>
        <w:t>nen. Offensichtlich wurde mit Einführung der Regulierung insbesondere bei 12-17-Jährigen schneller eine</w:t>
      </w:r>
      <w:r w:rsidRPr="00B37E29">
        <w:rPr>
          <w:szCs w:val="22"/>
        </w:rPr>
        <w:t xml:space="preserve"> </w:t>
      </w:r>
      <w:r>
        <w:rPr>
          <w:szCs w:val="22"/>
        </w:rPr>
        <w:t>Behandlungsaufnahme</w:t>
      </w:r>
      <w:r w:rsidRPr="00B37E29">
        <w:rPr>
          <w:szCs w:val="22"/>
        </w:rPr>
        <w:t xml:space="preserve"> </w:t>
      </w:r>
      <w:r>
        <w:rPr>
          <w:szCs w:val="22"/>
        </w:rPr>
        <w:t>angeordnet, wenn bei einem Delikt auch Marihuana als Erst-, Zweit- oder Dritt-Substanz eine Rolle gespielt hat. Dies deutet auf eine veränderte Strafpraxis.</w:t>
      </w:r>
    </w:p>
    <w:p w14:paraId="30C1B9F8" w14:textId="73089AEA" w:rsidR="00FD1963" w:rsidRPr="00505029" w:rsidRDefault="00FD1963" w:rsidP="00FD1963">
      <w:pPr>
        <w:pStyle w:val="KeinLeerraum"/>
        <w:numPr>
          <w:ilvl w:val="0"/>
          <w:numId w:val="16"/>
        </w:numPr>
        <w:tabs>
          <w:tab w:val="clear" w:pos="720"/>
          <w:tab w:val="num" w:pos="284"/>
        </w:tabs>
        <w:spacing w:line="276" w:lineRule="auto"/>
        <w:ind w:left="284" w:hanging="284"/>
        <w:jc w:val="both"/>
        <w:rPr>
          <w:szCs w:val="22"/>
        </w:rPr>
      </w:pPr>
      <w:r>
        <w:rPr>
          <w:szCs w:val="22"/>
        </w:rPr>
        <w:t xml:space="preserve">Im Vergleich zu den Vorjahren geht zeitversetzt mit dem Regulierungsprozess (2014) die Zahl der Therapieauflagen durch Gerichte/Strafverfolgungsinstitutionen langsam zurück (41 %); statt dessen werden die </w:t>
      </w:r>
      <w:r w:rsidRPr="000C4D79">
        <w:rPr>
          <w:szCs w:val="22"/>
        </w:rPr>
        <w:t xml:space="preserve">Jugendlichen </w:t>
      </w:r>
      <w:r>
        <w:rPr>
          <w:szCs w:val="22"/>
        </w:rPr>
        <w:t xml:space="preserve">nun </w:t>
      </w:r>
      <w:r w:rsidRPr="000C4D79">
        <w:rPr>
          <w:szCs w:val="22"/>
        </w:rPr>
        <w:t>durch andere Institutionen zu einer Therapi</w:t>
      </w:r>
      <w:r w:rsidRPr="000C4D79">
        <w:rPr>
          <w:szCs w:val="22"/>
        </w:rPr>
        <w:t>e</w:t>
      </w:r>
      <w:r w:rsidR="00227607">
        <w:rPr>
          <w:szCs w:val="22"/>
        </w:rPr>
        <w:t>aufnahme gedrängt (49 %)</w:t>
      </w:r>
      <w:r w:rsidRPr="000C4D79">
        <w:rPr>
          <w:szCs w:val="22"/>
        </w:rPr>
        <w:t xml:space="preserve">. Die Hintergründe dieser veränderten Strafpraxis </w:t>
      </w:r>
      <w:r>
        <w:rPr>
          <w:szCs w:val="22"/>
        </w:rPr>
        <w:t>konnten nicht geklärt werden</w:t>
      </w:r>
      <w:r w:rsidRPr="000C4D79">
        <w:rPr>
          <w:szCs w:val="22"/>
        </w:rPr>
        <w:t>.</w:t>
      </w:r>
      <w:r>
        <w:rPr>
          <w:color w:val="FF0000"/>
          <w:szCs w:val="22"/>
        </w:rPr>
        <w:t xml:space="preserve">  </w:t>
      </w:r>
    </w:p>
    <w:p w14:paraId="1308295A" w14:textId="2F0E25BE" w:rsidR="00FD1963" w:rsidRPr="00D55E74" w:rsidRDefault="00FD1963" w:rsidP="00FD1963">
      <w:pPr>
        <w:pStyle w:val="KeinLeerraum"/>
        <w:numPr>
          <w:ilvl w:val="0"/>
          <w:numId w:val="16"/>
        </w:numPr>
        <w:spacing w:line="276" w:lineRule="auto"/>
        <w:ind w:left="284" w:hanging="284"/>
        <w:jc w:val="both"/>
      </w:pPr>
      <w:r w:rsidRPr="006B12F8">
        <w:rPr>
          <w:iCs/>
          <w:szCs w:val="22"/>
        </w:rPr>
        <w:t>Interessant ist zudem, dass</w:t>
      </w:r>
      <w:r w:rsidRPr="00505029">
        <w:t xml:space="preserve"> </w:t>
      </w:r>
      <w:r>
        <w:t xml:space="preserve">diejenigen, die </w:t>
      </w:r>
      <w:r w:rsidRPr="00505029">
        <w:t>sich wegen problematischen Marihuana-Konsums in Behandlungen beg</w:t>
      </w:r>
      <w:r>
        <w:t xml:space="preserve">eben, schon sehr früh mit diesem Konsum begannen: </w:t>
      </w:r>
      <w:r w:rsidRPr="00505029">
        <w:t>24 % der in B</w:t>
      </w:r>
      <w:r w:rsidRPr="00505029">
        <w:t>e</w:t>
      </w:r>
      <w:r w:rsidRPr="00505029">
        <w:t>handlung befindlichen Personen im 12. Lebensjahr</w:t>
      </w:r>
      <w:r>
        <w:t xml:space="preserve">, </w:t>
      </w:r>
      <w:r w:rsidRPr="00505029">
        <w:t xml:space="preserve">30 % im 14. Lebensjahr. </w:t>
      </w:r>
      <w:r>
        <w:t xml:space="preserve">Damit </w:t>
      </w:r>
      <w:r w:rsidRPr="00505029">
        <w:t xml:space="preserve">deutet sich an, dass ein frühzeitiger Konsumbeginn zu einem Prädiktor wird, </w:t>
      </w:r>
      <w:r>
        <w:t xml:space="preserve">um später </w:t>
      </w:r>
      <w:r w:rsidRPr="00505029">
        <w:t>als Kons</w:t>
      </w:r>
      <w:r w:rsidRPr="00505029">
        <w:t>u</w:t>
      </w:r>
      <w:r w:rsidRPr="00505029">
        <w:t xml:space="preserve">ment auffällig zu werden und eine Behandlung </w:t>
      </w:r>
      <w:r>
        <w:t>zu benötigen</w:t>
      </w:r>
      <w:r w:rsidRPr="00505029">
        <w:t xml:space="preserve">. </w:t>
      </w:r>
      <w:r>
        <w:t xml:space="preserve">Allerdings kann auch wegen der hohen Zahl der disziplinarisch angeordneten Behandlungen </w:t>
      </w:r>
      <w:r w:rsidRPr="00505029">
        <w:t>aus diesen Daten nicht abgeleitet wer</w:t>
      </w:r>
      <w:r>
        <w:t>den, wieweit</w:t>
      </w:r>
      <w:r w:rsidRPr="00505029">
        <w:t xml:space="preserve"> die</w:t>
      </w:r>
      <w:r>
        <w:t xml:space="preserve"> Behandlungsaufnahmen</w:t>
      </w:r>
      <w:r w:rsidRPr="00505029">
        <w:t xml:space="preserve"> zugleich für eine besondere Problematik der Konsummuster spricht</w:t>
      </w:r>
      <w:r>
        <w:t>.</w:t>
      </w:r>
      <w:r w:rsidRPr="00505029">
        <w:t xml:space="preserve"> </w:t>
      </w:r>
      <w:r>
        <w:rPr>
          <w:iCs/>
          <w:szCs w:val="22"/>
        </w:rPr>
        <w:t>Da</w:t>
      </w:r>
      <w:r w:rsidRPr="006B12F8">
        <w:rPr>
          <w:iCs/>
          <w:szCs w:val="22"/>
        </w:rPr>
        <w:t xml:space="preserve"> für problematische Marihuana-Konsumformen mehrheitlich a</w:t>
      </w:r>
      <w:r w:rsidRPr="006B12F8">
        <w:rPr>
          <w:iCs/>
          <w:szCs w:val="22"/>
        </w:rPr>
        <w:t>m</w:t>
      </w:r>
      <w:r w:rsidRPr="006B12F8">
        <w:rPr>
          <w:iCs/>
          <w:szCs w:val="22"/>
        </w:rPr>
        <w:t xml:space="preserve">bulante Behandlungssettings genutzt werden, </w:t>
      </w:r>
      <w:r>
        <w:rPr>
          <w:iCs/>
          <w:szCs w:val="22"/>
        </w:rPr>
        <w:t>ist</w:t>
      </w:r>
      <w:r w:rsidRPr="006B12F8">
        <w:rPr>
          <w:iCs/>
          <w:szCs w:val="22"/>
        </w:rPr>
        <w:t xml:space="preserve"> </w:t>
      </w:r>
      <w:r>
        <w:rPr>
          <w:iCs/>
          <w:szCs w:val="22"/>
        </w:rPr>
        <w:t>der</w:t>
      </w:r>
      <w:r w:rsidRPr="006B12F8">
        <w:rPr>
          <w:iCs/>
          <w:szCs w:val="22"/>
        </w:rPr>
        <w:t xml:space="preserve"> Schluss zu</w:t>
      </w:r>
      <w:r>
        <w:rPr>
          <w:iCs/>
          <w:szCs w:val="22"/>
        </w:rPr>
        <w:t>lässig</w:t>
      </w:r>
      <w:r w:rsidRPr="006B12F8">
        <w:rPr>
          <w:iCs/>
          <w:szCs w:val="22"/>
        </w:rPr>
        <w:t xml:space="preserve">, dass </w:t>
      </w:r>
      <w:r>
        <w:rPr>
          <w:iCs/>
          <w:szCs w:val="22"/>
        </w:rPr>
        <w:t>es sich in der R</w:t>
      </w:r>
      <w:r>
        <w:rPr>
          <w:iCs/>
          <w:szCs w:val="22"/>
        </w:rPr>
        <w:t>e</w:t>
      </w:r>
      <w:r>
        <w:rPr>
          <w:iCs/>
          <w:szCs w:val="22"/>
        </w:rPr>
        <w:t xml:space="preserve">gel um </w:t>
      </w:r>
      <w:r w:rsidRPr="006B12F8">
        <w:rPr>
          <w:iCs/>
          <w:szCs w:val="22"/>
        </w:rPr>
        <w:t xml:space="preserve">vergleichsweise leicht behandelbare Probleme </w:t>
      </w:r>
      <w:r>
        <w:rPr>
          <w:iCs/>
          <w:szCs w:val="22"/>
        </w:rPr>
        <w:t>handelt</w:t>
      </w:r>
      <w:r w:rsidRPr="006B12F8">
        <w:rPr>
          <w:iCs/>
          <w:szCs w:val="22"/>
        </w:rPr>
        <w:t>.</w:t>
      </w:r>
    </w:p>
    <w:p w14:paraId="3B272C66" w14:textId="77777777" w:rsidR="00FD1963" w:rsidRDefault="00FD1963" w:rsidP="00FD1963">
      <w:pPr>
        <w:pStyle w:val="KeinLeerraum"/>
        <w:spacing w:line="276" w:lineRule="auto"/>
        <w:ind w:left="720"/>
        <w:jc w:val="both"/>
        <w:rPr>
          <w:szCs w:val="22"/>
        </w:rPr>
      </w:pPr>
    </w:p>
    <w:p w14:paraId="68DF2290" w14:textId="4CCABA7F" w:rsidR="00FD1963" w:rsidRDefault="00FD1963" w:rsidP="00FD1963">
      <w:pPr>
        <w:pStyle w:val="KeinLeerraum"/>
        <w:spacing w:line="276" w:lineRule="auto"/>
        <w:jc w:val="both"/>
        <w:rPr>
          <w:iCs/>
          <w:szCs w:val="22"/>
        </w:rPr>
      </w:pPr>
      <w:r>
        <w:rPr>
          <w:iCs/>
          <w:szCs w:val="22"/>
        </w:rPr>
        <w:t>Diese nationalen Daten verdeutlichen, dass die vielfältigen Schritte einer Entkriminalisierung und Legalisierung in den USA nicht zu dem oft angenommenen rasanten Anstieg von Therapi</w:t>
      </w:r>
      <w:r>
        <w:rPr>
          <w:iCs/>
          <w:szCs w:val="22"/>
        </w:rPr>
        <w:t>e</w:t>
      </w:r>
      <w:r>
        <w:rPr>
          <w:iCs/>
          <w:szCs w:val="22"/>
        </w:rPr>
        <w:t xml:space="preserve">fällen unter Jugendlichen geführt haben. Unübersehbar ist allerdings, dass die 12-25-Jährigen diejenigen sind, die überproportional nach Therapien bei problematischem Marihuana-Konsum nachfragen. Dies erklärt sich aber vor allem daraus, dass diese Altersgruppe auch diejenigen ist, für die epidemiologisch die höchsten Konsumraten ausgewiesen werden. </w:t>
      </w:r>
    </w:p>
    <w:p w14:paraId="08282452" w14:textId="77777777" w:rsidR="00FD1963" w:rsidRDefault="00FD1963" w:rsidP="00227607">
      <w:pPr>
        <w:pStyle w:val="berschrift2"/>
      </w:pPr>
      <w:bookmarkStart w:id="8" w:name="_Toc349300337"/>
      <w:r w:rsidRPr="009D3BD9">
        <w:t xml:space="preserve">Regulierungsprozesse </w:t>
      </w:r>
      <w:r>
        <w:t>und</w:t>
      </w:r>
      <w:r w:rsidRPr="009D3BD9">
        <w:t xml:space="preserve"> die gesundheitliche Lage der Bevölkerung</w:t>
      </w:r>
      <w:bookmarkEnd w:id="8"/>
    </w:p>
    <w:p w14:paraId="07061803" w14:textId="77777777" w:rsidR="00FD1963" w:rsidRDefault="00FD1963" w:rsidP="00FD1963">
      <w:pPr>
        <w:spacing w:line="276" w:lineRule="auto"/>
        <w:jc w:val="both"/>
        <w:rPr>
          <w:rFonts w:cs="Times"/>
          <w:szCs w:val="22"/>
        </w:rPr>
      </w:pPr>
      <w:r>
        <w:rPr>
          <w:rFonts w:cs="Times"/>
          <w:szCs w:val="22"/>
        </w:rPr>
        <w:t>Hinweise zu Veränderungen in der gesundheitlichen Lage der Bevölkerung ergeben auch Stati</w:t>
      </w:r>
      <w:r>
        <w:rPr>
          <w:rFonts w:cs="Times"/>
          <w:szCs w:val="22"/>
        </w:rPr>
        <w:t>s</w:t>
      </w:r>
      <w:r>
        <w:rPr>
          <w:rFonts w:cs="Times"/>
          <w:szCs w:val="22"/>
        </w:rPr>
        <w:t>tiken sowohl zur Zahl der Anrufer, die nach eigenen Einschätzungen wegen Sorgen und Schwi</w:t>
      </w:r>
      <w:r>
        <w:rPr>
          <w:rFonts w:cs="Times"/>
          <w:szCs w:val="22"/>
        </w:rPr>
        <w:t>e</w:t>
      </w:r>
      <w:r>
        <w:rPr>
          <w:rFonts w:cs="Times"/>
          <w:szCs w:val="22"/>
        </w:rPr>
        <w:t>rigkeiten durch Marihuana-Konsum Expertenrat suchen, als auch zu Nachfragen in Rettungsste</w:t>
      </w:r>
      <w:r>
        <w:rPr>
          <w:rFonts w:cs="Times"/>
          <w:szCs w:val="22"/>
        </w:rPr>
        <w:t>l</w:t>
      </w:r>
      <w:r>
        <w:rPr>
          <w:rFonts w:cs="Times"/>
          <w:szCs w:val="22"/>
        </w:rPr>
        <w:t>len und Notaufnahmen, für die ein Zusammenhang mit einem Marihuana-Konsum hergestellt wurde:</w:t>
      </w:r>
    </w:p>
    <w:p w14:paraId="0FD3E3BD" w14:textId="77777777" w:rsidR="00FD1963" w:rsidRPr="00F25825" w:rsidRDefault="00FD1963" w:rsidP="00FD1963">
      <w:pPr>
        <w:pStyle w:val="Listenabsatz"/>
        <w:numPr>
          <w:ilvl w:val="0"/>
          <w:numId w:val="30"/>
        </w:numPr>
        <w:spacing w:line="276" w:lineRule="auto"/>
        <w:jc w:val="both"/>
        <w:rPr>
          <w:rFonts w:cs="Times"/>
          <w:szCs w:val="22"/>
        </w:rPr>
      </w:pPr>
      <w:r w:rsidRPr="00F25825">
        <w:rPr>
          <w:rFonts w:cs="Calibri"/>
          <w:color w:val="000000"/>
          <w:szCs w:val="22"/>
        </w:rPr>
        <w:t>Wenngleich die absoluten Zahlen (119 Fälle in Washington, 227 Fälle in Colorado) we</w:t>
      </w:r>
      <w:r w:rsidRPr="00F25825">
        <w:rPr>
          <w:rFonts w:cs="Calibri"/>
          <w:color w:val="000000"/>
          <w:szCs w:val="22"/>
        </w:rPr>
        <w:t>i</w:t>
      </w:r>
      <w:r w:rsidRPr="00F25825">
        <w:rPr>
          <w:rFonts w:cs="Calibri"/>
          <w:color w:val="000000"/>
          <w:szCs w:val="22"/>
        </w:rPr>
        <w:t xml:space="preserve">terhin überschaubar bleiben, setzt der Anstieg der Fallzahlen Achtungszeichen. </w:t>
      </w:r>
    </w:p>
    <w:p w14:paraId="4ED4896C" w14:textId="77777777" w:rsidR="00FD1963" w:rsidRPr="00F25825" w:rsidRDefault="00FD1963" w:rsidP="00FD1963">
      <w:pPr>
        <w:pStyle w:val="Listenabsatz"/>
        <w:keepNext/>
        <w:numPr>
          <w:ilvl w:val="0"/>
          <w:numId w:val="30"/>
        </w:numPr>
        <w:spacing w:line="276" w:lineRule="auto"/>
        <w:jc w:val="both"/>
        <w:rPr>
          <w:rFonts w:cs="Times"/>
          <w:szCs w:val="22"/>
        </w:rPr>
      </w:pPr>
      <w:r w:rsidRPr="00F25825">
        <w:rPr>
          <w:rFonts w:cs="Times"/>
          <w:szCs w:val="22"/>
        </w:rPr>
        <w:t>Besonders stark stieg die Nachfrage nach Expertenrat in Zusammenhang mit einem M</w:t>
      </w:r>
      <w:r w:rsidRPr="00F25825">
        <w:rPr>
          <w:rFonts w:cs="Times"/>
          <w:szCs w:val="22"/>
        </w:rPr>
        <w:t>a</w:t>
      </w:r>
      <w:r w:rsidRPr="00F25825">
        <w:rPr>
          <w:rFonts w:cs="Times"/>
          <w:szCs w:val="22"/>
        </w:rPr>
        <w:t>rihuana-Konsum von Jugendlichen unter 20 Jahren. Herauszuheben sind dabei Anrufe, die sich auf Unfälle bezogen, in denen offensichtlich Kinder unter acht Jahren Marihuana zu sich genommen hatten – immerhin 64 Fälle in Washington und 49 in Colorado. Wird differenziert, welche Formen von Marihuana im Zuge dieser Unfälle versehentlich ko</w:t>
      </w:r>
      <w:r w:rsidRPr="00F25825">
        <w:rPr>
          <w:rFonts w:cs="Times"/>
          <w:szCs w:val="22"/>
        </w:rPr>
        <w:t>n</w:t>
      </w:r>
      <w:r w:rsidRPr="00F25825">
        <w:rPr>
          <w:rFonts w:cs="Times"/>
          <w:szCs w:val="22"/>
        </w:rPr>
        <w:t>sumiert wurden, dann waren es mehrheitlich Süßigkeiten, Kuchen und Brot („Infused-Products“), denen Marihuana zugesetzt worden war sowie Öle und Lotionen auf der B</w:t>
      </w:r>
      <w:r w:rsidRPr="00F25825">
        <w:rPr>
          <w:rFonts w:cs="Times"/>
          <w:szCs w:val="22"/>
        </w:rPr>
        <w:t>a</w:t>
      </w:r>
      <w:r w:rsidRPr="00F25825">
        <w:rPr>
          <w:rFonts w:cs="Times"/>
          <w:szCs w:val="22"/>
        </w:rPr>
        <w:t>sis hochpoten</w:t>
      </w:r>
      <w:r>
        <w:rPr>
          <w:rFonts w:cs="Times"/>
          <w:szCs w:val="22"/>
        </w:rPr>
        <w:t>ten</w:t>
      </w:r>
      <w:r w:rsidRPr="00F25825">
        <w:rPr>
          <w:rFonts w:cs="Times"/>
          <w:szCs w:val="22"/>
        </w:rPr>
        <w:t xml:space="preserve"> Haschisch-Öl</w:t>
      </w:r>
      <w:r>
        <w:rPr>
          <w:rFonts w:cs="Times"/>
          <w:szCs w:val="22"/>
        </w:rPr>
        <w:t>s</w:t>
      </w:r>
      <w:r w:rsidRPr="00F25825">
        <w:rPr>
          <w:rFonts w:cs="Times"/>
          <w:szCs w:val="22"/>
        </w:rPr>
        <w:t xml:space="preserve">, die offensichtlich nicht passgerecht dosiert wurden. </w:t>
      </w:r>
    </w:p>
    <w:p w14:paraId="4AA8E42D" w14:textId="4C42F813" w:rsidR="00FD1963" w:rsidRDefault="00FD1963" w:rsidP="00FD1963">
      <w:pPr>
        <w:pStyle w:val="Listenabsatz"/>
        <w:keepNext/>
        <w:numPr>
          <w:ilvl w:val="0"/>
          <w:numId w:val="30"/>
        </w:numPr>
        <w:spacing w:line="276" w:lineRule="auto"/>
        <w:jc w:val="both"/>
        <w:rPr>
          <w:rFonts w:cs="Times"/>
          <w:szCs w:val="22"/>
        </w:rPr>
      </w:pPr>
      <w:r w:rsidRPr="00F25825">
        <w:rPr>
          <w:rFonts w:cs="Times"/>
          <w:szCs w:val="22"/>
        </w:rPr>
        <w:t>Für Colorado lässt sich zudem nachweisen, dass es auch in der Zahl der Notfallaufna</w:t>
      </w:r>
      <w:r w:rsidRPr="00F25825">
        <w:rPr>
          <w:rFonts w:cs="Times"/>
          <w:szCs w:val="22"/>
        </w:rPr>
        <w:t>h</w:t>
      </w:r>
      <w:r w:rsidRPr="00F25825">
        <w:rPr>
          <w:rFonts w:cs="Times"/>
          <w:szCs w:val="22"/>
        </w:rPr>
        <w:t xml:space="preserve">men einen signifikanten Anstieg im Zuge der Regulierung gab (von 1440 Fällen </w:t>
      </w:r>
      <w:r>
        <w:rPr>
          <w:rFonts w:cs="Times"/>
          <w:szCs w:val="22"/>
        </w:rPr>
        <w:t>pro</w:t>
      </w:r>
      <w:r w:rsidRPr="00F25825">
        <w:rPr>
          <w:rFonts w:cs="Times"/>
          <w:szCs w:val="22"/>
        </w:rPr>
        <w:t xml:space="preserve"> 100.000 Einwohner in den Jahren 2010-2013 auf 2413 Fälle in den Jahren 2014-2015) und auch die Zahlen der Inanspruchnahme von Rettungsdiensten diesem Trend in sign</w:t>
      </w:r>
      <w:r w:rsidRPr="00F25825">
        <w:rPr>
          <w:rFonts w:cs="Times"/>
          <w:szCs w:val="22"/>
        </w:rPr>
        <w:t>i</w:t>
      </w:r>
      <w:r w:rsidRPr="00F25825">
        <w:rPr>
          <w:rFonts w:cs="Times"/>
          <w:szCs w:val="22"/>
        </w:rPr>
        <w:t>fikanter Weise folgen (von 739 Fällen in den Jahren 2010-2013 auf 956 Fälle per 100.000 Einwohner 2</w:t>
      </w:r>
      <w:r w:rsidR="00227607">
        <w:rPr>
          <w:rFonts w:cs="Times"/>
          <w:szCs w:val="22"/>
        </w:rPr>
        <w:t xml:space="preserve">014-2015). </w:t>
      </w:r>
      <w:r>
        <w:rPr>
          <w:rFonts w:cs="Times"/>
          <w:szCs w:val="22"/>
        </w:rPr>
        <w:t xml:space="preserve">Allerdings </w:t>
      </w:r>
      <w:r w:rsidRPr="00F25825">
        <w:rPr>
          <w:rFonts w:cs="Times"/>
          <w:szCs w:val="22"/>
        </w:rPr>
        <w:t xml:space="preserve">lassen sich </w:t>
      </w:r>
      <w:r>
        <w:rPr>
          <w:rFonts w:cs="Times"/>
          <w:szCs w:val="22"/>
        </w:rPr>
        <w:t>d</w:t>
      </w:r>
      <w:r w:rsidRPr="00F25825">
        <w:rPr>
          <w:rFonts w:cs="Times"/>
          <w:szCs w:val="22"/>
        </w:rPr>
        <w:t xml:space="preserve">ie detaillierten Hintergründe für diese Entwicklungen aus den erhobenen Daten nicht ermitteln, fordern aber zu einer wissenschaftlichen Klärung geradezu auf.  </w:t>
      </w:r>
    </w:p>
    <w:p w14:paraId="4C467A6C" w14:textId="77777777" w:rsidR="00FD1963" w:rsidRPr="00F25825" w:rsidRDefault="00FD1963" w:rsidP="00FD1963">
      <w:pPr>
        <w:pStyle w:val="Listenabsatz"/>
        <w:keepNext/>
        <w:spacing w:line="276" w:lineRule="auto"/>
        <w:jc w:val="both"/>
        <w:rPr>
          <w:rFonts w:cs="Times"/>
          <w:szCs w:val="22"/>
        </w:rPr>
      </w:pPr>
    </w:p>
    <w:p w14:paraId="46D3668A" w14:textId="77777777" w:rsidR="00FD1963" w:rsidRDefault="00FD1963" w:rsidP="00FD1963">
      <w:pPr>
        <w:spacing w:line="276" w:lineRule="auto"/>
        <w:jc w:val="both"/>
      </w:pPr>
      <w:r>
        <w:t xml:space="preserve">Deutlich wird, dass die freie Verfügbarkeit von Marihuana </w:t>
      </w:r>
      <w:r w:rsidRPr="00036F53">
        <w:rPr>
          <w:i/>
        </w:rPr>
        <w:t>erstens</w:t>
      </w:r>
      <w:r>
        <w:t xml:space="preserve"> dazu führt, dass sich eine starke Diversifizierung der konsumierbaren Produkte vollzieht, die u. a. auch mit der Entwic</w:t>
      </w:r>
      <w:r>
        <w:t>k</w:t>
      </w:r>
      <w:r>
        <w:t xml:space="preserve">lung einer neuen Koch- und Backkultur unter Verwendung von Marihuana einher geht. Dabei zeichnen sich allerdings Gefahren ab, dass Marihuana </w:t>
      </w:r>
      <w:r>
        <w:rPr>
          <w:i/>
        </w:rPr>
        <w:t>zweitens</w:t>
      </w:r>
      <w:r>
        <w:t xml:space="preserve"> ungewollt von Kindern und J</w:t>
      </w:r>
      <w:r>
        <w:t>u</w:t>
      </w:r>
      <w:r>
        <w:t xml:space="preserve">gendlichen konsumiert wird, weil diese Produkte nicht als solche deklariert sind, weil sie mit anderen Lebensmitteln verwechselt werden oder den Konsumierenden von anderen Personen als vermeidlich nicht-Marihuana-haltig ausgegeben werden. </w:t>
      </w:r>
      <w:r w:rsidRPr="00671823">
        <w:rPr>
          <w:i/>
        </w:rPr>
        <w:t>Drittens</w:t>
      </w:r>
      <w:r>
        <w:t xml:space="preserve"> kann vermutet werden, dass die im Regulierungsgesetz ausdrücklich festgelegte Forderung, nicht in der Öffentlichkeit und auch nicht öffentlich beobachtbar zu konsumieren, dazu führt, dass dies in den heimischen Wänden erfolgt, wodurch die Wahrscheinlichkeit steigt, dass auch Kinder beispielsweise durch Rauch und Verdampfung ungewollt der Substanz ausgesetzt werden. </w:t>
      </w:r>
      <w:r>
        <w:rPr>
          <w:i/>
        </w:rPr>
        <w:t>Viertens</w:t>
      </w:r>
      <w:r>
        <w:t xml:space="preserve"> entstehen durch hochkonzentrierte Haschisch-Öle schneller Gefahren für eine Überdosierung mit höchst una</w:t>
      </w:r>
      <w:r>
        <w:t>n</w:t>
      </w:r>
      <w:r>
        <w:t>genehmen körperlichen und psychischen Effekten.</w:t>
      </w:r>
    </w:p>
    <w:p w14:paraId="371185CA" w14:textId="77777777" w:rsidR="00FD1963" w:rsidRDefault="00FD1963" w:rsidP="00FD1963">
      <w:pPr>
        <w:spacing w:line="276" w:lineRule="auto"/>
        <w:jc w:val="both"/>
      </w:pPr>
      <w:r>
        <w:t>Abzuwarten bleibt, ob sich diese Entwicklungen als generelle Trends durchsetzen oder durch Lernprozesse zum Umgang mit Marihuana in der Bevölkerung bewältigt werden und sich als ein Durchgangsphänomen herausstellen. Erkennbar ist jedoch, dass sich Krisen und Unfälle beim Umgang mit Marihuana im Zuge einer Regulierung regelmäßig einstellen können, weshalb durch Drogenerziehung und Suchtprävention diverse Aktivitäten gefordert sind, Wissen und Kenntni</w:t>
      </w:r>
      <w:r>
        <w:t>s</w:t>
      </w:r>
      <w:r>
        <w:t xml:space="preserve">se rechtzeitig in der Bevölkerung zu popularisieren und mit alltagspraktischen Hinweisen und Tipps einen Beitrag zu leisten, um diesen unerwünschten Effekte entgegenzutreten. </w:t>
      </w:r>
    </w:p>
    <w:p w14:paraId="36465F10" w14:textId="77777777" w:rsidR="00FD1963" w:rsidRDefault="00FD1963" w:rsidP="00FD1963">
      <w:pPr>
        <w:spacing w:line="276" w:lineRule="auto"/>
        <w:jc w:val="both"/>
      </w:pPr>
      <w:r>
        <w:t>Das Regulierungsmodell Kaliforniens hat aus diesen Bezügen lernend sehr ausführlich und d</w:t>
      </w:r>
      <w:r>
        <w:t>e</w:t>
      </w:r>
      <w:r>
        <w:t>tailliert festgelegt, wie alle Produkte, die in irgendeiner Form Marihuana enthalten, als solche zu deklarieren, gesondert auszuweisen und mit einer Kindersicherung zu versehen sind. Darüber hinaus liegt auf der Hand, dass im Prozess der Umsetzung der Regulierung deutlich darauf hi</w:t>
      </w:r>
      <w:r>
        <w:t>n</w:t>
      </w:r>
      <w:r>
        <w:t>zuweisen ist, wie Marihuana-Produkte im eigenen Haushalt zu lagern sind, damit Kinder, J</w:t>
      </w:r>
      <w:r>
        <w:t>u</w:t>
      </w:r>
      <w:r>
        <w:t>gendliche und nicht geeignete andere Personen keinen Zugang dazu erhalten.</w:t>
      </w:r>
    </w:p>
    <w:p w14:paraId="44B9C9FF" w14:textId="77777777" w:rsidR="00FD1963" w:rsidRDefault="00FD1963" w:rsidP="00FD1963">
      <w:pPr>
        <w:spacing w:line="276" w:lineRule="auto"/>
        <w:jc w:val="both"/>
        <w:rPr>
          <w:rFonts w:cs="Georgia"/>
          <w:szCs w:val="22"/>
        </w:rPr>
      </w:pPr>
      <w:r>
        <w:rPr>
          <w:rFonts w:cs="Georgia"/>
          <w:szCs w:val="22"/>
        </w:rPr>
        <w:t>Leider lässt sich nicht prüfen, ob die Inanspruchnahme des professionellen Hilfesystems unter den Bedingungen der Prohibition in der gleichen Art und Weise erfolgt. Denkbar ist aber, dass es durch die Entkriminalisierung und Entstigmatisierung des Marihuana-Konsums weniger Vorb</w:t>
      </w:r>
      <w:r>
        <w:rPr>
          <w:rFonts w:cs="Georgia"/>
          <w:szCs w:val="22"/>
        </w:rPr>
        <w:t>e</w:t>
      </w:r>
      <w:r>
        <w:rPr>
          <w:rFonts w:cs="Georgia"/>
          <w:szCs w:val="22"/>
        </w:rPr>
        <w:t>halte gibt und damit schneller Hilfe nachgefragt wird, wenn in Zusammenhang mit Marihuana Krisen und Unfälle eintreten. Insofern kann der Anstieg der Fallzahlen nicht unbedingt eine ta</w:t>
      </w:r>
      <w:r>
        <w:rPr>
          <w:rFonts w:cs="Georgia"/>
          <w:szCs w:val="22"/>
        </w:rPr>
        <w:t>t</w:t>
      </w:r>
      <w:r>
        <w:rPr>
          <w:rFonts w:cs="Georgia"/>
          <w:szCs w:val="22"/>
        </w:rPr>
        <w:t>sächliche Entwicklung abbilden, sondern auch auf das Sichtbarwerden eines bisherigen Dunke</w:t>
      </w:r>
      <w:r>
        <w:rPr>
          <w:rFonts w:cs="Georgia"/>
          <w:szCs w:val="22"/>
        </w:rPr>
        <w:t>l</w:t>
      </w:r>
      <w:r>
        <w:rPr>
          <w:rFonts w:cs="Georgia"/>
          <w:szCs w:val="22"/>
        </w:rPr>
        <w:t>felds hinweisen.</w:t>
      </w:r>
    </w:p>
    <w:p w14:paraId="24F13648" w14:textId="77777777" w:rsidR="00FD1963" w:rsidRPr="00F25825" w:rsidRDefault="00FD1963" w:rsidP="00227607">
      <w:pPr>
        <w:pStyle w:val="berschrift2"/>
      </w:pPr>
      <w:bookmarkStart w:id="9" w:name="_Toc349300338"/>
      <w:r w:rsidRPr="00F25825">
        <w:t>Regulierungsprozesse und die Entwicklung der Kriminalität</w:t>
      </w:r>
      <w:bookmarkEnd w:id="9"/>
    </w:p>
    <w:p w14:paraId="54BC34BB" w14:textId="77777777" w:rsidR="00FD1963" w:rsidRDefault="00FD1963" w:rsidP="00FD1963">
      <w:pPr>
        <w:spacing w:line="276" w:lineRule="auto"/>
        <w:jc w:val="both"/>
        <w:rPr>
          <w:szCs w:val="22"/>
        </w:rPr>
      </w:pPr>
      <w:r>
        <w:rPr>
          <w:szCs w:val="22"/>
        </w:rPr>
        <w:t>Besonders drastische Entwicklungen vollziehen sich mit den drogenpolitischen Neuregelungen  im Bereich der Strafverfolgung:</w:t>
      </w:r>
    </w:p>
    <w:p w14:paraId="533FDC33" w14:textId="576EBC3D" w:rsidR="00FD1963" w:rsidRPr="00D8193A" w:rsidRDefault="00FD1963" w:rsidP="00FD1963">
      <w:pPr>
        <w:pStyle w:val="Listenabsatz"/>
        <w:numPr>
          <w:ilvl w:val="0"/>
          <w:numId w:val="31"/>
        </w:numPr>
        <w:spacing w:line="276" w:lineRule="auto"/>
        <w:jc w:val="both"/>
        <w:rPr>
          <w:szCs w:val="22"/>
        </w:rPr>
      </w:pPr>
      <w:r w:rsidRPr="00D8193A">
        <w:rPr>
          <w:szCs w:val="22"/>
        </w:rPr>
        <w:t>Die Gesamtzahl der Verhaftungen in Zusammenhang mit einem Marihuana-Konsum nahm in den Jahren 2012-2014 deut</w:t>
      </w:r>
      <w:r w:rsidR="00227607">
        <w:rPr>
          <w:szCs w:val="22"/>
        </w:rPr>
        <w:t>lich ab (in Colorado um 47 %</w:t>
      </w:r>
      <w:r w:rsidRPr="00D8193A">
        <w:rPr>
          <w:szCs w:val="22"/>
        </w:rPr>
        <w:t xml:space="preserve">). </w:t>
      </w:r>
    </w:p>
    <w:p w14:paraId="53EF6A71" w14:textId="4E385D41" w:rsidR="00FD1963" w:rsidRPr="00D8193A" w:rsidRDefault="00FD1963" w:rsidP="00FD1963">
      <w:pPr>
        <w:pStyle w:val="Listenabsatz"/>
        <w:numPr>
          <w:ilvl w:val="0"/>
          <w:numId w:val="31"/>
        </w:numPr>
        <w:spacing w:line="276" w:lineRule="auto"/>
        <w:jc w:val="both"/>
        <w:rPr>
          <w:szCs w:val="22"/>
        </w:rPr>
      </w:pPr>
      <w:r w:rsidRPr="00D8193A">
        <w:rPr>
          <w:szCs w:val="22"/>
        </w:rPr>
        <w:t>Die größten Rückgänge erfolgten bei der Zahl der Verhaftungen wegen Marihuana-Besitz, die mit der Regulierung fast halbiert wurden, auch Verhaftungen wegen des Ve</w:t>
      </w:r>
      <w:r w:rsidRPr="00D8193A">
        <w:rPr>
          <w:szCs w:val="22"/>
        </w:rPr>
        <w:t>r</w:t>
      </w:r>
      <w:r w:rsidRPr="00D8193A">
        <w:rPr>
          <w:szCs w:val="22"/>
        </w:rPr>
        <w:t>kaufs von Marihuana verringerte sich deutlich (in Colorado um 24 %), genauso wie Ve</w:t>
      </w:r>
      <w:r w:rsidRPr="00D8193A">
        <w:rPr>
          <w:szCs w:val="22"/>
        </w:rPr>
        <w:t>r</w:t>
      </w:r>
      <w:r w:rsidRPr="00D8193A">
        <w:rPr>
          <w:szCs w:val="22"/>
        </w:rPr>
        <w:t>haftungen in Zusammenhang mit Marihuana, die nicht weiter spezifiziert wurden (um 42</w:t>
      </w:r>
      <w:r>
        <w:rPr>
          <w:szCs w:val="22"/>
        </w:rPr>
        <w:t xml:space="preserve"> </w:t>
      </w:r>
      <w:r w:rsidRPr="00D8193A">
        <w:rPr>
          <w:szCs w:val="22"/>
        </w:rPr>
        <w:t>%). Von den Regulierungen kaum tangiert waren die ohnehin sehr geringen Verha</w:t>
      </w:r>
      <w:r w:rsidRPr="00D8193A">
        <w:rPr>
          <w:szCs w:val="22"/>
        </w:rPr>
        <w:t>f</w:t>
      </w:r>
      <w:r w:rsidRPr="00D8193A">
        <w:rPr>
          <w:szCs w:val="22"/>
        </w:rPr>
        <w:t xml:space="preserve">tungszahlen in Zusammenhang mit der Produktion, dem Verkauf und dem Schmuggel von Marihuana, die, wenn auch kaum merklich (5 %), allerdings ebenfalls sanken. </w:t>
      </w:r>
      <w:r>
        <w:rPr>
          <w:szCs w:val="22"/>
        </w:rPr>
        <w:t xml:space="preserve">Dies erklärt sich vor allem daraus, dass in der Regel Produktion, Erzeugung und Verkauf von Marihuana legal unter dem Dach medizinischen Anbaus erfolgt und es deshalb schwierig ist, zu dem darüber hinausgehenden Anbau tatsächlich zu ermitteln. </w:t>
      </w:r>
    </w:p>
    <w:p w14:paraId="22D349B1" w14:textId="3958F4C6" w:rsidR="00FD1963" w:rsidRDefault="00FD1963" w:rsidP="00FD1963">
      <w:pPr>
        <w:pStyle w:val="Listenabsatz"/>
        <w:numPr>
          <w:ilvl w:val="0"/>
          <w:numId w:val="24"/>
        </w:numPr>
        <w:spacing w:line="276" w:lineRule="auto"/>
        <w:jc w:val="both"/>
        <w:rPr>
          <w:szCs w:val="22"/>
        </w:rPr>
      </w:pPr>
      <w:r w:rsidRPr="001F071B">
        <w:rPr>
          <w:szCs w:val="22"/>
        </w:rPr>
        <w:t>In den Jahren 2012-2015 vollzogen sich drastische Entwicklungen in Bezug Anklagee</w:t>
      </w:r>
      <w:r w:rsidRPr="001F071B">
        <w:rPr>
          <w:szCs w:val="22"/>
        </w:rPr>
        <w:t>r</w:t>
      </w:r>
      <w:r w:rsidRPr="001F071B">
        <w:rPr>
          <w:szCs w:val="22"/>
        </w:rPr>
        <w:t>hebung</w:t>
      </w:r>
      <w:r>
        <w:rPr>
          <w:szCs w:val="22"/>
        </w:rPr>
        <w:t>en</w:t>
      </w:r>
      <w:r w:rsidRPr="001F071B">
        <w:rPr>
          <w:szCs w:val="22"/>
        </w:rPr>
        <w:t xml:space="preserve"> in Zusammenhang mit Marihuana: </w:t>
      </w:r>
      <w:r>
        <w:rPr>
          <w:szCs w:val="22"/>
        </w:rPr>
        <w:t>I</w:t>
      </w:r>
      <w:r w:rsidRPr="001F071B">
        <w:rPr>
          <w:szCs w:val="22"/>
        </w:rPr>
        <w:t xml:space="preserve">m Jahr 2015 wurden </w:t>
      </w:r>
      <w:r>
        <w:rPr>
          <w:szCs w:val="22"/>
        </w:rPr>
        <w:t>in beiden Bunde</w:t>
      </w:r>
      <w:r>
        <w:rPr>
          <w:szCs w:val="22"/>
        </w:rPr>
        <w:t>s</w:t>
      </w:r>
      <w:r>
        <w:rPr>
          <w:szCs w:val="22"/>
        </w:rPr>
        <w:t xml:space="preserve">staaten </w:t>
      </w:r>
      <w:r w:rsidRPr="001F071B">
        <w:rPr>
          <w:szCs w:val="22"/>
        </w:rPr>
        <w:t xml:space="preserve">Anklageerhebungen durch die Gerichte </w:t>
      </w:r>
      <w:r>
        <w:rPr>
          <w:szCs w:val="22"/>
        </w:rPr>
        <w:t xml:space="preserve">mehrheitlich </w:t>
      </w:r>
      <w:r w:rsidRPr="001F071B">
        <w:rPr>
          <w:szCs w:val="22"/>
        </w:rPr>
        <w:t xml:space="preserve">abgelehnt </w:t>
      </w:r>
      <w:r w:rsidR="00227607">
        <w:rPr>
          <w:szCs w:val="22"/>
        </w:rPr>
        <w:t xml:space="preserve">(in </w:t>
      </w:r>
      <w:r>
        <w:rPr>
          <w:szCs w:val="22"/>
        </w:rPr>
        <w:t xml:space="preserve">Colorado </w:t>
      </w:r>
      <w:r w:rsidRPr="001F071B">
        <w:rPr>
          <w:szCs w:val="22"/>
        </w:rPr>
        <w:t>81%</w:t>
      </w:r>
      <w:r>
        <w:rPr>
          <w:szCs w:val="22"/>
        </w:rPr>
        <w:t xml:space="preserve">). </w:t>
      </w:r>
    </w:p>
    <w:p w14:paraId="1EBEE092" w14:textId="77777777" w:rsidR="00FD1963" w:rsidRDefault="00FD1963" w:rsidP="00FD1963">
      <w:pPr>
        <w:pStyle w:val="Listenabsatz"/>
        <w:numPr>
          <w:ilvl w:val="0"/>
          <w:numId w:val="24"/>
        </w:numPr>
        <w:spacing w:line="276" w:lineRule="auto"/>
        <w:jc w:val="both"/>
        <w:rPr>
          <w:szCs w:val="22"/>
        </w:rPr>
      </w:pPr>
      <w:r>
        <w:rPr>
          <w:szCs w:val="22"/>
        </w:rPr>
        <w:t>Sinkende Fallzahlen der Strafverfolgung betrafen alle Dimensionen von Straftaten: s</w:t>
      </w:r>
      <w:r>
        <w:rPr>
          <w:szCs w:val="22"/>
        </w:rPr>
        <w:t>o</w:t>
      </w:r>
      <w:r>
        <w:rPr>
          <w:szCs w:val="22"/>
        </w:rPr>
        <w:t xml:space="preserve">wohl </w:t>
      </w:r>
      <w:r w:rsidRPr="006F44FF">
        <w:rPr>
          <w:szCs w:val="22"/>
        </w:rPr>
        <w:t>Anzeigen von Verbrechenstatbeständen</w:t>
      </w:r>
      <w:r>
        <w:rPr>
          <w:szCs w:val="22"/>
        </w:rPr>
        <w:t xml:space="preserve"> in Zusammenhang mit Marihuana</w:t>
      </w:r>
      <w:r w:rsidRPr="006F44FF">
        <w:rPr>
          <w:szCs w:val="22"/>
        </w:rPr>
        <w:t>, Anze</w:t>
      </w:r>
      <w:r w:rsidRPr="006F44FF">
        <w:rPr>
          <w:szCs w:val="22"/>
        </w:rPr>
        <w:t>i</w:t>
      </w:r>
      <w:r w:rsidRPr="006F44FF">
        <w:rPr>
          <w:szCs w:val="22"/>
        </w:rPr>
        <w:t xml:space="preserve">gen </w:t>
      </w:r>
      <w:r>
        <w:rPr>
          <w:szCs w:val="22"/>
        </w:rPr>
        <w:t>von</w:t>
      </w:r>
      <w:r w:rsidRPr="006F44FF">
        <w:rPr>
          <w:szCs w:val="22"/>
        </w:rPr>
        <w:t xml:space="preserve"> Vergehen</w:t>
      </w:r>
      <w:r>
        <w:rPr>
          <w:szCs w:val="22"/>
        </w:rPr>
        <w:t xml:space="preserve"> und von </w:t>
      </w:r>
      <w:r w:rsidRPr="006F44FF">
        <w:rPr>
          <w:szCs w:val="22"/>
        </w:rPr>
        <w:t>Delikte</w:t>
      </w:r>
      <w:r>
        <w:rPr>
          <w:szCs w:val="22"/>
        </w:rPr>
        <w:t>n</w:t>
      </w:r>
      <w:r w:rsidRPr="006F44FF">
        <w:rPr>
          <w:szCs w:val="22"/>
        </w:rPr>
        <w:t>, die als geringfügige Straftaten einzuordnen waren</w:t>
      </w:r>
      <w:r>
        <w:rPr>
          <w:szCs w:val="22"/>
        </w:rPr>
        <w:t>,</w:t>
      </w:r>
      <w:r w:rsidRPr="006F44FF">
        <w:rPr>
          <w:szCs w:val="22"/>
        </w:rPr>
        <w:t xml:space="preserve"> </w:t>
      </w:r>
      <w:r>
        <w:rPr>
          <w:szCs w:val="22"/>
        </w:rPr>
        <w:t>sowie</w:t>
      </w:r>
      <w:r w:rsidRPr="006F44FF">
        <w:rPr>
          <w:szCs w:val="22"/>
        </w:rPr>
        <w:t xml:space="preserve"> Vorladungen wegen Mari</w:t>
      </w:r>
      <w:r>
        <w:rPr>
          <w:szCs w:val="22"/>
        </w:rPr>
        <w:t xml:space="preserve">huana-Besitz. </w:t>
      </w:r>
    </w:p>
    <w:p w14:paraId="1BBA0FA4" w14:textId="77777777" w:rsidR="00FD1963" w:rsidRDefault="00FD1963" w:rsidP="00FD1963">
      <w:pPr>
        <w:pStyle w:val="Listenabsatz"/>
        <w:numPr>
          <w:ilvl w:val="0"/>
          <w:numId w:val="24"/>
        </w:numPr>
        <w:spacing w:line="276" w:lineRule="auto"/>
        <w:jc w:val="both"/>
        <w:rPr>
          <w:szCs w:val="22"/>
        </w:rPr>
      </w:pPr>
      <w:r w:rsidRPr="00395A2D">
        <w:rPr>
          <w:szCs w:val="22"/>
        </w:rPr>
        <w:t>Von diesen Wendungen in der Strafverfolgungspraxis profitierten</w:t>
      </w:r>
      <w:r>
        <w:rPr>
          <w:szCs w:val="22"/>
        </w:rPr>
        <w:t>, wenn auch unte</w:t>
      </w:r>
      <w:r>
        <w:rPr>
          <w:szCs w:val="22"/>
        </w:rPr>
        <w:t>r</w:t>
      </w:r>
      <w:r>
        <w:rPr>
          <w:szCs w:val="22"/>
        </w:rPr>
        <w:t xml:space="preserve">schiedlich, </w:t>
      </w:r>
      <w:r w:rsidRPr="00395A2D">
        <w:rPr>
          <w:szCs w:val="22"/>
        </w:rPr>
        <w:t xml:space="preserve"> alle Altersgruppen</w:t>
      </w:r>
      <w:r>
        <w:rPr>
          <w:szCs w:val="22"/>
        </w:rPr>
        <w:t xml:space="preserve"> in Form sinkender Raten bei Arrestierungen</w:t>
      </w:r>
      <w:r w:rsidRPr="00395A2D">
        <w:rPr>
          <w:szCs w:val="22"/>
        </w:rPr>
        <w:t xml:space="preserve"> (</w:t>
      </w:r>
      <w:r>
        <w:rPr>
          <w:szCs w:val="22"/>
        </w:rPr>
        <w:t xml:space="preserve">in Colorado </w:t>
      </w:r>
      <w:r w:rsidRPr="00395A2D">
        <w:rPr>
          <w:szCs w:val="22"/>
        </w:rPr>
        <w:t xml:space="preserve">18-20-Jährige = </w:t>
      </w:r>
      <w:r>
        <w:rPr>
          <w:szCs w:val="22"/>
        </w:rPr>
        <w:t xml:space="preserve">Reduktion um </w:t>
      </w:r>
      <w:r w:rsidRPr="00395A2D">
        <w:rPr>
          <w:szCs w:val="22"/>
        </w:rPr>
        <w:t xml:space="preserve">33 %, 21 Jahre und älter = </w:t>
      </w:r>
      <w:r>
        <w:rPr>
          <w:szCs w:val="22"/>
        </w:rPr>
        <w:t xml:space="preserve">Reduktion um </w:t>
      </w:r>
      <w:r w:rsidRPr="00395A2D">
        <w:rPr>
          <w:szCs w:val="22"/>
        </w:rPr>
        <w:t>78 %)</w:t>
      </w:r>
      <w:r>
        <w:rPr>
          <w:szCs w:val="22"/>
        </w:rPr>
        <w:t>. N</w:t>
      </w:r>
      <w:r w:rsidRPr="00395A2D">
        <w:rPr>
          <w:szCs w:val="22"/>
        </w:rPr>
        <w:t xml:space="preserve">ur </w:t>
      </w:r>
      <w:r>
        <w:rPr>
          <w:szCs w:val="22"/>
        </w:rPr>
        <w:t>für</w:t>
      </w:r>
      <w:r w:rsidRPr="00395A2D">
        <w:rPr>
          <w:szCs w:val="22"/>
        </w:rPr>
        <w:t xml:space="preserve"> Jugendliche änderte sich die Strafverfolgungs</w:t>
      </w:r>
      <w:r>
        <w:rPr>
          <w:szCs w:val="22"/>
        </w:rPr>
        <w:t xml:space="preserve">praxis quasi nicht </w:t>
      </w:r>
      <w:r w:rsidRPr="00395A2D">
        <w:rPr>
          <w:szCs w:val="22"/>
        </w:rPr>
        <w:t xml:space="preserve">(10-17-Jährige = </w:t>
      </w:r>
      <w:r>
        <w:rPr>
          <w:szCs w:val="22"/>
        </w:rPr>
        <w:t>Redu</w:t>
      </w:r>
      <w:r>
        <w:rPr>
          <w:szCs w:val="22"/>
        </w:rPr>
        <w:t>k</w:t>
      </w:r>
      <w:r>
        <w:rPr>
          <w:szCs w:val="22"/>
        </w:rPr>
        <w:t>tion um 5 % in Colorado).</w:t>
      </w:r>
    </w:p>
    <w:p w14:paraId="4BF6CECF" w14:textId="77777777" w:rsidR="00FD1963" w:rsidRDefault="00FD1963" w:rsidP="00FD1963">
      <w:pPr>
        <w:pStyle w:val="Listenabsatz"/>
        <w:spacing w:line="276" w:lineRule="auto"/>
        <w:jc w:val="both"/>
        <w:rPr>
          <w:szCs w:val="22"/>
        </w:rPr>
      </w:pPr>
    </w:p>
    <w:p w14:paraId="5668B8EF" w14:textId="77777777" w:rsidR="00FD1963" w:rsidRPr="000D15E8" w:rsidRDefault="00FD1963" w:rsidP="00FD1963">
      <w:pPr>
        <w:spacing w:line="276" w:lineRule="auto"/>
        <w:jc w:val="both"/>
        <w:rPr>
          <w:szCs w:val="22"/>
        </w:rPr>
      </w:pPr>
      <w:r w:rsidRPr="000D15E8">
        <w:rPr>
          <w:szCs w:val="22"/>
        </w:rPr>
        <w:t xml:space="preserve">Die vorliegenden Daten dokumentieren in beiden Bundesstaaten, dass zu den ersten Effekten einer Regulierung </w:t>
      </w:r>
      <w:r>
        <w:rPr>
          <w:szCs w:val="22"/>
        </w:rPr>
        <w:t>ein deutlicher</w:t>
      </w:r>
      <w:r w:rsidRPr="000D15E8">
        <w:rPr>
          <w:szCs w:val="22"/>
        </w:rPr>
        <w:t xml:space="preserve"> Rückgang der Strafverfolgung in Zusammenhang mit Marihu</w:t>
      </w:r>
      <w:r w:rsidRPr="000D15E8">
        <w:rPr>
          <w:szCs w:val="22"/>
        </w:rPr>
        <w:t>a</w:t>
      </w:r>
      <w:r w:rsidRPr="000D15E8">
        <w:rPr>
          <w:szCs w:val="22"/>
        </w:rPr>
        <w:t xml:space="preserve">na-Konsum </w:t>
      </w:r>
      <w:r>
        <w:rPr>
          <w:szCs w:val="22"/>
        </w:rPr>
        <w:t>gehört</w:t>
      </w:r>
      <w:r w:rsidRPr="000D15E8">
        <w:rPr>
          <w:szCs w:val="22"/>
        </w:rPr>
        <w:t>. Insbesondere für vormals eher als geringfügige oder Bagatelldelikte eing</w:t>
      </w:r>
      <w:r w:rsidRPr="000D15E8">
        <w:rPr>
          <w:szCs w:val="22"/>
        </w:rPr>
        <w:t>e</w:t>
      </w:r>
      <w:r w:rsidRPr="000D15E8">
        <w:rPr>
          <w:szCs w:val="22"/>
        </w:rPr>
        <w:t xml:space="preserve">stufte Handlungen </w:t>
      </w:r>
      <w:r>
        <w:rPr>
          <w:szCs w:val="22"/>
        </w:rPr>
        <w:t>wurde</w:t>
      </w:r>
      <w:r w:rsidRPr="000D15E8">
        <w:rPr>
          <w:szCs w:val="22"/>
        </w:rPr>
        <w:t xml:space="preserve"> die Strafverfolgung quasi eingestellt, wenn die Betroffenen älter als 21 Jahre waren und d</w:t>
      </w:r>
      <w:r>
        <w:rPr>
          <w:szCs w:val="22"/>
        </w:rPr>
        <w:t>amit unter die Neuregelungen fie</w:t>
      </w:r>
      <w:r w:rsidRPr="000D15E8">
        <w:rPr>
          <w:szCs w:val="22"/>
        </w:rPr>
        <w:t>len. In geringfügiger Weise konnten auch die Altersgruppen der 18-20-Jährigen von einer weniger intensiven Strafverfolgung profitieren. Dies ist wesentlich dem Umstand geschuldet, dass diese Altersgruppe bereits von einer mediz</w:t>
      </w:r>
      <w:r w:rsidRPr="000D15E8">
        <w:rPr>
          <w:szCs w:val="22"/>
        </w:rPr>
        <w:t>i</w:t>
      </w:r>
      <w:r w:rsidRPr="000D15E8">
        <w:rPr>
          <w:szCs w:val="22"/>
        </w:rPr>
        <w:t>nischen Vergabe von Marihuana profitieren und durch eine relativ problemlose Verschreibung einer Strafverfolgung entgehen kann.</w:t>
      </w:r>
    </w:p>
    <w:p w14:paraId="0A8B8B95" w14:textId="77777777" w:rsidR="00FD1963" w:rsidRPr="000D15E8" w:rsidRDefault="00FD1963" w:rsidP="00FD1963">
      <w:pPr>
        <w:spacing w:line="276" w:lineRule="auto"/>
        <w:jc w:val="both"/>
        <w:rPr>
          <w:szCs w:val="22"/>
        </w:rPr>
      </w:pPr>
    </w:p>
    <w:p w14:paraId="2676960B" w14:textId="77777777" w:rsidR="00FD1963" w:rsidRPr="000D15E8" w:rsidRDefault="00FD1963" w:rsidP="00FD1963">
      <w:pPr>
        <w:spacing w:line="276" w:lineRule="auto"/>
        <w:jc w:val="both"/>
        <w:rPr>
          <w:szCs w:val="22"/>
        </w:rPr>
      </w:pPr>
      <w:r w:rsidRPr="000D15E8">
        <w:rPr>
          <w:szCs w:val="22"/>
        </w:rPr>
        <w:t>Problematisch sind die Entwicklungen, die sich im Zuge der Regulierung für Jugendliche zw</w:t>
      </w:r>
      <w:r w:rsidRPr="000D15E8">
        <w:rPr>
          <w:szCs w:val="22"/>
        </w:rPr>
        <w:t>i</w:t>
      </w:r>
      <w:r w:rsidRPr="000D15E8">
        <w:rPr>
          <w:szCs w:val="22"/>
        </w:rPr>
        <w:t>schen 10-17 Jahren ergeben. Diese sind weiterhin einer Totalprohibition unterstellt, weshalb sich auch die Strafziele, die Bewertungen von Handlungen als strafbare Delikte und die Verfa</w:t>
      </w:r>
      <w:r w:rsidRPr="000D15E8">
        <w:rPr>
          <w:szCs w:val="22"/>
        </w:rPr>
        <w:t>h</w:t>
      </w:r>
      <w:r w:rsidRPr="000D15E8">
        <w:rPr>
          <w:szCs w:val="22"/>
        </w:rPr>
        <w:t>rensweisen im Falle einer Aufdeckung einer strafbaren Handlung nicht verändert haben</w:t>
      </w:r>
      <w:r>
        <w:rPr>
          <w:szCs w:val="22"/>
        </w:rPr>
        <w:t>, so dass</w:t>
      </w:r>
      <w:r w:rsidRPr="000D15E8">
        <w:rPr>
          <w:szCs w:val="22"/>
        </w:rPr>
        <w:t xml:space="preserve"> für die Strafverfolgungsbehörden Sicherheiten zu ihrem Auftrag bestehen. </w:t>
      </w:r>
    </w:p>
    <w:p w14:paraId="2E66DF57" w14:textId="77777777" w:rsidR="00FD1963" w:rsidRPr="000D15E8" w:rsidRDefault="00FD1963" w:rsidP="00FD1963">
      <w:pPr>
        <w:spacing w:line="276" w:lineRule="auto"/>
        <w:jc w:val="both"/>
        <w:rPr>
          <w:szCs w:val="22"/>
        </w:rPr>
      </w:pPr>
      <w:r w:rsidRPr="000D15E8">
        <w:rPr>
          <w:szCs w:val="22"/>
        </w:rPr>
        <w:t>Dies unterscheidet die Praxis im Vergleich zu Altersgruppen</w:t>
      </w:r>
      <w:r>
        <w:rPr>
          <w:szCs w:val="22"/>
        </w:rPr>
        <w:t xml:space="preserve"> unter geänderter Gesetzeslage. </w:t>
      </w:r>
      <w:r w:rsidRPr="000D15E8">
        <w:rPr>
          <w:szCs w:val="22"/>
        </w:rPr>
        <w:t>E</w:t>
      </w:r>
      <w:r w:rsidRPr="000D15E8">
        <w:rPr>
          <w:szCs w:val="22"/>
        </w:rPr>
        <w:t>r</w:t>
      </w:r>
      <w:r w:rsidRPr="000D15E8">
        <w:rPr>
          <w:szCs w:val="22"/>
        </w:rPr>
        <w:t xml:space="preserve">fahrung </w:t>
      </w:r>
      <w:r>
        <w:rPr>
          <w:szCs w:val="22"/>
        </w:rPr>
        <w:t>f</w:t>
      </w:r>
      <w:r w:rsidRPr="000D15E8">
        <w:rPr>
          <w:szCs w:val="22"/>
        </w:rPr>
        <w:t xml:space="preserve">ür diesen Bereich </w:t>
      </w:r>
      <w:r>
        <w:rPr>
          <w:szCs w:val="22"/>
        </w:rPr>
        <w:t xml:space="preserve">verweisen </w:t>
      </w:r>
      <w:r w:rsidRPr="000D15E8">
        <w:rPr>
          <w:szCs w:val="22"/>
        </w:rPr>
        <w:t xml:space="preserve">regelmäßig </w:t>
      </w:r>
      <w:r>
        <w:rPr>
          <w:szCs w:val="22"/>
        </w:rPr>
        <w:t xml:space="preserve">auf </w:t>
      </w:r>
      <w:r w:rsidRPr="000D15E8">
        <w:rPr>
          <w:szCs w:val="22"/>
        </w:rPr>
        <w:t xml:space="preserve">Irritationen, wie die Strafverfolgungsziele definiert sind, welche Kriterien </w:t>
      </w:r>
      <w:r>
        <w:rPr>
          <w:szCs w:val="22"/>
        </w:rPr>
        <w:t xml:space="preserve">für </w:t>
      </w:r>
      <w:r w:rsidRPr="000D15E8">
        <w:rPr>
          <w:szCs w:val="22"/>
        </w:rPr>
        <w:t>eine Beschlagnahmung und Verhaftung gel</w:t>
      </w:r>
      <w:r>
        <w:rPr>
          <w:szCs w:val="22"/>
        </w:rPr>
        <w:t xml:space="preserve">ten </w:t>
      </w:r>
      <w:r w:rsidRPr="000D15E8">
        <w:rPr>
          <w:szCs w:val="22"/>
        </w:rPr>
        <w:t xml:space="preserve">und wieweit überhaupt Anklagen eingereicht werden sollen. Vielfach </w:t>
      </w:r>
      <w:r>
        <w:rPr>
          <w:szCs w:val="22"/>
        </w:rPr>
        <w:t>wurde durch die Behörden überhaupt</w:t>
      </w:r>
      <w:r w:rsidRPr="000D15E8">
        <w:rPr>
          <w:szCs w:val="22"/>
        </w:rPr>
        <w:t xml:space="preserve"> abgelehnt, „Marihuana-Fälle“ zu verfolgen, wenn nicht extreme Umstände am Tathergang bete</w:t>
      </w:r>
      <w:r w:rsidRPr="000D15E8">
        <w:rPr>
          <w:szCs w:val="22"/>
        </w:rPr>
        <w:t>i</w:t>
      </w:r>
      <w:r w:rsidRPr="000D15E8">
        <w:rPr>
          <w:szCs w:val="22"/>
        </w:rPr>
        <w:t>ligt sind.</w:t>
      </w:r>
    </w:p>
    <w:p w14:paraId="3B92E10D" w14:textId="77777777" w:rsidR="00FD1963" w:rsidRPr="000D15E8" w:rsidRDefault="00FD1963" w:rsidP="00FD1963">
      <w:pPr>
        <w:spacing w:line="276" w:lineRule="auto"/>
        <w:jc w:val="both"/>
        <w:rPr>
          <w:szCs w:val="22"/>
        </w:rPr>
      </w:pPr>
      <w:r w:rsidRPr="000D15E8">
        <w:rPr>
          <w:szCs w:val="22"/>
        </w:rPr>
        <w:t>Insofern drängt sich als Schlussfolgerung auf, bereits in Vorbereitung des Beginns einer droge</w:t>
      </w:r>
      <w:r w:rsidRPr="000D15E8">
        <w:rPr>
          <w:szCs w:val="22"/>
        </w:rPr>
        <w:t>n</w:t>
      </w:r>
      <w:r w:rsidRPr="000D15E8">
        <w:rPr>
          <w:szCs w:val="22"/>
        </w:rPr>
        <w:t>politischen Neuregelung Übergangsregelungen zu schaffen, die den Strafverfolgungsinstituti</w:t>
      </w:r>
      <w:r w:rsidRPr="000D15E8">
        <w:rPr>
          <w:szCs w:val="22"/>
        </w:rPr>
        <w:t>o</w:t>
      </w:r>
      <w:r>
        <w:rPr>
          <w:szCs w:val="22"/>
        </w:rPr>
        <w:t xml:space="preserve">nen Handlungssicherheiten </w:t>
      </w:r>
      <w:r w:rsidRPr="000D15E8">
        <w:rPr>
          <w:szCs w:val="22"/>
        </w:rPr>
        <w:t>mit einsichtigen Aufträgen und Handlungsanweisungen</w:t>
      </w:r>
      <w:r w:rsidRPr="00E54373">
        <w:rPr>
          <w:szCs w:val="22"/>
        </w:rPr>
        <w:t xml:space="preserve"> </w:t>
      </w:r>
      <w:r>
        <w:rPr>
          <w:szCs w:val="22"/>
        </w:rPr>
        <w:t>ge</w:t>
      </w:r>
      <w:r w:rsidRPr="000D15E8">
        <w:rPr>
          <w:szCs w:val="22"/>
        </w:rPr>
        <w:t xml:space="preserve">ben. </w:t>
      </w:r>
      <w:r>
        <w:rPr>
          <w:szCs w:val="22"/>
        </w:rPr>
        <w:t>Zu</w:t>
      </w:r>
      <w:r w:rsidRPr="000D15E8">
        <w:rPr>
          <w:szCs w:val="22"/>
        </w:rPr>
        <w:t xml:space="preserve"> bedenken</w:t>
      </w:r>
      <w:r w:rsidRPr="00E54373">
        <w:rPr>
          <w:szCs w:val="22"/>
        </w:rPr>
        <w:t xml:space="preserve"> </w:t>
      </w:r>
      <w:r w:rsidRPr="000D15E8">
        <w:rPr>
          <w:szCs w:val="22"/>
        </w:rPr>
        <w:t>ist</w:t>
      </w:r>
      <w:r>
        <w:rPr>
          <w:szCs w:val="22"/>
        </w:rPr>
        <w:t xml:space="preserve"> dabei</w:t>
      </w:r>
      <w:r w:rsidRPr="000D15E8">
        <w:rPr>
          <w:szCs w:val="22"/>
        </w:rPr>
        <w:t xml:space="preserve">, dass sich durch die Neureglungen Stück für Stück freie Ressourcen </w:t>
      </w:r>
      <w:r>
        <w:rPr>
          <w:szCs w:val="22"/>
        </w:rPr>
        <w:t xml:space="preserve">bei de Strafverfolgungsbehörden </w:t>
      </w:r>
      <w:r w:rsidRPr="000D15E8">
        <w:rPr>
          <w:szCs w:val="22"/>
        </w:rPr>
        <w:t xml:space="preserve">ergeben, die unverzüglich in andere Bereiche der </w:t>
      </w:r>
      <w:r>
        <w:rPr>
          <w:szCs w:val="22"/>
        </w:rPr>
        <w:t>Ordnung und</w:t>
      </w:r>
      <w:r w:rsidRPr="000D15E8">
        <w:rPr>
          <w:szCs w:val="22"/>
        </w:rPr>
        <w:t xml:space="preserve"> S</w:t>
      </w:r>
      <w:r w:rsidRPr="000D15E8">
        <w:rPr>
          <w:szCs w:val="22"/>
        </w:rPr>
        <w:t>i</w:t>
      </w:r>
      <w:r w:rsidRPr="000D15E8">
        <w:rPr>
          <w:szCs w:val="22"/>
        </w:rPr>
        <w:t>cherheit gelenkt werden. Andernfalls entsteht die Gefahr, dass freie Kapazitäten nunmehr dort eingesetzt werden, wo die drogenpolitischen Neuregelungen nicht relevant sind</w:t>
      </w:r>
      <w:r>
        <w:rPr>
          <w:szCs w:val="22"/>
        </w:rPr>
        <w:t xml:space="preserve"> und mit den bisher gewohnten Routinen gearbeitet werden kann</w:t>
      </w:r>
      <w:r w:rsidRPr="000D15E8">
        <w:rPr>
          <w:szCs w:val="22"/>
        </w:rPr>
        <w:t xml:space="preserve">. In Zusammenhang mit einer Regulierung von Marihuana droht auf diese Weise, dass insbesondere für Jugendliche, die zudem eine der epidemiologisch relevanten Konsumentengruppe sind, einer besonderen Vulnerabilität entsteht, </w:t>
      </w:r>
      <w:r>
        <w:rPr>
          <w:szCs w:val="22"/>
        </w:rPr>
        <w:t>weil</w:t>
      </w:r>
      <w:r w:rsidRPr="000D15E8">
        <w:rPr>
          <w:szCs w:val="22"/>
        </w:rPr>
        <w:t xml:space="preserve"> frei werdende Ressourcen zu einer Erhöhung der Verfolgungsintensität </w:t>
      </w:r>
      <w:r>
        <w:rPr>
          <w:szCs w:val="22"/>
        </w:rPr>
        <w:t>in dieser Gruppe</w:t>
      </w:r>
      <w:r w:rsidRPr="000D15E8">
        <w:rPr>
          <w:szCs w:val="22"/>
        </w:rPr>
        <w:t xml:space="preserve"> führen. Auch </w:t>
      </w:r>
      <w:r>
        <w:rPr>
          <w:szCs w:val="22"/>
        </w:rPr>
        <w:t>deshalb</w:t>
      </w:r>
      <w:r w:rsidRPr="000D15E8">
        <w:rPr>
          <w:szCs w:val="22"/>
        </w:rPr>
        <w:t xml:space="preserve"> stellt sich die Frage, wie ein sachgerechter Umgang mit jugendlichem M</w:t>
      </w:r>
      <w:r w:rsidRPr="000D15E8">
        <w:rPr>
          <w:szCs w:val="22"/>
        </w:rPr>
        <w:t>a</w:t>
      </w:r>
      <w:r w:rsidRPr="000D15E8">
        <w:rPr>
          <w:szCs w:val="22"/>
        </w:rPr>
        <w:t>rihuana-Konsum geregelt werden kann, der nicht auf eine Totalprohibition mit Zero-Tolerance zurückgreift.</w:t>
      </w:r>
    </w:p>
    <w:p w14:paraId="0CD07E67" w14:textId="77777777" w:rsidR="00FD1963" w:rsidRDefault="00FD1963" w:rsidP="00FD1963">
      <w:pPr>
        <w:spacing w:line="276" w:lineRule="auto"/>
        <w:jc w:val="both"/>
      </w:pPr>
    </w:p>
    <w:p w14:paraId="4BCC1E42" w14:textId="77777777" w:rsidR="00FD1963" w:rsidRDefault="00FD1963" w:rsidP="00FD1963">
      <w:pPr>
        <w:spacing w:line="276" w:lineRule="auto"/>
        <w:jc w:val="both"/>
      </w:pPr>
    </w:p>
    <w:p w14:paraId="70B1A04B" w14:textId="77777777" w:rsidR="00FD1963" w:rsidRDefault="00FD1963" w:rsidP="00FD1963">
      <w:pPr>
        <w:spacing w:line="276" w:lineRule="auto"/>
        <w:jc w:val="both"/>
      </w:pPr>
    </w:p>
    <w:p w14:paraId="695F40AC" w14:textId="77777777" w:rsidR="00FD1963" w:rsidRPr="00762252" w:rsidRDefault="00FD1963" w:rsidP="00FD1963">
      <w:pPr>
        <w:pStyle w:val="KeinLeerraum"/>
        <w:spacing w:line="276" w:lineRule="auto"/>
        <w:jc w:val="both"/>
        <w:rPr>
          <w:szCs w:val="22"/>
        </w:rPr>
      </w:pPr>
    </w:p>
    <w:p w14:paraId="06410830" w14:textId="77777777" w:rsidR="00FD1963" w:rsidRDefault="00FD1963" w:rsidP="00FD1963">
      <w:pPr>
        <w:pStyle w:val="KeinLeerraum"/>
        <w:spacing w:line="276" w:lineRule="auto"/>
        <w:jc w:val="both"/>
      </w:pPr>
    </w:p>
    <w:p w14:paraId="07E3DD07" w14:textId="77777777" w:rsidR="00FD1963" w:rsidRDefault="00FD1963" w:rsidP="00FD1963">
      <w:pPr>
        <w:pStyle w:val="Beschriftung"/>
        <w:spacing w:line="276" w:lineRule="auto"/>
        <w:jc w:val="both"/>
        <w:rPr>
          <w:rFonts w:cs="Calibri"/>
          <w:b w:val="0"/>
          <w:iCs/>
          <w:sz w:val="22"/>
          <w:szCs w:val="22"/>
        </w:rPr>
      </w:pPr>
    </w:p>
    <w:p w14:paraId="4BA302E0" w14:textId="77777777" w:rsidR="00FD1963" w:rsidRDefault="00FD1963" w:rsidP="00FD1963">
      <w:pPr>
        <w:pStyle w:val="KeinLeerraum"/>
        <w:spacing w:line="276" w:lineRule="auto"/>
        <w:jc w:val="both"/>
        <w:rPr>
          <w:szCs w:val="22"/>
        </w:rPr>
      </w:pPr>
    </w:p>
    <w:p w14:paraId="47B22118" w14:textId="77777777" w:rsidR="00FD1963" w:rsidRDefault="00FD1963" w:rsidP="00FD1963">
      <w:pPr>
        <w:pStyle w:val="KeinLeerraum"/>
        <w:spacing w:line="276" w:lineRule="auto"/>
        <w:jc w:val="both"/>
        <w:rPr>
          <w:szCs w:val="22"/>
        </w:rPr>
      </w:pPr>
    </w:p>
    <w:p w14:paraId="17AC67C5" w14:textId="77777777" w:rsidR="00FD1963" w:rsidRDefault="00FD1963" w:rsidP="00FD1963">
      <w:pPr>
        <w:pStyle w:val="KeinLeerraum"/>
        <w:spacing w:line="276" w:lineRule="auto"/>
        <w:jc w:val="both"/>
        <w:rPr>
          <w:szCs w:val="22"/>
        </w:rPr>
      </w:pPr>
    </w:p>
    <w:p w14:paraId="4C15A012" w14:textId="77777777" w:rsidR="00FD1963" w:rsidRDefault="00FD1963" w:rsidP="00FD1963">
      <w:pPr>
        <w:pStyle w:val="KeinLeerraum"/>
        <w:spacing w:line="276" w:lineRule="auto"/>
        <w:jc w:val="both"/>
        <w:rPr>
          <w:szCs w:val="22"/>
        </w:rPr>
      </w:pPr>
    </w:p>
    <w:p w14:paraId="74AAB285" w14:textId="77777777" w:rsidR="00FD1963" w:rsidRPr="00762252" w:rsidRDefault="00FD1963" w:rsidP="00FD1963">
      <w:pPr>
        <w:pStyle w:val="KeinLeerraum"/>
        <w:spacing w:line="276" w:lineRule="auto"/>
        <w:jc w:val="both"/>
        <w:rPr>
          <w:szCs w:val="22"/>
        </w:rPr>
      </w:pPr>
    </w:p>
    <w:p w14:paraId="538F8C4E" w14:textId="77777777" w:rsidR="00FD1963" w:rsidRDefault="00FD1963" w:rsidP="00FD1963">
      <w:pPr>
        <w:spacing w:line="276" w:lineRule="auto"/>
        <w:jc w:val="both"/>
        <w:rPr>
          <w:szCs w:val="22"/>
        </w:rPr>
      </w:pPr>
    </w:p>
    <w:p w14:paraId="45066D12" w14:textId="77777777" w:rsidR="00FD1963" w:rsidRDefault="00FD1963" w:rsidP="00FD1963">
      <w:pPr>
        <w:spacing w:line="276" w:lineRule="auto"/>
        <w:jc w:val="both"/>
        <w:rPr>
          <w:szCs w:val="22"/>
        </w:rPr>
      </w:pPr>
    </w:p>
    <w:p w14:paraId="22931220" w14:textId="77777777" w:rsidR="00FD1963" w:rsidRDefault="00FD1963" w:rsidP="00FD1963">
      <w:pPr>
        <w:spacing w:line="276" w:lineRule="auto"/>
        <w:jc w:val="both"/>
        <w:rPr>
          <w:rFonts w:cs="Times New Roman"/>
          <w:szCs w:val="22"/>
        </w:rPr>
      </w:pPr>
    </w:p>
    <w:p w14:paraId="7F2B0D25" w14:textId="77777777" w:rsidR="00FD1963" w:rsidRDefault="00FD1963" w:rsidP="00FD1963">
      <w:pPr>
        <w:widowControl w:val="0"/>
        <w:autoSpaceDE w:val="0"/>
        <w:autoSpaceDN w:val="0"/>
        <w:adjustRightInd w:val="0"/>
        <w:spacing w:line="276" w:lineRule="auto"/>
        <w:jc w:val="both"/>
        <w:rPr>
          <w:rFonts w:cs="Lucida Grande"/>
        </w:rPr>
      </w:pPr>
    </w:p>
    <w:p w14:paraId="31A43522" w14:textId="77777777" w:rsidR="00FD1963" w:rsidRPr="00E15792" w:rsidRDefault="00FD1963" w:rsidP="00FD1963">
      <w:pPr>
        <w:spacing w:line="276" w:lineRule="auto"/>
        <w:rPr>
          <w:szCs w:val="22"/>
        </w:rPr>
      </w:pPr>
    </w:p>
    <w:p w14:paraId="13C81136" w14:textId="77777777" w:rsidR="00FD1963" w:rsidRPr="00FD1963" w:rsidRDefault="00FD1963" w:rsidP="00FD1963">
      <w:pPr>
        <w:sectPr w:rsidR="00FD1963" w:rsidRPr="00FD1963" w:rsidSect="008901F7">
          <w:pgSz w:w="11900" w:h="16840"/>
          <w:pgMar w:top="1417" w:right="1417" w:bottom="1134" w:left="1417" w:header="708" w:footer="708" w:gutter="0"/>
          <w:cols w:space="708"/>
          <w:docGrid w:linePitch="360"/>
        </w:sectPr>
      </w:pPr>
    </w:p>
    <w:p w14:paraId="03A57190" w14:textId="77777777" w:rsidR="001C1EE3" w:rsidRPr="00762252" w:rsidRDefault="001C1EE3" w:rsidP="009D7629">
      <w:pPr>
        <w:pStyle w:val="berschrift1"/>
        <w:spacing w:line="276" w:lineRule="auto"/>
        <w:jc w:val="both"/>
      </w:pPr>
      <w:bookmarkStart w:id="10" w:name="_Toc349300339"/>
      <w:r w:rsidRPr="00762252">
        <w:t>Die Ausgangslage</w:t>
      </w:r>
      <w:r w:rsidR="00BB6A65" w:rsidRPr="00762252">
        <w:t xml:space="preserve"> in den USA</w:t>
      </w:r>
      <w:bookmarkEnd w:id="10"/>
    </w:p>
    <w:p w14:paraId="05933F4E" w14:textId="52E176BB" w:rsidR="00303CB4" w:rsidRPr="00BB7776" w:rsidRDefault="001C1EE3" w:rsidP="009D7629">
      <w:pPr>
        <w:widowControl w:val="0"/>
        <w:autoSpaceDE w:val="0"/>
        <w:autoSpaceDN w:val="0"/>
        <w:adjustRightInd w:val="0"/>
        <w:spacing w:line="276" w:lineRule="auto"/>
        <w:jc w:val="both"/>
        <w:rPr>
          <w:rFonts w:cs="OpenSans"/>
          <w:szCs w:val="22"/>
        </w:rPr>
      </w:pPr>
      <w:r w:rsidRPr="00762252">
        <w:rPr>
          <w:szCs w:val="22"/>
        </w:rPr>
        <w:t>2012 sprach</w:t>
      </w:r>
      <w:r w:rsidR="00292ECE" w:rsidRPr="00762252">
        <w:rPr>
          <w:szCs w:val="22"/>
        </w:rPr>
        <w:t>en</w:t>
      </w:r>
      <w:r w:rsidRPr="00762252">
        <w:rPr>
          <w:szCs w:val="22"/>
        </w:rPr>
        <w:t xml:space="preserve"> sich Volksabstimmung</w:t>
      </w:r>
      <w:r w:rsidR="00292ECE" w:rsidRPr="00762252">
        <w:rPr>
          <w:szCs w:val="22"/>
        </w:rPr>
        <w:t>en</w:t>
      </w:r>
      <w:r w:rsidR="00C17576">
        <w:rPr>
          <w:szCs w:val="22"/>
        </w:rPr>
        <w:t xml:space="preserve"> in den US-Bundess</w:t>
      </w:r>
      <w:r w:rsidRPr="00762252">
        <w:rPr>
          <w:szCs w:val="22"/>
        </w:rPr>
        <w:t xml:space="preserve">taaten Colorado und Washington für eine </w:t>
      </w:r>
      <w:r w:rsidR="00D01097">
        <w:rPr>
          <w:szCs w:val="22"/>
        </w:rPr>
        <w:t>Regulierung</w:t>
      </w:r>
      <w:r w:rsidRPr="00762252">
        <w:rPr>
          <w:szCs w:val="22"/>
        </w:rPr>
        <w:t xml:space="preserve"> auch </w:t>
      </w:r>
      <w:r w:rsidR="00A6102D">
        <w:rPr>
          <w:szCs w:val="22"/>
        </w:rPr>
        <w:t>des</w:t>
      </w:r>
      <w:r w:rsidRPr="00762252">
        <w:rPr>
          <w:szCs w:val="22"/>
        </w:rPr>
        <w:t xml:space="preserve"> Freizeitkonsum</w:t>
      </w:r>
      <w:r w:rsidR="00A6102D">
        <w:rPr>
          <w:szCs w:val="22"/>
        </w:rPr>
        <w:t>s</w:t>
      </w:r>
      <w:r w:rsidRPr="00762252">
        <w:rPr>
          <w:szCs w:val="22"/>
        </w:rPr>
        <w:t xml:space="preserve"> </w:t>
      </w:r>
      <w:r w:rsidR="00A6102D" w:rsidRPr="00762252">
        <w:rPr>
          <w:szCs w:val="22"/>
        </w:rPr>
        <w:t xml:space="preserve">von Marihuana </w:t>
      </w:r>
      <w:r w:rsidRPr="00762252">
        <w:rPr>
          <w:szCs w:val="22"/>
        </w:rPr>
        <w:t>aus.</w:t>
      </w:r>
      <w:r w:rsidR="0006740C" w:rsidRPr="00762252">
        <w:rPr>
          <w:szCs w:val="22"/>
        </w:rPr>
        <w:t xml:space="preserve"> </w:t>
      </w:r>
      <w:r w:rsidR="006528DE">
        <w:rPr>
          <w:szCs w:val="22"/>
        </w:rPr>
        <w:t>Z</w:t>
      </w:r>
      <w:r w:rsidR="0006740C" w:rsidRPr="00762252">
        <w:rPr>
          <w:szCs w:val="22"/>
        </w:rPr>
        <w:t xml:space="preserve">wei Jahre </w:t>
      </w:r>
      <w:r w:rsidR="00801FBD" w:rsidRPr="00762252">
        <w:rPr>
          <w:szCs w:val="22"/>
        </w:rPr>
        <w:t>später</w:t>
      </w:r>
      <w:r w:rsidR="00C31CDF">
        <w:rPr>
          <w:szCs w:val="22"/>
        </w:rPr>
        <w:t xml:space="preserve"> </w:t>
      </w:r>
      <w:r w:rsidR="0006740C" w:rsidRPr="00762252">
        <w:rPr>
          <w:szCs w:val="22"/>
        </w:rPr>
        <w:t xml:space="preserve">folgten </w:t>
      </w:r>
      <w:r w:rsidR="00C31CDF">
        <w:rPr>
          <w:szCs w:val="22"/>
        </w:rPr>
        <w:t xml:space="preserve">im Jahr 2014 </w:t>
      </w:r>
      <w:r w:rsidR="0006740C" w:rsidRPr="00762252">
        <w:rPr>
          <w:szCs w:val="22"/>
        </w:rPr>
        <w:t xml:space="preserve">auch die Staaten Alaska und Oregon </w:t>
      </w:r>
      <w:r w:rsidR="009C5209" w:rsidRPr="00762252">
        <w:rPr>
          <w:szCs w:val="22"/>
        </w:rPr>
        <w:t>diesem Weg</w:t>
      </w:r>
      <w:r w:rsidR="00292ECE" w:rsidRPr="00762252">
        <w:rPr>
          <w:szCs w:val="22"/>
        </w:rPr>
        <w:t>. I</w:t>
      </w:r>
      <w:r w:rsidR="0006740C" w:rsidRPr="00762252">
        <w:rPr>
          <w:szCs w:val="22"/>
        </w:rPr>
        <w:t xml:space="preserve">m November 2016 haben </w:t>
      </w:r>
      <w:r w:rsidR="008B3898" w:rsidRPr="00762252">
        <w:rPr>
          <w:szCs w:val="22"/>
        </w:rPr>
        <w:t xml:space="preserve">sich </w:t>
      </w:r>
      <w:r w:rsidR="0006740C" w:rsidRPr="00762252">
        <w:rPr>
          <w:szCs w:val="22"/>
        </w:rPr>
        <w:t>we</w:t>
      </w:r>
      <w:r w:rsidR="0006740C" w:rsidRPr="00762252">
        <w:rPr>
          <w:szCs w:val="22"/>
        </w:rPr>
        <w:t>i</w:t>
      </w:r>
      <w:r w:rsidR="0006740C" w:rsidRPr="00762252">
        <w:rPr>
          <w:szCs w:val="22"/>
        </w:rPr>
        <w:t xml:space="preserve">tere </w:t>
      </w:r>
      <w:r w:rsidR="00BB7776">
        <w:rPr>
          <w:szCs w:val="22"/>
        </w:rPr>
        <w:t>vier</w:t>
      </w:r>
      <w:r w:rsidR="00884115" w:rsidRPr="00762252">
        <w:rPr>
          <w:szCs w:val="22"/>
        </w:rPr>
        <w:t xml:space="preserve"> </w:t>
      </w:r>
      <w:r w:rsidR="0006740C" w:rsidRPr="00762252">
        <w:rPr>
          <w:szCs w:val="22"/>
        </w:rPr>
        <w:t>Staaten dieser drogenpolitischen Trendwende angeschlossen</w:t>
      </w:r>
      <w:r w:rsidR="00CA7AA3" w:rsidRPr="00762252">
        <w:rPr>
          <w:szCs w:val="22"/>
        </w:rPr>
        <w:t xml:space="preserve">: </w:t>
      </w:r>
      <w:r w:rsidR="00CA7AA3" w:rsidRPr="00BB7776">
        <w:rPr>
          <w:szCs w:val="22"/>
        </w:rPr>
        <w:t>Neben Kalifornien</w:t>
      </w:r>
      <w:r w:rsidR="006528DE" w:rsidRPr="00BB7776">
        <w:rPr>
          <w:szCs w:val="22"/>
        </w:rPr>
        <w:t xml:space="preserve"> auch</w:t>
      </w:r>
      <w:r w:rsidR="00CA7AA3" w:rsidRPr="00BB7776">
        <w:rPr>
          <w:szCs w:val="22"/>
        </w:rPr>
        <w:t xml:space="preserve"> </w:t>
      </w:r>
      <w:hyperlink r:id="rId12" w:history="1"/>
      <w:hyperlink r:id="rId13" w:history="1">
        <w:r w:rsidR="00CA7AA3" w:rsidRPr="00BB7776">
          <w:rPr>
            <w:rFonts w:cs="OpenSans"/>
            <w:szCs w:val="22"/>
          </w:rPr>
          <w:t>Maine</w:t>
        </w:r>
      </w:hyperlink>
      <w:r w:rsidR="00CA7AA3" w:rsidRPr="00BB7776">
        <w:rPr>
          <w:rFonts w:cs="OpenSans"/>
          <w:szCs w:val="22"/>
        </w:rPr>
        <w:t xml:space="preserve">, </w:t>
      </w:r>
      <w:hyperlink r:id="rId14" w:history="1">
        <w:r w:rsidR="00CA7AA3" w:rsidRPr="00BB7776">
          <w:rPr>
            <w:rFonts w:cs="OpenSans"/>
            <w:szCs w:val="22"/>
          </w:rPr>
          <w:t>Massachusetts</w:t>
        </w:r>
      </w:hyperlink>
      <w:r w:rsidR="00CA7AA3" w:rsidRPr="00BB7776">
        <w:rPr>
          <w:rFonts w:cs="OpenSans"/>
          <w:szCs w:val="22"/>
        </w:rPr>
        <w:t xml:space="preserve"> und </w:t>
      </w:r>
      <w:hyperlink r:id="rId15" w:history="1">
        <w:r w:rsidR="00CA7AA3" w:rsidRPr="00BB7776">
          <w:rPr>
            <w:rFonts w:cs="OpenSans"/>
            <w:szCs w:val="22"/>
          </w:rPr>
          <w:t>Nevada</w:t>
        </w:r>
      </w:hyperlink>
      <w:r w:rsidR="00CA7AA3" w:rsidRPr="00BB7776">
        <w:rPr>
          <w:rFonts w:cs="OpenSans"/>
          <w:szCs w:val="22"/>
        </w:rPr>
        <w:t>.</w:t>
      </w:r>
    </w:p>
    <w:p w14:paraId="1F40313F" w14:textId="77777777" w:rsidR="00884115" w:rsidRPr="00762252" w:rsidRDefault="00884115" w:rsidP="009D7629">
      <w:pPr>
        <w:widowControl w:val="0"/>
        <w:autoSpaceDE w:val="0"/>
        <w:autoSpaceDN w:val="0"/>
        <w:adjustRightInd w:val="0"/>
        <w:spacing w:line="276" w:lineRule="auto"/>
        <w:jc w:val="both"/>
        <w:rPr>
          <w:rFonts w:cs="OpenSans"/>
          <w:szCs w:val="22"/>
        </w:rPr>
      </w:pPr>
    </w:p>
    <w:p w14:paraId="5C43D60D" w14:textId="7B08AAAC" w:rsidR="001E0D75" w:rsidRDefault="001E6362" w:rsidP="009D7629">
      <w:pPr>
        <w:spacing w:line="276" w:lineRule="auto"/>
        <w:jc w:val="both"/>
        <w:rPr>
          <w:szCs w:val="22"/>
        </w:rPr>
      </w:pPr>
      <w:r w:rsidRPr="00762252">
        <w:rPr>
          <w:szCs w:val="22"/>
        </w:rPr>
        <w:t>Wichtig für die Einordnung der Rahmenbedingungen</w:t>
      </w:r>
      <w:r w:rsidR="00761F41" w:rsidRPr="00762252">
        <w:rPr>
          <w:szCs w:val="22"/>
        </w:rPr>
        <w:t xml:space="preserve"> </w:t>
      </w:r>
      <w:r w:rsidRPr="00762252">
        <w:rPr>
          <w:szCs w:val="22"/>
        </w:rPr>
        <w:t xml:space="preserve">für eine Umsetzung von Maßnahmen eines neuen drogenpolitischen Politikmodells </w:t>
      </w:r>
      <w:r w:rsidR="00C31CDF">
        <w:rPr>
          <w:szCs w:val="22"/>
        </w:rPr>
        <w:t xml:space="preserve">in den USA </w:t>
      </w:r>
      <w:r w:rsidRPr="00762252">
        <w:rPr>
          <w:szCs w:val="22"/>
        </w:rPr>
        <w:t>ist die Tatsache</w:t>
      </w:r>
      <w:r w:rsidR="00AF7411" w:rsidRPr="00762252">
        <w:rPr>
          <w:szCs w:val="22"/>
        </w:rPr>
        <w:t xml:space="preserve">, dass unabhängig von </w:t>
      </w:r>
      <w:r w:rsidRPr="00762252">
        <w:rPr>
          <w:szCs w:val="22"/>
        </w:rPr>
        <w:t>En</w:t>
      </w:r>
      <w:r w:rsidRPr="00762252">
        <w:rPr>
          <w:szCs w:val="22"/>
        </w:rPr>
        <w:t>t</w:t>
      </w:r>
      <w:r w:rsidRPr="00762252">
        <w:rPr>
          <w:szCs w:val="22"/>
        </w:rPr>
        <w:t xml:space="preserve">scheidungen </w:t>
      </w:r>
      <w:r w:rsidR="00410E0F" w:rsidRPr="00762252">
        <w:rPr>
          <w:szCs w:val="22"/>
        </w:rPr>
        <w:t xml:space="preserve">der einzelnen Bundesstaaten </w:t>
      </w:r>
      <w:r w:rsidR="000A14C8">
        <w:rPr>
          <w:szCs w:val="22"/>
        </w:rPr>
        <w:t>auf gesamtstaatlicher Ebene</w:t>
      </w:r>
      <w:r w:rsidR="00DD165C">
        <w:rPr>
          <w:szCs w:val="22"/>
        </w:rPr>
        <w:t>,</w:t>
      </w:r>
      <w:r w:rsidR="000A14C8">
        <w:rPr>
          <w:szCs w:val="22"/>
        </w:rPr>
        <w:t xml:space="preserve"> </w:t>
      </w:r>
      <w:r w:rsidRPr="00762252">
        <w:rPr>
          <w:szCs w:val="22"/>
        </w:rPr>
        <w:t xml:space="preserve">Cannabis </w:t>
      </w:r>
      <w:r w:rsidR="00410E0F" w:rsidRPr="00762252">
        <w:rPr>
          <w:szCs w:val="22"/>
        </w:rPr>
        <w:t xml:space="preserve">in den USA </w:t>
      </w:r>
      <w:r w:rsidRPr="00762252">
        <w:rPr>
          <w:szCs w:val="22"/>
        </w:rPr>
        <w:t>weiter</w:t>
      </w:r>
      <w:r w:rsidR="000A14C8">
        <w:rPr>
          <w:szCs w:val="22"/>
        </w:rPr>
        <w:t>hin</w:t>
      </w:r>
      <w:r w:rsidR="000236B7">
        <w:rPr>
          <w:szCs w:val="22"/>
        </w:rPr>
        <w:t xml:space="preserve"> in Anlage 1 des Federal Controlled Substances Act von 1970 aufgeführt und damit </w:t>
      </w:r>
      <w:r w:rsidR="000A14C8">
        <w:rPr>
          <w:szCs w:val="22"/>
        </w:rPr>
        <w:t xml:space="preserve"> illegalisiert ist</w:t>
      </w:r>
      <w:r w:rsidR="009558B4">
        <w:rPr>
          <w:rStyle w:val="Funotenzeichen"/>
          <w:szCs w:val="22"/>
        </w:rPr>
        <w:footnoteReference w:id="2"/>
      </w:r>
      <w:r w:rsidR="000A14C8">
        <w:rPr>
          <w:szCs w:val="22"/>
        </w:rPr>
        <w:t>. U</w:t>
      </w:r>
      <w:r w:rsidRPr="00762252">
        <w:rPr>
          <w:szCs w:val="22"/>
        </w:rPr>
        <w:t xml:space="preserve">nter der Obama-Präsidentschaft </w:t>
      </w:r>
      <w:r w:rsidR="000A14C8">
        <w:rPr>
          <w:szCs w:val="22"/>
        </w:rPr>
        <w:t>wu</w:t>
      </w:r>
      <w:r w:rsidR="000A14C8" w:rsidRPr="00762252">
        <w:rPr>
          <w:szCs w:val="22"/>
        </w:rPr>
        <w:t>rd</w:t>
      </w:r>
      <w:r w:rsidR="000A14C8">
        <w:rPr>
          <w:szCs w:val="22"/>
        </w:rPr>
        <w:t>e</w:t>
      </w:r>
      <w:r w:rsidR="000A14C8" w:rsidRPr="00762252">
        <w:rPr>
          <w:szCs w:val="22"/>
        </w:rPr>
        <w:t xml:space="preserve"> </w:t>
      </w:r>
      <w:r w:rsidR="000A14C8">
        <w:rPr>
          <w:szCs w:val="22"/>
        </w:rPr>
        <w:t xml:space="preserve">allerdings </w:t>
      </w:r>
      <w:r w:rsidRPr="00762252">
        <w:rPr>
          <w:szCs w:val="22"/>
        </w:rPr>
        <w:t xml:space="preserve">eine gewisse Duldung </w:t>
      </w:r>
      <w:r w:rsidR="00AF7411" w:rsidRPr="00762252">
        <w:rPr>
          <w:szCs w:val="22"/>
        </w:rPr>
        <w:t>des einzelstaatlichen Vorgehens beispielsweise durch ein Nicht-aktiv-Werden der Bundespolizei praktiziert</w:t>
      </w:r>
      <w:r w:rsidR="000A14C8">
        <w:rPr>
          <w:szCs w:val="22"/>
        </w:rPr>
        <w:t>, durch die sich für die einzelnen Bundesstaaten</w:t>
      </w:r>
      <w:r w:rsidR="00BB7776">
        <w:rPr>
          <w:szCs w:val="22"/>
        </w:rPr>
        <w:t xml:space="preserve"> und deren</w:t>
      </w:r>
      <w:r w:rsidR="00BB7776" w:rsidRPr="00BB7776">
        <w:rPr>
          <w:szCs w:val="22"/>
        </w:rPr>
        <w:t xml:space="preserve"> </w:t>
      </w:r>
      <w:r w:rsidR="00BB7776">
        <w:rPr>
          <w:szCs w:val="22"/>
        </w:rPr>
        <w:t>Coun</w:t>
      </w:r>
      <w:r w:rsidR="00C12328">
        <w:rPr>
          <w:szCs w:val="22"/>
        </w:rPr>
        <w:t>tie</w:t>
      </w:r>
      <w:r w:rsidR="00BB7776">
        <w:rPr>
          <w:szCs w:val="22"/>
        </w:rPr>
        <w:t>s/Landkreise</w:t>
      </w:r>
      <w:r w:rsidR="001E0D75">
        <w:rPr>
          <w:szCs w:val="22"/>
        </w:rPr>
        <w:t xml:space="preserve"> </w:t>
      </w:r>
      <w:r w:rsidR="00C12328">
        <w:rPr>
          <w:szCs w:val="22"/>
        </w:rPr>
        <w:t xml:space="preserve">die drogenpolitischen Möglichkeiten </w:t>
      </w:r>
      <w:r w:rsidR="001E0D75">
        <w:rPr>
          <w:szCs w:val="22"/>
        </w:rPr>
        <w:t>etwas erweiterten</w:t>
      </w:r>
      <w:r w:rsidR="00AF7411" w:rsidRPr="00762252">
        <w:rPr>
          <w:szCs w:val="22"/>
        </w:rPr>
        <w:t xml:space="preserve">. </w:t>
      </w:r>
    </w:p>
    <w:p w14:paraId="23EE806B" w14:textId="0E7EC99E" w:rsidR="00AF7411" w:rsidRPr="00762252" w:rsidRDefault="00AF7411" w:rsidP="009D7629">
      <w:pPr>
        <w:spacing w:line="276" w:lineRule="auto"/>
        <w:jc w:val="both"/>
        <w:rPr>
          <w:szCs w:val="22"/>
        </w:rPr>
      </w:pPr>
      <w:r w:rsidRPr="00762252">
        <w:rPr>
          <w:szCs w:val="22"/>
        </w:rPr>
        <w:t xml:space="preserve">Diese widersprüchliche Rechtslage </w:t>
      </w:r>
      <w:r w:rsidR="00410E0F" w:rsidRPr="00762252">
        <w:rPr>
          <w:szCs w:val="22"/>
        </w:rPr>
        <w:t>setzt</w:t>
      </w:r>
      <w:r w:rsidRPr="00762252">
        <w:rPr>
          <w:szCs w:val="22"/>
        </w:rPr>
        <w:t xml:space="preserve"> allerding</w:t>
      </w:r>
      <w:r w:rsidR="00410E0F" w:rsidRPr="00762252">
        <w:rPr>
          <w:szCs w:val="22"/>
        </w:rPr>
        <w:t>s</w:t>
      </w:r>
      <w:r w:rsidRPr="00762252">
        <w:rPr>
          <w:szCs w:val="22"/>
        </w:rPr>
        <w:t xml:space="preserve"> sowohl für die sich entwickelnde Praxis als auch für eine begleitende Forschung </w:t>
      </w:r>
      <w:r w:rsidR="00410E0F" w:rsidRPr="00762252">
        <w:rPr>
          <w:szCs w:val="22"/>
        </w:rPr>
        <w:t>Grenzen</w:t>
      </w:r>
      <w:r w:rsidR="00847B30">
        <w:rPr>
          <w:szCs w:val="22"/>
        </w:rPr>
        <w:t xml:space="preserve">. Diese ergeben sich daraus, dass </w:t>
      </w:r>
      <w:r w:rsidR="00FE211A" w:rsidRPr="00FE211A">
        <w:rPr>
          <w:i/>
          <w:szCs w:val="22"/>
        </w:rPr>
        <w:t>erstens</w:t>
      </w:r>
      <w:r w:rsidR="00FE211A">
        <w:rPr>
          <w:szCs w:val="22"/>
        </w:rPr>
        <w:t xml:space="preserve"> </w:t>
      </w:r>
      <w:r w:rsidRPr="00762252">
        <w:rPr>
          <w:szCs w:val="22"/>
        </w:rPr>
        <w:t>viele</w:t>
      </w:r>
      <w:r w:rsidR="00884115" w:rsidRPr="00762252">
        <w:rPr>
          <w:szCs w:val="22"/>
        </w:rPr>
        <w:t xml:space="preserve"> Pr</w:t>
      </w:r>
      <w:r w:rsidR="00884115" w:rsidRPr="00762252">
        <w:rPr>
          <w:szCs w:val="22"/>
        </w:rPr>
        <w:t>o</w:t>
      </w:r>
      <w:r w:rsidR="00884115" w:rsidRPr="00762252">
        <w:rPr>
          <w:szCs w:val="22"/>
        </w:rPr>
        <w:t xml:space="preserve">zesse dieses Radical </w:t>
      </w:r>
      <w:r w:rsidR="002E7129">
        <w:rPr>
          <w:szCs w:val="22"/>
        </w:rPr>
        <w:t>Political</w:t>
      </w:r>
      <w:r w:rsidRPr="00762252">
        <w:rPr>
          <w:szCs w:val="22"/>
        </w:rPr>
        <w:t xml:space="preserve"> Shifts nicht </w:t>
      </w:r>
      <w:r w:rsidR="009558B4">
        <w:rPr>
          <w:szCs w:val="22"/>
        </w:rPr>
        <w:t xml:space="preserve">so </w:t>
      </w:r>
      <w:r w:rsidRPr="00762252">
        <w:rPr>
          <w:szCs w:val="22"/>
        </w:rPr>
        <w:t xml:space="preserve">konsequent umgesetzt </w:t>
      </w:r>
      <w:r w:rsidR="00847B30" w:rsidRPr="00762252">
        <w:rPr>
          <w:szCs w:val="22"/>
        </w:rPr>
        <w:t>werden können</w:t>
      </w:r>
      <w:r w:rsidR="009558B4">
        <w:rPr>
          <w:szCs w:val="22"/>
        </w:rPr>
        <w:t>, wie es ko</w:t>
      </w:r>
      <w:r w:rsidR="009558B4">
        <w:rPr>
          <w:szCs w:val="22"/>
        </w:rPr>
        <w:t>n</w:t>
      </w:r>
      <w:r w:rsidR="009558B4">
        <w:rPr>
          <w:szCs w:val="22"/>
        </w:rPr>
        <w:t>zeptio</w:t>
      </w:r>
      <w:r w:rsidR="00FE211A">
        <w:rPr>
          <w:szCs w:val="22"/>
        </w:rPr>
        <w:t>nell nötig wär</w:t>
      </w:r>
      <w:r w:rsidR="00A6102D">
        <w:rPr>
          <w:szCs w:val="22"/>
        </w:rPr>
        <w:t>e</w:t>
      </w:r>
      <w:r w:rsidR="00FE211A">
        <w:rPr>
          <w:szCs w:val="22"/>
        </w:rPr>
        <w:t xml:space="preserve">. </w:t>
      </w:r>
      <w:r w:rsidR="00FE211A" w:rsidRPr="00FE211A">
        <w:rPr>
          <w:i/>
          <w:szCs w:val="22"/>
        </w:rPr>
        <w:t>Zweitens</w:t>
      </w:r>
      <w:r w:rsidR="00FE211A">
        <w:rPr>
          <w:szCs w:val="22"/>
        </w:rPr>
        <w:t xml:space="preserve"> müssen Judikative und Exekutive oftmals entgegengesetzten Leitideen entsprechen.</w:t>
      </w:r>
      <w:r w:rsidR="00847B30">
        <w:rPr>
          <w:szCs w:val="22"/>
        </w:rPr>
        <w:t xml:space="preserve"> </w:t>
      </w:r>
      <w:r w:rsidR="00A6102D">
        <w:rPr>
          <w:i/>
          <w:szCs w:val="22"/>
        </w:rPr>
        <w:t>D</w:t>
      </w:r>
      <w:r w:rsidR="00A6102D" w:rsidRPr="00FE211A">
        <w:rPr>
          <w:i/>
          <w:szCs w:val="22"/>
        </w:rPr>
        <w:t>rittens</w:t>
      </w:r>
      <w:r w:rsidR="00A6102D">
        <w:rPr>
          <w:szCs w:val="22"/>
        </w:rPr>
        <w:t xml:space="preserve"> haben es Begleitforschungen schwer, Förderungen aus nation</w:t>
      </w:r>
      <w:r w:rsidR="00A6102D">
        <w:rPr>
          <w:szCs w:val="22"/>
        </w:rPr>
        <w:t>a</w:t>
      </w:r>
      <w:r w:rsidR="00A6102D">
        <w:rPr>
          <w:szCs w:val="22"/>
        </w:rPr>
        <w:t xml:space="preserve">len Fonds zu erhalten. </w:t>
      </w:r>
      <w:r w:rsidR="00847B30">
        <w:rPr>
          <w:szCs w:val="22"/>
        </w:rPr>
        <w:t>Fragestellungen rund um die wissenschaftliche Beglei</w:t>
      </w:r>
      <w:r w:rsidR="00AE096D">
        <w:rPr>
          <w:szCs w:val="22"/>
        </w:rPr>
        <w:t>tung eines</w:t>
      </w:r>
      <w:r w:rsidR="00847B30">
        <w:rPr>
          <w:szCs w:val="22"/>
        </w:rPr>
        <w:t xml:space="preserve"> </w:t>
      </w:r>
      <w:r w:rsidR="00D01097">
        <w:rPr>
          <w:szCs w:val="22"/>
        </w:rPr>
        <w:t>Reguli</w:t>
      </w:r>
      <w:r w:rsidR="00D01097">
        <w:rPr>
          <w:szCs w:val="22"/>
        </w:rPr>
        <w:t>e</w:t>
      </w:r>
      <w:r w:rsidR="00D01097">
        <w:rPr>
          <w:szCs w:val="22"/>
        </w:rPr>
        <w:t>rung</w:t>
      </w:r>
      <w:r w:rsidR="00AE096D">
        <w:rPr>
          <w:szCs w:val="22"/>
        </w:rPr>
        <w:t>sprozesses</w:t>
      </w:r>
      <w:r w:rsidR="00A6102D">
        <w:rPr>
          <w:szCs w:val="22"/>
        </w:rPr>
        <w:t xml:space="preserve"> sind </w:t>
      </w:r>
      <w:r w:rsidR="00FE211A">
        <w:rPr>
          <w:szCs w:val="22"/>
        </w:rPr>
        <w:t xml:space="preserve">aus nationaler Sicht </w:t>
      </w:r>
      <w:r w:rsidR="00E55C53">
        <w:rPr>
          <w:szCs w:val="22"/>
        </w:rPr>
        <w:t xml:space="preserve">immer noch </w:t>
      </w:r>
      <w:r w:rsidR="00FE211A">
        <w:rPr>
          <w:szCs w:val="22"/>
        </w:rPr>
        <w:t>verbotene</w:t>
      </w:r>
      <w:r w:rsidR="00E55C53">
        <w:rPr>
          <w:szCs w:val="22"/>
        </w:rPr>
        <w:t xml:space="preserve"> Praxis </w:t>
      </w:r>
      <w:r w:rsidR="00A6102D">
        <w:rPr>
          <w:szCs w:val="22"/>
        </w:rPr>
        <w:t>und</w:t>
      </w:r>
      <w:r w:rsidR="00801FBD">
        <w:rPr>
          <w:szCs w:val="22"/>
        </w:rPr>
        <w:t xml:space="preserve"> mit Stigmata belegt,</w:t>
      </w:r>
      <w:r w:rsidR="00A6102D">
        <w:rPr>
          <w:szCs w:val="22"/>
        </w:rPr>
        <w:t xml:space="preserve"> weshalb es fast unmöglich ist, aus nationalen Fonds Gelder für entsprechende Vorhaben einz</w:t>
      </w:r>
      <w:r w:rsidR="00A6102D">
        <w:rPr>
          <w:szCs w:val="22"/>
        </w:rPr>
        <w:t>u</w:t>
      </w:r>
      <w:r w:rsidR="00A6102D">
        <w:rPr>
          <w:szCs w:val="22"/>
        </w:rPr>
        <w:t>werben.</w:t>
      </w:r>
      <w:r w:rsidR="00801FBD">
        <w:rPr>
          <w:szCs w:val="22"/>
        </w:rPr>
        <w:t xml:space="preserve"> </w:t>
      </w:r>
      <w:r w:rsidR="00A6102D">
        <w:rPr>
          <w:szCs w:val="22"/>
        </w:rPr>
        <w:t>Da</w:t>
      </w:r>
      <w:r w:rsidR="00801FBD">
        <w:rPr>
          <w:szCs w:val="22"/>
        </w:rPr>
        <w:t xml:space="preserve">s erklärt, weshalb bisher viele Entwicklungen </w:t>
      </w:r>
      <w:r w:rsidRPr="00762252">
        <w:rPr>
          <w:szCs w:val="22"/>
        </w:rPr>
        <w:t xml:space="preserve">nicht </w:t>
      </w:r>
      <w:r w:rsidR="00410E0F" w:rsidRPr="00762252">
        <w:rPr>
          <w:szCs w:val="22"/>
        </w:rPr>
        <w:t xml:space="preserve">umfassend </w:t>
      </w:r>
      <w:r w:rsidRPr="00762252">
        <w:rPr>
          <w:szCs w:val="22"/>
        </w:rPr>
        <w:t>empirisch abge</w:t>
      </w:r>
      <w:r w:rsidR="00410E0F" w:rsidRPr="00762252">
        <w:rPr>
          <w:szCs w:val="22"/>
        </w:rPr>
        <w:t>bildet</w:t>
      </w:r>
      <w:r w:rsidR="00801FBD">
        <w:rPr>
          <w:szCs w:val="22"/>
        </w:rPr>
        <w:t xml:space="preserve">, konsultativ begleitet oder </w:t>
      </w:r>
      <w:r w:rsidR="00E55C53">
        <w:rPr>
          <w:szCs w:val="22"/>
        </w:rPr>
        <w:t>über das</w:t>
      </w:r>
      <w:r w:rsidR="00DD165C">
        <w:rPr>
          <w:szCs w:val="22"/>
        </w:rPr>
        <w:t xml:space="preserve"> Bereitstellen forschungs</w:t>
      </w:r>
      <w:r w:rsidR="00801FBD">
        <w:rPr>
          <w:szCs w:val="22"/>
        </w:rPr>
        <w:t>eigener Mittel unterstützt werden</w:t>
      </w:r>
      <w:r w:rsidR="00410E0F" w:rsidRPr="00762252">
        <w:rPr>
          <w:szCs w:val="22"/>
        </w:rPr>
        <w:t xml:space="preserve">. </w:t>
      </w:r>
      <w:r w:rsidR="009558B4">
        <w:rPr>
          <w:szCs w:val="22"/>
        </w:rPr>
        <w:t>In der Folge wird die gesetzlich vorgeschriebene Berichterstattung zu den Effekten und Side-</w:t>
      </w:r>
      <w:r w:rsidR="00F403F5">
        <w:rPr>
          <w:szCs w:val="22"/>
        </w:rPr>
        <w:t>E</w:t>
      </w:r>
      <w:r w:rsidR="00AE096D">
        <w:rPr>
          <w:szCs w:val="22"/>
        </w:rPr>
        <w:t>ffekten des</w:t>
      </w:r>
      <w:r w:rsidR="009558B4">
        <w:rPr>
          <w:szCs w:val="22"/>
        </w:rPr>
        <w:t xml:space="preserve"> </w:t>
      </w:r>
      <w:r w:rsidR="00D01097">
        <w:rPr>
          <w:szCs w:val="22"/>
        </w:rPr>
        <w:t>Regulierung</w:t>
      </w:r>
      <w:r w:rsidR="00AE096D">
        <w:rPr>
          <w:szCs w:val="22"/>
        </w:rPr>
        <w:t>sprozesses</w:t>
      </w:r>
      <w:r w:rsidR="009558B4">
        <w:rPr>
          <w:szCs w:val="22"/>
        </w:rPr>
        <w:t xml:space="preserve"> bisher von bereits existierenden Institutionen vorgeno</w:t>
      </w:r>
      <w:r w:rsidR="009558B4">
        <w:rPr>
          <w:szCs w:val="22"/>
        </w:rPr>
        <w:t>m</w:t>
      </w:r>
      <w:r w:rsidR="009558B4">
        <w:rPr>
          <w:szCs w:val="22"/>
        </w:rPr>
        <w:t>men</w:t>
      </w:r>
      <w:r w:rsidR="00F403F5">
        <w:rPr>
          <w:szCs w:val="22"/>
        </w:rPr>
        <w:t>, für die nicht folgerichtig eine unabhängige Darstellung angenommen werden kann. Ins</w:t>
      </w:r>
      <w:r w:rsidR="00F403F5">
        <w:rPr>
          <w:szCs w:val="22"/>
        </w:rPr>
        <w:t>o</w:t>
      </w:r>
      <w:r w:rsidR="00F403F5">
        <w:rPr>
          <w:szCs w:val="22"/>
        </w:rPr>
        <w:t xml:space="preserve">fern ist bei den bisher vorgelegten Übersichtsarbeiten die Interessenlage der Berichterstatter mitzudenken. </w:t>
      </w:r>
      <w:r w:rsidR="00410E0F" w:rsidRPr="00762252">
        <w:rPr>
          <w:szCs w:val="22"/>
        </w:rPr>
        <w:t xml:space="preserve">Es bleibt abzuwarten, wie sich diese </w:t>
      </w:r>
      <w:r w:rsidR="00F403F5">
        <w:rPr>
          <w:szCs w:val="22"/>
        </w:rPr>
        <w:t xml:space="preserve">drogenpolitische </w:t>
      </w:r>
      <w:r w:rsidR="00410E0F" w:rsidRPr="00762252">
        <w:rPr>
          <w:szCs w:val="22"/>
        </w:rPr>
        <w:t>Gemengelage unter einer neuen Präsidentschaft entwickeln wird</w:t>
      </w:r>
      <w:r w:rsidR="00F403F5">
        <w:rPr>
          <w:szCs w:val="22"/>
        </w:rPr>
        <w:t xml:space="preserve"> und wie sich zukünftig eine unabhängige wissenschaftl</w:t>
      </w:r>
      <w:r w:rsidR="00F403F5">
        <w:rPr>
          <w:szCs w:val="22"/>
        </w:rPr>
        <w:t>i</w:t>
      </w:r>
      <w:r w:rsidR="00F403F5">
        <w:rPr>
          <w:szCs w:val="22"/>
        </w:rPr>
        <w:t>che Begleitforschung etablieren kann</w:t>
      </w:r>
      <w:r w:rsidR="00410E0F" w:rsidRPr="00762252">
        <w:rPr>
          <w:szCs w:val="22"/>
        </w:rPr>
        <w:t>.</w:t>
      </w:r>
    </w:p>
    <w:p w14:paraId="5D07EDBC" w14:textId="77777777" w:rsidR="005625CF" w:rsidRDefault="005625CF" w:rsidP="009D7629">
      <w:pPr>
        <w:spacing w:line="276" w:lineRule="auto"/>
        <w:jc w:val="both"/>
        <w:rPr>
          <w:szCs w:val="22"/>
        </w:rPr>
      </w:pPr>
    </w:p>
    <w:p w14:paraId="2D40097E" w14:textId="0CB8F97F" w:rsidR="00F403F5" w:rsidRPr="00F403F5" w:rsidRDefault="00F403F5" w:rsidP="009D7629">
      <w:pPr>
        <w:spacing w:line="276" w:lineRule="auto"/>
        <w:jc w:val="both"/>
        <w:rPr>
          <w:b/>
          <w:szCs w:val="22"/>
        </w:rPr>
      </w:pPr>
      <w:r w:rsidRPr="00F403F5">
        <w:rPr>
          <w:b/>
          <w:szCs w:val="22"/>
        </w:rPr>
        <w:t>Das Beispiel Kalifornien</w:t>
      </w:r>
    </w:p>
    <w:p w14:paraId="425A2367" w14:textId="16F0CD18" w:rsidR="00F403F5" w:rsidRDefault="00E55C53" w:rsidP="009D7629">
      <w:pPr>
        <w:widowControl w:val="0"/>
        <w:autoSpaceDE w:val="0"/>
        <w:autoSpaceDN w:val="0"/>
        <w:adjustRightInd w:val="0"/>
        <w:spacing w:after="240" w:line="276" w:lineRule="auto"/>
        <w:jc w:val="both"/>
        <w:rPr>
          <w:szCs w:val="22"/>
        </w:rPr>
      </w:pPr>
      <w:r>
        <w:rPr>
          <w:szCs w:val="22"/>
        </w:rPr>
        <w:t>S</w:t>
      </w:r>
      <w:r w:rsidRPr="00762252">
        <w:rPr>
          <w:szCs w:val="22"/>
        </w:rPr>
        <w:t xml:space="preserve">ofern </w:t>
      </w:r>
      <w:r w:rsidR="00FE211A">
        <w:rPr>
          <w:szCs w:val="22"/>
        </w:rPr>
        <w:t xml:space="preserve">es </w:t>
      </w:r>
      <w:r w:rsidRPr="00762252">
        <w:rPr>
          <w:szCs w:val="22"/>
        </w:rPr>
        <w:t xml:space="preserve">vorliegende </w:t>
      </w:r>
      <w:r w:rsidR="00A6102D">
        <w:rPr>
          <w:szCs w:val="22"/>
        </w:rPr>
        <w:t>Informationen</w:t>
      </w:r>
      <w:r w:rsidRPr="00762252">
        <w:rPr>
          <w:szCs w:val="22"/>
        </w:rPr>
        <w:t xml:space="preserve"> erlauben</w:t>
      </w:r>
      <w:r>
        <w:rPr>
          <w:szCs w:val="22"/>
        </w:rPr>
        <w:t>,</w:t>
      </w:r>
      <w:r w:rsidRPr="00762252">
        <w:rPr>
          <w:szCs w:val="22"/>
        </w:rPr>
        <w:t xml:space="preserve"> </w:t>
      </w:r>
      <w:r w:rsidR="005625CF" w:rsidRPr="00762252">
        <w:rPr>
          <w:szCs w:val="22"/>
        </w:rPr>
        <w:t xml:space="preserve">soll </w:t>
      </w:r>
      <w:r>
        <w:rPr>
          <w:szCs w:val="22"/>
        </w:rPr>
        <w:t>h</w:t>
      </w:r>
      <w:r w:rsidRPr="00762252">
        <w:rPr>
          <w:szCs w:val="22"/>
        </w:rPr>
        <w:t xml:space="preserve">ier </w:t>
      </w:r>
      <w:r w:rsidR="00A6102D">
        <w:rPr>
          <w:szCs w:val="22"/>
        </w:rPr>
        <w:t>auch</w:t>
      </w:r>
      <w:r w:rsidR="005625CF" w:rsidRPr="00762252">
        <w:rPr>
          <w:szCs w:val="22"/>
        </w:rPr>
        <w:t xml:space="preserve"> </w:t>
      </w:r>
      <w:r w:rsidR="00A6102D">
        <w:rPr>
          <w:szCs w:val="22"/>
        </w:rPr>
        <w:t>das</w:t>
      </w:r>
      <w:r w:rsidR="005625CF" w:rsidRPr="00762252">
        <w:rPr>
          <w:szCs w:val="22"/>
        </w:rPr>
        <w:t xml:space="preserve"> Regulierung</w:t>
      </w:r>
      <w:r w:rsidR="00A6102D">
        <w:rPr>
          <w:szCs w:val="22"/>
        </w:rPr>
        <w:t>smodell</w:t>
      </w:r>
      <w:r w:rsidR="005625CF" w:rsidRPr="00762252">
        <w:rPr>
          <w:szCs w:val="22"/>
        </w:rPr>
        <w:t xml:space="preserve"> </w:t>
      </w:r>
      <w:r w:rsidR="00ED09DE" w:rsidRPr="00762252">
        <w:rPr>
          <w:szCs w:val="22"/>
        </w:rPr>
        <w:t>Kalifo</w:t>
      </w:r>
      <w:r w:rsidR="00ED09DE" w:rsidRPr="00762252">
        <w:rPr>
          <w:szCs w:val="22"/>
        </w:rPr>
        <w:t>r</w:t>
      </w:r>
      <w:r w:rsidR="00ED09DE" w:rsidRPr="00762252">
        <w:rPr>
          <w:szCs w:val="22"/>
        </w:rPr>
        <w:t>nien</w:t>
      </w:r>
      <w:r w:rsidR="00ED09DE">
        <w:rPr>
          <w:szCs w:val="22"/>
        </w:rPr>
        <w:t>s</w:t>
      </w:r>
      <w:r w:rsidR="00ED09DE" w:rsidRPr="00762252">
        <w:rPr>
          <w:szCs w:val="22"/>
        </w:rPr>
        <w:t xml:space="preserve"> </w:t>
      </w:r>
      <w:r w:rsidR="00A6102D">
        <w:rPr>
          <w:szCs w:val="22"/>
        </w:rPr>
        <w:t>zu</w:t>
      </w:r>
      <w:r w:rsidR="00ED09DE">
        <w:rPr>
          <w:szCs w:val="22"/>
        </w:rPr>
        <w:t>m Freizeitkonsum von</w:t>
      </w:r>
      <w:r w:rsidR="005625CF" w:rsidRPr="00762252">
        <w:rPr>
          <w:szCs w:val="22"/>
        </w:rPr>
        <w:t xml:space="preserve"> Marihuana in den Blick genommen werden. </w:t>
      </w:r>
      <w:r w:rsidR="00ED09DE">
        <w:rPr>
          <w:szCs w:val="22"/>
        </w:rPr>
        <w:t>F</w:t>
      </w:r>
      <w:r w:rsidR="000D3835" w:rsidRPr="00762252">
        <w:rPr>
          <w:szCs w:val="22"/>
        </w:rPr>
        <w:t xml:space="preserve">ür Kalifornien </w:t>
      </w:r>
      <w:r w:rsidRPr="00762252">
        <w:rPr>
          <w:szCs w:val="22"/>
        </w:rPr>
        <w:t>ge</w:t>
      </w:r>
      <w:r w:rsidRPr="00762252">
        <w:rPr>
          <w:szCs w:val="22"/>
        </w:rPr>
        <w:t>l</w:t>
      </w:r>
      <w:r w:rsidRPr="00762252">
        <w:rPr>
          <w:szCs w:val="22"/>
        </w:rPr>
        <w:t xml:space="preserve">ten </w:t>
      </w:r>
      <w:r w:rsidR="00ED09DE">
        <w:rPr>
          <w:szCs w:val="22"/>
        </w:rPr>
        <w:t xml:space="preserve">ebenfalls </w:t>
      </w:r>
      <w:r w:rsidR="000D3835" w:rsidRPr="00762252">
        <w:rPr>
          <w:szCs w:val="22"/>
        </w:rPr>
        <w:t>die prohibitiven Gesetze der USA</w:t>
      </w:r>
      <w:r w:rsidR="00801FBD">
        <w:rPr>
          <w:szCs w:val="22"/>
        </w:rPr>
        <w:t xml:space="preserve">. </w:t>
      </w:r>
      <w:r w:rsidR="00ED09DE">
        <w:rPr>
          <w:szCs w:val="22"/>
        </w:rPr>
        <w:t>Allerdings</w:t>
      </w:r>
      <w:r>
        <w:rPr>
          <w:szCs w:val="22"/>
        </w:rPr>
        <w:t xml:space="preserve"> </w:t>
      </w:r>
      <w:r w:rsidR="00ED09DE" w:rsidRPr="00762252">
        <w:rPr>
          <w:szCs w:val="22"/>
        </w:rPr>
        <w:t>fand</w:t>
      </w:r>
      <w:r w:rsidR="00ED09DE">
        <w:rPr>
          <w:szCs w:val="22"/>
        </w:rPr>
        <w:t xml:space="preserve"> </w:t>
      </w:r>
      <w:r>
        <w:rPr>
          <w:szCs w:val="22"/>
        </w:rPr>
        <w:t>d</w:t>
      </w:r>
      <w:r w:rsidR="000D3835" w:rsidRPr="00762252">
        <w:rPr>
          <w:szCs w:val="22"/>
        </w:rPr>
        <w:t xml:space="preserve">as Votum </w:t>
      </w:r>
      <w:r w:rsidR="00ED09DE">
        <w:rPr>
          <w:szCs w:val="22"/>
        </w:rPr>
        <w:t>zu</w:t>
      </w:r>
      <w:r w:rsidR="000D3835" w:rsidRPr="00762252">
        <w:rPr>
          <w:szCs w:val="22"/>
        </w:rPr>
        <w:t xml:space="preserve"> eine</w:t>
      </w:r>
      <w:r w:rsidR="00ED09DE">
        <w:rPr>
          <w:szCs w:val="22"/>
        </w:rPr>
        <w:t>r</w:t>
      </w:r>
      <w:r w:rsidR="000D3835" w:rsidRPr="00762252">
        <w:rPr>
          <w:szCs w:val="22"/>
        </w:rPr>
        <w:t xml:space="preserve"> </w:t>
      </w:r>
      <w:r w:rsidR="00D01097">
        <w:rPr>
          <w:szCs w:val="22"/>
        </w:rPr>
        <w:t>Regulierung</w:t>
      </w:r>
      <w:r w:rsidR="000D3835" w:rsidRPr="00762252">
        <w:rPr>
          <w:szCs w:val="22"/>
        </w:rPr>
        <w:t xml:space="preserve"> erst im November 2016 statt</w:t>
      </w:r>
      <w:r>
        <w:rPr>
          <w:szCs w:val="22"/>
        </w:rPr>
        <w:t xml:space="preserve">, </w:t>
      </w:r>
      <w:r w:rsidR="00ED09DE">
        <w:rPr>
          <w:szCs w:val="22"/>
        </w:rPr>
        <w:t xml:space="preserve">weshalb </w:t>
      </w:r>
      <w:r w:rsidR="000D3835" w:rsidRPr="00762252">
        <w:rPr>
          <w:szCs w:val="22"/>
        </w:rPr>
        <w:t xml:space="preserve">sich </w:t>
      </w:r>
      <w:r w:rsidR="00F403F5">
        <w:rPr>
          <w:szCs w:val="22"/>
        </w:rPr>
        <w:t xml:space="preserve">im </w:t>
      </w:r>
      <w:r w:rsidR="00F30247">
        <w:rPr>
          <w:szCs w:val="22"/>
        </w:rPr>
        <w:t>Jahr 2016</w:t>
      </w:r>
      <w:r w:rsidR="001920D7" w:rsidRPr="00762252">
        <w:rPr>
          <w:szCs w:val="22"/>
        </w:rPr>
        <w:t xml:space="preserve"> </w:t>
      </w:r>
      <w:r w:rsidR="000D3835" w:rsidRPr="00762252">
        <w:rPr>
          <w:szCs w:val="22"/>
        </w:rPr>
        <w:t xml:space="preserve">Vergleiche </w:t>
      </w:r>
      <w:r w:rsidR="009B10D7" w:rsidRPr="00762252">
        <w:rPr>
          <w:szCs w:val="22"/>
        </w:rPr>
        <w:t>zwischen Prä- und P</w:t>
      </w:r>
      <w:r w:rsidR="000D3835" w:rsidRPr="00762252">
        <w:rPr>
          <w:szCs w:val="22"/>
        </w:rPr>
        <w:t>ost-</w:t>
      </w:r>
      <w:r w:rsidR="00D01097">
        <w:rPr>
          <w:szCs w:val="22"/>
        </w:rPr>
        <w:t>Regulierung</w:t>
      </w:r>
      <w:r w:rsidR="009B10D7" w:rsidRPr="00762252">
        <w:rPr>
          <w:szCs w:val="22"/>
        </w:rPr>
        <w:t xml:space="preserve"> </w:t>
      </w:r>
      <w:r w:rsidRPr="00762252">
        <w:rPr>
          <w:szCs w:val="22"/>
        </w:rPr>
        <w:t xml:space="preserve">nicht </w:t>
      </w:r>
      <w:r w:rsidR="009B10D7" w:rsidRPr="00762252">
        <w:rPr>
          <w:szCs w:val="22"/>
        </w:rPr>
        <w:t>aufzeigen</w:t>
      </w:r>
      <w:r w:rsidR="00ED09DE" w:rsidRPr="00ED09DE">
        <w:rPr>
          <w:szCs w:val="22"/>
        </w:rPr>
        <w:t xml:space="preserve"> </w:t>
      </w:r>
      <w:r w:rsidR="00ED09DE" w:rsidRPr="00762252">
        <w:rPr>
          <w:szCs w:val="22"/>
        </w:rPr>
        <w:t>lassen</w:t>
      </w:r>
      <w:r w:rsidR="009B10D7" w:rsidRPr="00762252">
        <w:rPr>
          <w:szCs w:val="22"/>
        </w:rPr>
        <w:t>. Hierzu wird auf Daten aus den Bundessta</w:t>
      </w:r>
      <w:r w:rsidR="00801FBD">
        <w:rPr>
          <w:szCs w:val="22"/>
        </w:rPr>
        <w:t>aten Colorado und</w:t>
      </w:r>
      <w:r w:rsidR="009B10D7" w:rsidRPr="00762252">
        <w:rPr>
          <w:szCs w:val="22"/>
        </w:rPr>
        <w:t xml:space="preserve"> Washington</w:t>
      </w:r>
      <w:r w:rsidR="00801FBD" w:rsidRPr="00801FBD">
        <w:rPr>
          <w:szCs w:val="22"/>
        </w:rPr>
        <w:t xml:space="preserve"> </w:t>
      </w:r>
      <w:r w:rsidR="00801FBD" w:rsidRPr="00762252">
        <w:rPr>
          <w:szCs w:val="22"/>
        </w:rPr>
        <w:t>zurückgegriffen</w:t>
      </w:r>
      <w:r w:rsidR="00801FBD">
        <w:rPr>
          <w:szCs w:val="22"/>
        </w:rPr>
        <w:t xml:space="preserve">. </w:t>
      </w:r>
      <w:r w:rsidR="009B10D7" w:rsidRPr="00762252">
        <w:rPr>
          <w:rFonts w:cs="Georgia"/>
          <w:szCs w:val="22"/>
        </w:rPr>
        <w:t>Alaska und Oregon</w:t>
      </w:r>
      <w:r w:rsidR="00801FBD">
        <w:rPr>
          <w:rFonts w:cs="Georgia"/>
          <w:szCs w:val="22"/>
        </w:rPr>
        <w:t xml:space="preserve"> folgten dieser drogenpolitischen Wende erst 2014, weshalb </w:t>
      </w:r>
      <w:r w:rsidR="00C31CDF">
        <w:rPr>
          <w:rFonts w:cs="Georgia"/>
          <w:szCs w:val="22"/>
        </w:rPr>
        <w:t xml:space="preserve">zum jetzigen Zeitpunkt </w:t>
      </w:r>
      <w:r>
        <w:rPr>
          <w:rFonts w:cs="Georgia"/>
          <w:szCs w:val="22"/>
        </w:rPr>
        <w:t xml:space="preserve">auch </w:t>
      </w:r>
      <w:r w:rsidR="00801FBD">
        <w:rPr>
          <w:rFonts w:cs="Georgia"/>
          <w:szCs w:val="22"/>
        </w:rPr>
        <w:t>für diese beiden Bundesstaaten noch keine aussag</w:t>
      </w:r>
      <w:r w:rsidR="00801FBD">
        <w:rPr>
          <w:rFonts w:cs="Georgia"/>
          <w:szCs w:val="22"/>
        </w:rPr>
        <w:t>e</w:t>
      </w:r>
      <w:r w:rsidR="00801FBD">
        <w:rPr>
          <w:rFonts w:cs="Georgia"/>
          <w:szCs w:val="22"/>
        </w:rPr>
        <w:t>fähigen Daten vorliegen</w:t>
      </w:r>
      <w:r w:rsidR="005625CF" w:rsidRPr="00762252">
        <w:rPr>
          <w:szCs w:val="22"/>
        </w:rPr>
        <w:t xml:space="preserve">. </w:t>
      </w:r>
    </w:p>
    <w:p w14:paraId="5221233B" w14:textId="081EBF1D" w:rsidR="00761F41" w:rsidRPr="00762252" w:rsidRDefault="00D7515F" w:rsidP="009D7629">
      <w:pPr>
        <w:widowControl w:val="0"/>
        <w:autoSpaceDE w:val="0"/>
        <w:autoSpaceDN w:val="0"/>
        <w:adjustRightInd w:val="0"/>
        <w:spacing w:after="240" w:line="276" w:lineRule="auto"/>
        <w:jc w:val="both"/>
        <w:rPr>
          <w:szCs w:val="22"/>
        </w:rPr>
      </w:pPr>
      <w:r>
        <w:rPr>
          <w:szCs w:val="22"/>
        </w:rPr>
        <w:t xml:space="preserve">Für Bundesstaaten mit längerem Vorlauf in der </w:t>
      </w:r>
      <w:r w:rsidR="00D01097">
        <w:rPr>
          <w:szCs w:val="22"/>
        </w:rPr>
        <w:t>Regulierung</w:t>
      </w:r>
      <w:r>
        <w:rPr>
          <w:szCs w:val="22"/>
        </w:rPr>
        <w:t xml:space="preserve"> ist zudem zu berücksichtigen, dass die Umsetzung dieser drogenpolitischen Entscheidung nicht von einem Tag auf den anderen erfolgt</w:t>
      </w:r>
      <w:r w:rsidR="00C31CDF">
        <w:rPr>
          <w:szCs w:val="22"/>
        </w:rPr>
        <w:t>. Es ist zu bedenken</w:t>
      </w:r>
      <w:r>
        <w:rPr>
          <w:szCs w:val="22"/>
        </w:rPr>
        <w:t xml:space="preserve">, </w:t>
      </w:r>
      <w:r w:rsidR="00C31CDF">
        <w:rPr>
          <w:szCs w:val="22"/>
        </w:rPr>
        <w:t>dass sich dieser Politikwechsel als ein umfassender</w:t>
      </w:r>
      <w:r w:rsidR="002E7129">
        <w:rPr>
          <w:szCs w:val="22"/>
        </w:rPr>
        <w:t xml:space="preserve"> Radical P</w:t>
      </w:r>
      <w:r w:rsidR="00C31CDF">
        <w:rPr>
          <w:szCs w:val="22"/>
        </w:rPr>
        <w:t xml:space="preserve">olitical Shift gestaltet, der </w:t>
      </w:r>
      <w:r>
        <w:rPr>
          <w:szCs w:val="22"/>
        </w:rPr>
        <w:t>durch weitere Erlasse untersetz</w:t>
      </w:r>
      <w:r w:rsidR="00C31CDF">
        <w:rPr>
          <w:szCs w:val="22"/>
        </w:rPr>
        <w:t>t we</w:t>
      </w:r>
      <w:r w:rsidR="00FE211A">
        <w:rPr>
          <w:szCs w:val="22"/>
        </w:rPr>
        <w:t>rde</w:t>
      </w:r>
      <w:r w:rsidR="00C31CDF">
        <w:rPr>
          <w:szCs w:val="22"/>
        </w:rPr>
        <w:t>n muss</w:t>
      </w:r>
      <w:r w:rsidR="00F403F5">
        <w:rPr>
          <w:szCs w:val="22"/>
        </w:rPr>
        <w:t xml:space="preserve">, </w:t>
      </w:r>
      <w:r w:rsidR="00C31CDF">
        <w:rPr>
          <w:szCs w:val="22"/>
        </w:rPr>
        <w:t xml:space="preserve">für den </w:t>
      </w:r>
      <w:r>
        <w:rPr>
          <w:szCs w:val="22"/>
        </w:rPr>
        <w:t>entsprechende Inst</w:t>
      </w:r>
      <w:r>
        <w:rPr>
          <w:szCs w:val="22"/>
        </w:rPr>
        <w:t>i</w:t>
      </w:r>
      <w:r>
        <w:rPr>
          <w:szCs w:val="22"/>
        </w:rPr>
        <w:t xml:space="preserve">tutionen </w:t>
      </w:r>
      <w:r w:rsidR="00124173">
        <w:rPr>
          <w:szCs w:val="22"/>
        </w:rPr>
        <w:t xml:space="preserve">erst </w:t>
      </w:r>
      <w:r w:rsidR="00C31CDF">
        <w:rPr>
          <w:szCs w:val="22"/>
        </w:rPr>
        <w:t xml:space="preserve">zu </w:t>
      </w:r>
      <w:r w:rsidR="00124173">
        <w:rPr>
          <w:szCs w:val="22"/>
        </w:rPr>
        <w:t xml:space="preserve">schaffen </w:t>
      </w:r>
      <w:r w:rsidR="00C31CDF">
        <w:rPr>
          <w:szCs w:val="22"/>
        </w:rPr>
        <w:t xml:space="preserve">sind </w:t>
      </w:r>
      <w:r w:rsidR="00F403F5">
        <w:rPr>
          <w:szCs w:val="22"/>
        </w:rPr>
        <w:t xml:space="preserve">und </w:t>
      </w:r>
      <w:r w:rsidR="00C31CDF">
        <w:rPr>
          <w:szCs w:val="22"/>
        </w:rPr>
        <w:t>für dessen wissenschaf</w:t>
      </w:r>
      <w:r w:rsidR="00C51DDC">
        <w:rPr>
          <w:szCs w:val="22"/>
        </w:rPr>
        <w:t>t</w:t>
      </w:r>
      <w:r w:rsidR="00C31CDF">
        <w:rPr>
          <w:szCs w:val="22"/>
        </w:rPr>
        <w:t xml:space="preserve">liche Begleitung </w:t>
      </w:r>
      <w:r w:rsidR="00F403F5">
        <w:rPr>
          <w:szCs w:val="22"/>
        </w:rPr>
        <w:t xml:space="preserve">eine systematische Datenerfassung </w:t>
      </w:r>
      <w:r w:rsidR="00814C68">
        <w:rPr>
          <w:szCs w:val="22"/>
        </w:rPr>
        <w:t xml:space="preserve">zunächst </w:t>
      </w:r>
      <w:r w:rsidR="00F403F5">
        <w:rPr>
          <w:szCs w:val="22"/>
        </w:rPr>
        <w:t xml:space="preserve">konzeptionell </w:t>
      </w:r>
      <w:r w:rsidR="00BC6083">
        <w:rPr>
          <w:szCs w:val="22"/>
        </w:rPr>
        <w:t xml:space="preserve">zu entwickeln und </w:t>
      </w:r>
      <w:r w:rsidR="00ED09DE">
        <w:rPr>
          <w:szCs w:val="22"/>
        </w:rPr>
        <w:t>zu beginnen</w:t>
      </w:r>
      <w:r w:rsidR="00BC6083">
        <w:rPr>
          <w:szCs w:val="22"/>
        </w:rPr>
        <w:t xml:space="preserve"> </w:t>
      </w:r>
      <w:r w:rsidR="00ED09DE">
        <w:rPr>
          <w:szCs w:val="22"/>
        </w:rPr>
        <w:t>ist</w:t>
      </w:r>
      <w:r w:rsidR="00124173">
        <w:rPr>
          <w:szCs w:val="22"/>
        </w:rPr>
        <w:t xml:space="preserve">. </w:t>
      </w:r>
      <w:r w:rsidR="00C31CDF">
        <w:rPr>
          <w:szCs w:val="22"/>
        </w:rPr>
        <w:t xml:space="preserve">Welche Zeiträume für diese Prozesse zu denken sind, wird z. B. im Bundesstaat Colorado deutlich: Dort </w:t>
      </w:r>
      <w:r w:rsidR="00124173">
        <w:rPr>
          <w:szCs w:val="22"/>
        </w:rPr>
        <w:t xml:space="preserve">wurde </w:t>
      </w:r>
      <w:r w:rsidR="00BC6083">
        <w:rPr>
          <w:szCs w:val="22"/>
        </w:rPr>
        <w:t xml:space="preserve">z. B. </w:t>
      </w:r>
      <w:r w:rsidR="00124173">
        <w:rPr>
          <w:szCs w:val="22"/>
        </w:rPr>
        <w:t xml:space="preserve">erst am 25. November 2013 und damit ein Jahr nach dem Votum für eine </w:t>
      </w:r>
      <w:r w:rsidR="00D01097">
        <w:rPr>
          <w:szCs w:val="22"/>
        </w:rPr>
        <w:t>Regulierung</w:t>
      </w:r>
      <w:r w:rsidR="00124173">
        <w:rPr>
          <w:szCs w:val="22"/>
        </w:rPr>
        <w:t xml:space="preserve"> die erste Verkaufsstelle für Marihuana an Freizeitkonsumenten eröffnet</w:t>
      </w:r>
      <w:r w:rsidR="00C31CDF">
        <w:rPr>
          <w:szCs w:val="22"/>
        </w:rPr>
        <w:t xml:space="preserve">, mit der Folge, dass bis dahin bestimmte Formen der Beschaffung strafverfolgt werden konnten. </w:t>
      </w:r>
    </w:p>
    <w:p w14:paraId="4C38841B" w14:textId="7ABD1B11" w:rsidR="00F16F6D" w:rsidRPr="00762252" w:rsidRDefault="00BC6083" w:rsidP="009D7629">
      <w:pPr>
        <w:widowControl w:val="0"/>
        <w:autoSpaceDE w:val="0"/>
        <w:autoSpaceDN w:val="0"/>
        <w:adjustRightInd w:val="0"/>
        <w:spacing w:after="240" w:line="276" w:lineRule="auto"/>
        <w:jc w:val="both"/>
        <w:rPr>
          <w:szCs w:val="22"/>
        </w:rPr>
      </w:pPr>
      <w:r>
        <w:rPr>
          <w:szCs w:val="22"/>
        </w:rPr>
        <w:t xml:space="preserve">Dennoch </w:t>
      </w:r>
      <w:r w:rsidRPr="00762252">
        <w:rPr>
          <w:szCs w:val="22"/>
        </w:rPr>
        <w:t xml:space="preserve">spricht </w:t>
      </w:r>
      <w:r>
        <w:rPr>
          <w:szCs w:val="22"/>
        </w:rPr>
        <w:t>f</w:t>
      </w:r>
      <w:r w:rsidR="009B10D7" w:rsidRPr="00762252">
        <w:rPr>
          <w:szCs w:val="22"/>
        </w:rPr>
        <w:t xml:space="preserve">ür einen </w:t>
      </w:r>
      <w:r w:rsidR="00C31CDF">
        <w:rPr>
          <w:szCs w:val="22"/>
        </w:rPr>
        <w:t>Blick</w:t>
      </w:r>
      <w:r w:rsidR="009B10D7" w:rsidRPr="00762252">
        <w:rPr>
          <w:szCs w:val="22"/>
        </w:rPr>
        <w:t xml:space="preserve"> auf Kalifornien zum einen die besondere </w:t>
      </w:r>
      <w:r w:rsidR="001920D7" w:rsidRPr="00762252">
        <w:rPr>
          <w:szCs w:val="22"/>
        </w:rPr>
        <w:t xml:space="preserve">drogenpolitische </w:t>
      </w:r>
      <w:r w:rsidR="009B10D7" w:rsidRPr="00762252">
        <w:rPr>
          <w:szCs w:val="22"/>
        </w:rPr>
        <w:t>G</w:t>
      </w:r>
      <w:r w:rsidR="009B10D7" w:rsidRPr="00762252">
        <w:rPr>
          <w:szCs w:val="22"/>
        </w:rPr>
        <w:t>e</w:t>
      </w:r>
      <w:r w:rsidR="009B10D7" w:rsidRPr="00762252">
        <w:rPr>
          <w:szCs w:val="22"/>
        </w:rPr>
        <w:t>schichte</w:t>
      </w:r>
      <w:r w:rsidR="001920D7" w:rsidRPr="00762252">
        <w:rPr>
          <w:szCs w:val="22"/>
        </w:rPr>
        <w:t xml:space="preserve"> dieses Bundesstaates in Sachen Cannabis. Zum anderen ist</w:t>
      </w:r>
      <w:r w:rsidR="00F16F6D" w:rsidRPr="00762252">
        <w:rPr>
          <w:szCs w:val="22"/>
        </w:rPr>
        <w:t xml:space="preserve"> </w:t>
      </w:r>
      <w:r w:rsidR="009B10D7" w:rsidRPr="00762252">
        <w:rPr>
          <w:szCs w:val="22"/>
        </w:rPr>
        <w:t>dieser Bundesstaat</w:t>
      </w:r>
      <w:r w:rsidR="005625CF" w:rsidRPr="00762252">
        <w:rPr>
          <w:szCs w:val="22"/>
        </w:rPr>
        <w:t xml:space="preserve"> der </w:t>
      </w:r>
      <w:r w:rsidR="005625CF" w:rsidRPr="00762252">
        <w:rPr>
          <w:rFonts w:cs="Helvetica"/>
          <w:szCs w:val="22"/>
        </w:rPr>
        <w:t>fl</w:t>
      </w:r>
      <w:r w:rsidR="005625CF" w:rsidRPr="00762252">
        <w:rPr>
          <w:rFonts w:cs="Helvetica"/>
          <w:szCs w:val="22"/>
        </w:rPr>
        <w:t>ä</w:t>
      </w:r>
      <w:r w:rsidR="005625CF" w:rsidRPr="00762252">
        <w:rPr>
          <w:rFonts w:cs="Helvetica"/>
          <w:szCs w:val="22"/>
        </w:rPr>
        <w:t>chenmäßig drittgrößte und mit Abstand bevölkerungsreichste</w:t>
      </w:r>
      <w:r w:rsidR="009B10D7" w:rsidRPr="00762252">
        <w:rPr>
          <w:rFonts w:cs="Helvetica"/>
          <w:szCs w:val="22"/>
        </w:rPr>
        <w:t xml:space="preserve"> </w:t>
      </w:r>
      <w:r w:rsidR="005625CF" w:rsidRPr="00762252">
        <w:rPr>
          <w:rFonts w:cs="Helvetica"/>
          <w:szCs w:val="22"/>
        </w:rPr>
        <w:t xml:space="preserve">der </w:t>
      </w:r>
      <w:hyperlink r:id="rId16" w:history="1">
        <w:r w:rsidR="00E55C53">
          <w:rPr>
            <w:rFonts w:cs="Helvetica"/>
            <w:szCs w:val="22"/>
          </w:rPr>
          <w:t>USA</w:t>
        </w:r>
      </w:hyperlink>
      <w:r w:rsidR="005625CF" w:rsidRPr="00762252">
        <w:rPr>
          <w:rFonts w:cs="Helvetica"/>
          <w:szCs w:val="22"/>
        </w:rPr>
        <w:t xml:space="preserve">: Etwa 12 % aller US-Amerikaner leben in Kalifornien. Kalifornien ist zudem ein dynamisch wachsender Bundesstaat, in dem zwischen den Jahren 2000 und 2010 auch die Bevölkerungszahl um </w:t>
      </w:r>
      <w:r w:rsidRPr="00762252">
        <w:rPr>
          <w:rFonts w:cs="Helvetica"/>
          <w:szCs w:val="22"/>
        </w:rPr>
        <w:t xml:space="preserve">10 </w:t>
      </w:r>
      <w:r>
        <w:rPr>
          <w:rFonts w:cs="Helvetica"/>
          <w:szCs w:val="22"/>
        </w:rPr>
        <w:t xml:space="preserve">% </w:t>
      </w:r>
      <w:r w:rsidR="005625CF" w:rsidRPr="00762252">
        <w:rPr>
          <w:rFonts w:cs="Helvetica"/>
          <w:szCs w:val="22"/>
        </w:rPr>
        <w:t>wuchs</w:t>
      </w:r>
      <w:r w:rsidR="00801FBD">
        <w:rPr>
          <w:rFonts w:cs="Helvetica"/>
          <w:szCs w:val="22"/>
        </w:rPr>
        <w:t xml:space="preserve">. </w:t>
      </w:r>
      <w:r w:rsidR="005625CF" w:rsidRPr="00762252">
        <w:rPr>
          <w:rFonts w:cs="Helvetica"/>
          <w:szCs w:val="22"/>
        </w:rPr>
        <w:t>In Kal</w:t>
      </w:r>
      <w:r w:rsidR="005625CF" w:rsidRPr="00762252">
        <w:rPr>
          <w:rFonts w:cs="Helvetica"/>
          <w:szCs w:val="22"/>
        </w:rPr>
        <w:t>i</w:t>
      </w:r>
      <w:r w:rsidR="005625CF" w:rsidRPr="00762252">
        <w:rPr>
          <w:rFonts w:cs="Helvetica"/>
          <w:szCs w:val="22"/>
        </w:rPr>
        <w:t>fornien liegen acht der 50 größten Städte der USA.</w:t>
      </w:r>
      <w:r w:rsidR="00801FBD">
        <w:rPr>
          <w:rStyle w:val="Funotenzeichen"/>
          <w:rFonts w:cs="Helvetica"/>
          <w:szCs w:val="22"/>
        </w:rPr>
        <w:footnoteReference w:id="3"/>
      </w:r>
      <w:r w:rsidR="001E6362" w:rsidRPr="00762252">
        <w:rPr>
          <w:szCs w:val="22"/>
        </w:rPr>
        <w:t xml:space="preserve"> </w:t>
      </w:r>
      <w:r w:rsidR="00F16F6D" w:rsidRPr="00762252">
        <w:rPr>
          <w:szCs w:val="22"/>
        </w:rPr>
        <w:t>Inso</w:t>
      </w:r>
      <w:r w:rsidR="00C31CDF">
        <w:rPr>
          <w:szCs w:val="22"/>
        </w:rPr>
        <w:t>fern hatt</w:t>
      </w:r>
      <w:r w:rsidR="00F16F6D" w:rsidRPr="00762252">
        <w:rPr>
          <w:szCs w:val="22"/>
        </w:rPr>
        <w:t>en politi</w:t>
      </w:r>
      <w:r w:rsidR="00801FBD">
        <w:rPr>
          <w:szCs w:val="22"/>
        </w:rPr>
        <w:t>sche</w:t>
      </w:r>
      <w:r w:rsidR="00F16F6D" w:rsidRPr="00762252">
        <w:rPr>
          <w:szCs w:val="22"/>
        </w:rPr>
        <w:t xml:space="preserve"> Entscheidungen, die Kalifornien getroffen hat, immer </w:t>
      </w:r>
      <w:r w:rsidR="00801FBD" w:rsidRPr="00762252">
        <w:rPr>
          <w:szCs w:val="22"/>
        </w:rPr>
        <w:t xml:space="preserve">schon </w:t>
      </w:r>
      <w:r w:rsidR="00F16F6D" w:rsidRPr="00762252">
        <w:rPr>
          <w:szCs w:val="22"/>
        </w:rPr>
        <w:t xml:space="preserve">Auswirkungen auch für die US-amerikanische Politik insgesamt. Die Drogenpolitik ist </w:t>
      </w:r>
      <w:r w:rsidR="00C31CDF">
        <w:rPr>
          <w:szCs w:val="22"/>
        </w:rPr>
        <w:t>da</w:t>
      </w:r>
      <w:r w:rsidR="00F16F6D" w:rsidRPr="00762252">
        <w:rPr>
          <w:szCs w:val="22"/>
        </w:rPr>
        <w:t>von nicht ausgespart und macht eine Auseinandersetzung mit dem drogenpolitischen Vorgehen dieses Bundesstaates interessant.</w:t>
      </w:r>
    </w:p>
    <w:p w14:paraId="2A213F57" w14:textId="6BFA3EE7" w:rsidR="00F16F6D" w:rsidRPr="00762252" w:rsidRDefault="00F16F6D" w:rsidP="009D7629">
      <w:pPr>
        <w:pStyle w:val="berschrift2"/>
        <w:spacing w:line="276" w:lineRule="auto"/>
        <w:jc w:val="both"/>
      </w:pPr>
      <w:bookmarkStart w:id="11" w:name="_Toc349300340"/>
      <w:r w:rsidRPr="00762252">
        <w:t>Die drogenpolitische Vorgeschichte um Marihuana</w:t>
      </w:r>
      <w:bookmarkEnd w:id="11"/>
    </w:p>
    <w:p w14:paraId="5F6724F0" w14:textId="513C4E70" w:rsidR="001C1EE3" w:rsidRPr="00762252" w:rsidRDefault="00FA5119" w:rsidP="009D7629">
      <w:pPr>
        <w:spacing w:line="276" w:lineRule="auto"/>
        <w:jc w:val="both"/>
        <w:rPr>
          <w:szCs w:val="22"/>
        </w:rPr>
      </w:pPr>
      <w:r>
        <w:rPr>
          <w:szCs w:val="22"/>
        </w:rPr>
        <w:t>Die</w:t>
      </w:r>
      <w:r w:rsidR="00BB6A65" w:rsidRPr="00762252">
        <w:rPr>
          <w:szCs w:val="22"/>
        </w:rPr>
        <w:t xml:space="preserve"> </w:t>
      </w:r>
      <w:r w:rsidR="00410E0F" w:rsidRPr="00762252">
        <w:rPr>
          <w:szCs w:val="22"/>
        </w:rPr>
        <w:t xml:space="preserve">aktuellen drogenpolitischen </w:t>
      </w:r>
      <w:r w:rsidR="00BB6A65" w:rsidRPr="00762252">
        <w:rPr>
          <w:szCs w:val="22"/>
        </w:rPr>
        <w:t xml:space="preserve">Entscheidungen in den USA </w:t>
      </w:r>
      <w:r w:rsidR="005475E3" w:rsidRPr="00762252">
        <w:rPr>
          <w:szCs w:val="22"/>
        </w:rPr>
        <w:t xml:space="preserve">haben </w:t>
      </w:r>
      <w:r w:rsidR="00BB6A65" w:rsidRPr="00762252">
        <w:rPr>
          <w:szCs w:val="22"/>
        </w:rPr>
        <w:t xml:space="preserve">eine besondere </w:t>
      </w:r>
      <w:r w:rsidR="00B269D0" w:rsidRPr="00762252">
        <w:rPr>
          <w:szCs w:val="22"/>
        </w:rPr>
        <w:t>Geschichte, die sich von der</w:t>
      </w:r>
      <w:r w:rsidR="00BB6A65" w:rsidRPr="00762252">
        <w:rPr>
          <w:szCs w:val="22"/>
        </w:rPr>
        <w:t xml:space="preserve"> </w:t>
      </w:r>
      <w:r w:rsidR="00814C68">
        <w:rPr>
          <w:szCs w:val="22"/>
        </w:rPr>
        <w:t xml:space="preserve">in </w:t>
      </w:r>
      <w:r w:rsidR="00957242" w:rsidRPr="00762252">
        <w:rPr>
          <w:szCs w:val="22"/>
        </w:rPr>
        <w:t>Deutschland</w:t>
      </w:r>
      <w:r w:rsidR="00357D16" w:rsidRPr="00357D16">
        <w:rPr>
          <w:szCs w:val="22"/>
        </w:rPr>
        <w:t xml:space="preserve"> </w:t>
      </w:r>
      <w:r w:rsidR="00357D16" w:rsidRPr="00762252">
        <w:rPr>
          <w:szCs w:val="22"/>
        </w:rPr>
        <w:t>deutlich unterscheidet</w:t>
      </w:r>
      <w:r w:rsidR="00BB6A65" w:rsidRPr="00762252">
        <w:rPr>
          <w:szCs w:val="22"/>
        </w:rPr>
        <w:t>.</w:t>
      </w:r>
      <w:r w:rsidR="0006740C" w:rsidRPr="00762252">
        <w:rPr>
          <w:szCs w:val="22"/>
        </w:rPr>
        <w:t xml:space="preserve"> Deshalb ist für eine </w:t>
      </w:r>
      <w:r w:rsidR="00410E0F" w:rsidRPr="00762252">
        <w:rPr>
          <w:szCs w:val="22"/>
        </w:rPr>
        <w:t>sachgerechte</w:t>
      </w:r>
      <w:r w:rsidR="00A94F5D" w:rsidRPr="00762252">
        <w:rPr>
          <w:szCs w:val="22"/>
        </w:rPr>
        <w:t xml:space="preserve"> </w:t>
      </w:r>
      <w:r w:rsidR="005475E3" w:rsidRPr="00762252">
        <w:rPr>
          <w:szCs w:val="22"/>
        </w:rPr>
        <w:t>Bewe</w:t>
      </w:r>
      <w:r w:rsidR="005475E3" w:rsidRPr="00762252">
        <w:rPr>
          <w:szCs w:val="22"/>
        </w:rPr>
        <w:t>r</w:t>
      </w:r>
      <w:r w:rsidR="005475E3" w:rsidRPr="00762252">
        <w:rPr>
          <w:szCs w:val="22"/>
        </w:rPr>
        <w:t xml:space="preserve">tung der Effekte </w:t>
      </w:r>
      <w:r w:rsidR="00C31CDF">
        <w:rPr>
          <w:szCs w:val="22"/>
        </w:rPr>
        <w:t>eines</w:t>
      </w:r>
      <w:r w:rsidR="0006740C" w:rsidRPr="00762252">
        <w:rPr>
          <w:szCs w:val="22"/>
        </w:rPr>
        <w:t xml:space="preserve"> </w:t>
      </w:r>
      <w:r w:rsidR="00357D16" w:rsidRPr="00762252">
        <w:rPr>
          <w:szCs w:val="22"/>
        </w:rPr>
        <w:t xml:space="preserve">drogenpolitischen Wechsels </w:t>
      </w:r>
      <w:r w:rsidR="0006740C" w:rsidRPr="00762252">
        <w:rPr>
          <w:szCs w:val="22"/>
        </w:rPr>
        <w:t xml:space="preserve">wichtig, </w:t>
      </w:r>
      <w:r w:rsidR="00957242" w:rsidRPr="00762252">
        <w:rPr>
          <w:szCs w:val="22"/>
        </w:rPr>
        <w:t>auch d</w:t>
      </w:r>
      <w:r w:rsidR="00B269D0" w:rsidRPr="00762252">
        <w:rPr>
          <w:szCs w:val="22"/>
        </w:rPr>
        <w:t xml:space="preserve">ie Ausgangspunkte </w:t>
      </w:r>
      <w:r w:rsidR="00410E0F" w:rsidRPr="00762252">
        <w:rPr>
          <w:szCs w:val="22"/>
        </w:rPr>
        <w:t xml:space="preserve">und </w:t>
      </w:r>
      <w:r w:rsidR="005475E3" w:rsidRPr="00762252">
        <w:rPr>
          <w:szCs w:val="22"/>
        </w:rPr>
        <w:t xml:space="preserve">die </w:t>
      </w:r>
      <w:r w:rsidR="00410E0F" w:rsidRPr="00762252">
        <w:rPr>
          <w:szCs w:val="22"/>
        </w:rPr>
        <w:t xml:space="preserve">Entwicklungen vor der Regulierung in die </w:t>
      </w:r>
      <w:r>
        <w:rPr>
          <w:szCs w:val="22"/>
        </w:rPr>
        <w:t>Analyse</w:t>
      </w:r>
      <w:r w:rsidR="00410E0F" w:rsidRPr="00762252">
        <w:rPr>
          <w:szCs w:val="22"/>
        </w:rPr>
        <w:t xml:space="preserve"> </w:t>
      </w:r>
      <w:r>
        <w:rPr>
          <w:szCs w:val="22"/>
        </w:rPr>
        <w:t>empirischer</w:t>
      </w:r>
      <w:r w:rsidR="00022463" w:rsidRPr="00762252">
        <w:rPr>
          <w:szCs w:val="22"/>
        </w:rPr>
        <w:t xml:space="preserve"> Befun</w:t>
      </w:r>
      <w:r w:rsidR="00410E0F" w:rsidRPr="00762252">
        <w:rPr>
          <w:szCs w:val="22"/>
        </w:rPr>
        <w:t>de</w:t>
      </w:r>
      <w:r w:rsidR="00022463" w:rsidRPr="00762252">
        <w:rPr>
          <w:szCs w:val="22"/>
        </w:rPr>
        <w:t xml:space="preserve"> </w:t>
      </w:r>
      <w:r w:rsidR="00A94F5D" w:rsidRPr="00762252">
        <w:rPr>
          <w:szCs w:val="22"/>
        </w:rPr>
        <w:t>einzubeziehen</w:t>
      </w:r>
      <w:r w:rsidR="00410E0F" w:rsidRPr="00762252">
        <w:rPr>
          <w:szCs w:val="22"/>
        </w:rPr>
        <w:t xml:space="preserve">. </w:t>
      </w:r>
    </w:p>
    <w:p w14:paraId="1300FCDB" w14:textId="77777777" w:rsidR="00F84BB1" w:rsidRPr="00762252" w:rsidRDefault="00F84BB1" w:rsidP="009D7629">
      <w:pPr>
        <w:spacing w:line="276" w:lineRule="auto"/>
        <w:jc w:val="both"/>
        <w:rPr>
          <w:szCs w:val="22"/>
        </w:rPr>
      </w:pPr>
    </w:p>
    <w:p w14:paraId="3DC61194" w14:textId="7CA8930C" w:rsidR="008853BE" w:rsidRDefault="008B3898" w:rsidP="009D7629">
      <w:pPr>
        <w:spacing w:line="276" w:lineRule="auto"/>
        <w:jc w:val="both"/>
        <w:rPr>
          <w:szCs w:val="22"/>
        </w:rPr>
      </w:pPr>
      <w:r w:rsidRPr="00762252">
        <w:rPr>
          <w:szCs w:val="22"/>
        </w:rPr>
        <w:t xml:space="preserve">Bis zum 20. Jahrhundert war </w:t>
      </w:r>
      <w:r w:rsidR="00C97196" w:rsidRPr="00762252">
        <w:rPr>
          <w:szCs w:val="22"/>
        </w:rPr>
        <w:t xml:space="preserve">Marihuana </w:t>
      </w:r>
      <w:r w:rsidRPr="00762252">
        <w:rPr>
          <w:szCs w:val="22"/>
        </w:rPr>
        <w:t xml:space="preserve">In den USA </w:t>
      </w:r>
      <w:r w:rsidR="00C97196" w:rsidRPr="00762252">
        <w:rPr>
          <w:szCs w:val="22"/>
        </w:rPr>
        <w:t>eine legal verfügbare Droge</w:t>
      </w:r>
      <w:r w:rsidR="00ED09DE">
        <w:rPr>
          <w:szCs w:val="22"/>
        </w:rPr>
        <w:t xml:space="preserve"> und konnte </w:t>
      </w:r>
      <w:r w:rsidR="00C31CDF">
        <w:rPr>
          <w:szCs w:val="22"/>
        </w:rPr>
        <w:t>unter den klimatischen Bedingungen einiger Bundesstaaten gut angebaut werden.</w:t>
      </w:r>
      <w:r w:rsidRPr="00762252">
        <w:rPr>
          <w:szCs w:val="22"/>
        </w:rPr>
        <w:t xml:space="preserve"> Diese wurde</w:t>
      </w:r>
      <w:r w:rsidR="005475E3" w:rsidRPr="00762252">
        <w:rPr>
          <w:szCs w:val="22"/>
        </w:rPr>
        <w:t>,</w:t>
      </w:r>
      <w:r w:rsidR="00C97196" w:rsidRPr="00762252">
        <w:rPr>
          <w:szCs w:val="22"/>
        </w:rPr>
        <w:t xml:space="preserve"> </w:t>
      </w:r>
      <w:r w:rsidR="00357D16">
        <w:rPr>
          <w:szCs w:val="22"/>
        </w:rPr>
        <w:t>(</w:t>
      </w:r>
      <w:r w:rsidR="00C97196" w:rsidRPr="00762252">
        <w:rPr>
          <w:szCs w:val="22"/>
        </w:rPr>
        <w:t>beginnend in Kalifornien</w:t>
      </w:r>
      <w:r w:rsidR="00357D16">
        <w:rPr>
          <w:rStyle w:val="Funotenzeichen"/>
          <w:szCs w:val="22"/>
        </w:rPr>
        <w:footnoteReference w:id="4"/>
      </w:r>
      <w:r w:rsidR="00357D16">
        <w:rPr>
          <w:szCs w:val="22"/>
        </w:rPr>
        <w:t>)</w:t>
      </w:r>
      <w:r w:rsidR="008853BE">
        <w:rPr>
          <w:szCs w:val="22"/>
        </w:rPr>
        <w:t xml:space="preserve"> ab 1913 von einzelnen Bundess</w:t>
      </w:r>
      <w:r w:rsidR="00C97196" w:rsidRPr="00762252">
        <w:rPr>
          <w:szCs w:val="22"/>
        </w:rPr>
        <w:t xml:space="preserve">taaten Stück für </w:t>
      </w:r>
      <w:r w:rsidR="009C5209" w:rsidRPr="00762252">
        <w:rPr>
          <w:szCs w:val="22"/>
        </w:rPr>
        <w:t>Stück unter prohib</w:t>
      </w:r>
      <w:r w:rsidR="009C5209" w:rsidRPr="00762252">
        <w:rPr>
          <w:szCs w:val="22"/>
        </w:rPr>
        <w:t>i</w:t>
      </w:r>
      <w:r w:rsidR="009C5209" w:rsidRPr="00762252">
        <w:rPr>
          <w:szCs w:val="22"/>
        </w:rPr>
        <w:t>tive Gesetze</w:t>
      </w:r>
      <w:r w:rsidR="00C97196" w:rsidRPr="00762252">
        <w:rPr>
          <w:szCs w:val="22"/>
        </w:rPr>
        <w:t xml:space="preserve"> ge</w:t>
      </w:r>
      <w:r w:rsidR="008853BE">
        <w:rPr>
          <w:szCs w:val="22"/>
        </w:rPr>
        <w:t>stellt. 1930 hatten bereits 30 Bundess</w:t>
      </w:r>
      <w:r w:rsidR="00C97196" w:rsidRPr="00762252">
        <w:rPr>
          <w:szCs w:val="22"/>
        </w:rPr>
        <w:t xml:space="preserve">taaten Marihuana </w:t>
      </w:r>
      <w:r w:rsidRPr="00762252">
        <w:rPr>
          <w:szCs w:val="22"/>
        </w:rPr>
        <w:t>illegalisiert</w:t>
      </w:r>
      <w:r w:rsidR="002E7129">
        <w:rPr>
          <w:szCs w:val="22"/>
        </w:rPr>
        <w:t>.</w:t>
      </w:r>
      <w:r w:rsidRPr="00762252">
        <w:rPr>
          <w:szCs w:val="22"/>
        </w:rPr>
        <w:t xml:space="preserve"> Diese En</w:t>
      </w:r>
      <w:r w:rsidRPr="00762252">
        <w:rPr>
          <w:szCs w:val="22"/>
        </w:rPr>
        <w:t>t</w:t>
      </w:r>
      <w:r w:rsidRPr="00762252">
        <w:rPr>
          <w:szCs w:val="22"/>
        </w:rPr>
        <w:t>wicklung wurde m</w:t>
      </w:r>
      <w:r w:rsidR="00C97196" w:rsidRPr="00762252">
        <w:rPr>
          <w:szCs w:val="22"/>
        </w:rPr>
        <w:t xml:space="preserve">it dem Boggs Act von 1952 und dem Narcotics Control Act von 1956 </w:t>
      </w:r>
      <w:r w:rsidRPr="00762252">
        <w:rPr>
          <w:szCs w:val="22"/>
        </w:rPr>
        <w:t>weiter fortgesetzt</w:t>
      </w:r>
      <w:r w:rsidR="00BC6083">
        <w:rPr>
          <w:szCs w:val="22"/>
        </w:rPr>
        <w:t>. B</w:t>
      </w:r>
      <w:r w:rsidRPr="00762252">
        <w:rPr>
          <w:szCs w:val="22"/>
        </w:rPr>
        <w:t xml:space="preserve">eide Gesetzeswerke </w:t>
      </w:r>
      <w:r w:rsidR="00BC6083">
        <w:rPr>
          <w:szCs w:val="22"/>
        </w:rPr>
        <w:t xml:space="preserve">legten </w:t>
      </w:r>
      <w:r w:rsidRPr="00762252">
        <w:rPr>
          <w:szCs w:val="22"/>
        </w:rPr>
        <w:t>harte Strafen für jeglichen</w:t>
      </w:r>
      <w:r w:rsidR="00C97196" w:rsidRPr="00762252">
        <w:rPr>
          <w:szCs w:val="22"/>
        </w:rPr>
        <w:t xml:space="preserve"> Umgang mit Marihuana fest</w:t>
      </w:r>
      <w:r w:rsidR="00BC6083">
        <w:rPr>
          <w:szCs w:val="22"/>
        </w:rPr>
        <w:t xml:space="preserve"> </w:t>
      </w:r>
      <w:r w:rsidR="00C97196" w:rsidRPr="00762252">
        <w:rPr>
          <w:szCs w:val="22"/>
        </w:rPr>
        <w:t xml:space="preserve">(u. a. </w:t>
      </w:r>
      <w:r w:rsidR="00C31CDF" w:rsidRPr="00762252">
        <w:rPr>
          <w:szCs w:val="22"/>
        </w:rPr>
        <w:t xml:space="preserve">konnte </w:t>
      </w:r>
      <w:r w:rsidR="00C97196" w:rsidRPr="00762252">
        <w:rPr>
          <w:szCs w:val="22"/>
        </w:rPr>
        <w:t>Erstauffällig</w:t>
      </w:r>
      <w:r w:rsidR="001920D7" w:rsidRPr="00762252">
        <w:rPr>
          <w:szCs w:val="22"/>
        </w:rPr>
        <w:t>e</w:t>
      </w:r>
      <w:r w:rsidR="00C97196" w:rsidRPr="00762252">
        <w:rPr>
          <w:szCs w:val="22"/>
        </w:rPr>
        <w:t xml:space="preserve"> mit Marihuana</w:t>
      </w:r>
      <w:r w:rsidR="002E7129">
        <w:rPr>
          <w:szCs w:val="22"/>
        </w:rPr>
        <w:t>-K</w:t>
      </w:r>
      <w:r w:rsidR="00C31CDF">
        <w:rPr>
          <w:szCs w:val="22"/>
        </w:rPr>
        <w:t>onsum</w:t>
      </w:r>
      <w:r w:rsidR="00C97196" w:rsidRPr="00762252">
        <w:rPr>
          <w:szCs w:val="22"/>
        </w:rPr>
        <w:t xml:space="preserve"> mit 2-10 Jahren Gefängnis und einer Gel</w:t>
      </w:r>
      <w:r w:rsidR="00C97196" w:rsidRPr="00762252">
        <w:rPr>
          <w:szCs w:val="22"/>
        </w:rPr>
        <w:t>d</w:t>
      </w:r>
      <w:r w:rsidR="00C97196" w:rsidRPr="00762252">
        <w:rPr>
          <w:szCs w:val="22"/>
        </w:rPr>
        <w:t xml:space="preserve">strafe </w:t>
      </w:r>
      <w:r w:rsidR="008853BE">
        <w:rPr>
          <w:szCs w:val="22"/>
        </w:rPr>
        <w:t xml:space="preserve">von </w:t>
      </w:r>
      <w:r w:rsidR="00C97196" w:rsidRPr="00762252">
        <w:rPr>
          <w:szCs w:val="22"/>
        </w:rPr>
        <w:t>bis 20.000 $ bestraft werden)</w:t>
      </w:r>
      <w:r w:rsidRPr="00762252">
        <w:rPr>
          <w:szCs w:val="22"/>
        </w:rPr>
        <w:t xml:space="preserve">. Diese </w:t>
      </w:r>
      <w:r w:rsidR="00BC6083">
        <w:rPr>
          <w:szCs w:val="22"/>
        </w:rPr>
        <w:t xml:space="preserve">Politik einer strengen Kriminalisierung </w:t>
      </w:r>
      <w:r w:rsidR="00C31CDF">
        <w:rPr>
          <w:szCs w:val="22"/>
        </w:rPr>
        <w:t>wurde</w:t>
      </w:r>
      <w:r w:rsidRPr="00762252">
        <w:rPr>
          <w:szCs w:val="22"/>
        </w:rPr>
        <w:t xml:space="preserve"> </w:t>
      </w:r>
      <w:r w:rsidR="00C97196" w:rsidRPr="00762252">
        <w:rPr>
          <w:szCs w:val="22"/>
        </w:rPr>
        <w:t xml:space="preserve">zwar </w:t>
      </w:r>
      <w:r w:rsidR="008853BE">
        <w:rPr>
          <w:szCs w:val="22"/>
        </w:rPr>
        <w:t>in den frühen 1970</w:t>
      </w:r>
      <w:r w:rsidR="00FB663C" w:rsidRPr="00762252">
        <w:rPr>
          <w:szCs w:val="22"/>
        </w:rPr>
        <w:t xml:space="preserve">er Jahren </w:t>
      </w:r>
      <w:r w:rsidR="001920D7" w:rsidRPr="00762252">
        <w:rPr>
          <w:szCs w:val="22"/>
        </w:rPr>
        <w:t xml:space="preserve">durch </w:t>
      </w:r>
      <w:r w:rsidR="005475E3" w:rsidRPr="00762252">
        <w:rPr>
          <w:szCs w:val="22"/>
        </w:rPr>
        <w:t>einzelne</w:t>
      </w:r>
      <w:r w:rsidR="001920D7" w:rsidRPr="00762252">
        <w:rPr>
          <w:szCs w:val="22"/>
        </w:rPr>
        <w:t xml:space="preserve"> Bundesstaaten </w:t>
      </w:r>
      <w:r w:rsidR="00FB663C" w:rsidRPr="00762252">
        <w:rPr>
          <w:szCs w:val="22"/>
        </w:rPr>
        <w:t>immer wieder relativiert, a</w:t>
      </w:r>
      <w:r w:rsidR="00FB663C" w:rsidRPr="00762252">
        <w:rPr>
          <w:szCs w:val="22"/>
        </w:rPr>
        <w:t>l</w:t>
      </w:r>
      <w:r w:rsidR="00FB663C" w:rsidRPr="00762252">
        <w:rPr>
          <w:szCs w:val="22"/>
        </w:rPr>
        <w:t>lerdings mit de</w:t>
      </w:r>
      <w:r w:rsidR="00C12328">
        <w:rPr>
          <w:szCs w:val="22"/>
        </w:rPr>
        <w:t>m Anti-Drug Abuse Act unter Ronal</w:t>
      </w:r>
      <w:r w:rsidR="00FB663C" w:rsidRPr="00762252">
        <w:rPr>
          <w:szCs w:val="22"/>
        </w:rPr>
        <w:t xml:space="preserve">d Reagan </w:t>
      </w:r>
      <w:r w:rsidRPr="00762252">
        <w:rPr>
          <w:szCs w:val="22"/>
        </w:rPr>
        <w:t xml:space="preserve">1986 </w:t>
      </w:r>
      <w:r w:rsidR="00814C68">
        <w:rPr>
          <w:szCs w:val="22"/>
        </w:rPr>
        <w:t xml:space="preserve">auch </w:t>
      </w:r>
      <w:r w:rsidR="00FB663C" w:rsidRPr="00762252">
        <w:rPr>
          <w:szCs w:val="22"/>
        </w:rPr>
        <w:t xml:space="preserve">wieder verschärft. </w:t>
      </w:r>
    </w:p>
    <w:p w14:paraId="5698B02A" w14:textId="227C3AC5" w:rsidR="00DB211E" w:rsidRPr="00762252" w:rsidRDefault="00FB663C" w:rsidP="009D7629">
      <w:pPr>
        <w:spacing w:line="276" w:lineRule="auto"/>
        <w:jc w:val="both"/>
        <w:rPr>
          <w:szCs w:val="22"/>
        </w:rPr>
      </w:pPr>
      <w:r w:rsidRPr="00762252">
        <w:rPr>
          <w:szCs w:val="22"/>
        </w:rPr>
        <w:t xml:space="preserve">Dennoch kann für die USA festgehalten werden, dass es bereits zwischen 1973 und 1978 </w:t>
      </w:r>
      <w:r w:rsidRPr="00DE41C4">
        <w:rPr>
          <w:szCs w:val="22"/>
        </w:rPr>
        <w:t>begi</w:t>
      </w:r>
      <w:r w:rsidRPr="00DE41C4">
        <w:rPr>
          <w:szCs w:val="22"/>
        </w:rPr>
        <w:t>n</w:t>
      </w:r>
      <w:r w:rsidRPr="00DE41C4">
        <w:rPr>
          <w:szCs w:val="22"/>
        </w:rPr>
        <w:t xml:space="preserve">nend mit Oregon in elf Bundesstaaten </w:t>
      </w:r>
      <w:r w:rsidR="00BC6083" w:rsidRPr="00DE41C4">
        <w:rPr>
          <w:szCs w:val="22"/>
        </w:rPr>
        <w:t>eine erste Welle der Entkriminalisierung gab</w:t>
      </w:r>
      <w:r w:rsidR="00ED09DE">
        <w:rPr>
          <w:szCs w:val="22"/>
        </w:rPr>
        <w:t>. Die</w:t>
      </w:r>
      <w:r w:rsidR="00545A5E" w:rsidRPr="00DE41C4">
        <w:rPr>
          <w:szCs w:val="22"/>
        </w:rPr>
        <w:t xml:space="preserve"> </w:t>
      </w:r>
      <w:r w:rsidRPr="00762252">
        <w:rPr>
          <w:szCs w:val="22"/>
        </w:rPr>
        <w:t>Bestr</w:t>
      </w:r>
      <w:r w:rsidRPr="00762252">
        <w:rPr>
          <w:szCs w:val="22"/>
        </w:rPr>
        <w:t>e</w:t>
      </w:r>
      <w:r w:rsidRPr="00762252">
        <w:rPr>
          <w:szCs w:val="22"/>
        </w:rPr>
        <w:t>bungen</w:t>
      </w:r>
      <w:r w:rsidR="00C12328">
        <w:rPr>
          <w:szCs w:val="22"/>
        </w:rPr>
        <w:t xml:space="preserve"> zielten dara</w:t>
      </w:r>
      <w:r w:rsidR="00ED09DE">
        <w:rPr>
          <w:szCs w:val="22"/>
        </w:rPr>
        <w:t>uf</w:t>
      </w:r>
      <w:r w:rsidR="00545A5E">
        <w:rPr>
          <w:szCs w:val="22"/>
        </w:rPr>
        <w:t>, zumindest</w:t>
      </w:r>
      <w:r w:rsidRPr="00762252">
        <w:rPr>
          <w:szCs w:val="22"/>
        </w:rPr>
        <w:t xml:space="preserve"> </w:t>
      </w:r>
      <w:r w:rsidR="00545A5E">
        <w:rPr>
          <w:szCs w:val="22"/>
        </w:rPr>
        <w:t>den</w:t>
      </w:r>
      <w:r w:rsidRPr="00762252">
        <w:rPr>
          <w:szCs w:val="22"/>
        </w:rPr>
        <w:t xml:space="preserve"> Umgang </w:t>
      </w:r>
      <w:r w:rsidR="0042245F" w:rsidRPr="00762252">
        <w:rPr>
          <w:szCs w:val="22"/>
        </w:rPr>
        <w:t>mit kleinen Mengen</w:t>
      </w:r>
      <w:r w:rsidRPr="00762252">
        <w:rPr>
          <w:szCs w:val="22"/>
        </w:rPr>
        <w:t xml:space="preserve"> Marihuana </w:t>
      </w:r>
      <w:r w:rsidR="00545A5E">
        <w:rPr>
          <w:szCs w:val="22"/>
        </w:rPr>
        <w:t>zu entkriminal</w:t>
      </w:r>
      <w:r w:rsidR="00545A5E">
        <w:rPr>
          <w:szCs w:val="22"/>
        </w:rPr>
        <w:t>i</w:t>
      </w:r>
      <w:r w:rsidR="00545A5E">
        <w:rPr>
          <w:szCs w:val="22"/>
        </w:rPr>
        <w:t>sieren</w:t>
      </w:r>
      <w:r w:rsidR="0042245F" w:rsidRPr="00762252">
        <w:rPr>
          <w:szCs w:val="22"/>
        </w:rPr>
        <w:t xml:space="preserve">. </w:t>
      </w:r>
      <w:r w:rsidRPr="00762252">
        <w:rPr>
          <w:szCs w:val="22"/>
        </w:rPr>
        <w:t xml:space="preserve">Dieser ersten folgte </w:t>
      </w:r>
      <w:r w:rsidR="0042245F" w:rsidRPr="00762252">
        <w:rPr>
          <w:szCs w:val="22"/>
        </w:rPr>
        <w:t>ab 2001</w:t>
      </w:r>
      <w:r w:rsidRPr="00762252">
        <w:rPr>
          <w:szCs w:val="22"/>
        </w:rPr>
        <w:t>eine zweite</w:t>
      </w:r>
      <w:r w:rsidR="00545A5E">
        <w:rPr>
          <w:szCs w:val="22"/>
        </w:rPr>
        <w:t xml:space="preserve"> Welle</w:t>
      </w:r>
      <w:r w:rsidR="00DB211E" w:rsidRPr="00762252">
        <w:rPr>
          <w:szCs w:val="22"/>
        </w:rPr>
        <w:t xml:space="preserve">, die ihren Anfang </w:t>
      </w:r>
      <w:r w:rsidRPr="00762252">
        <w:rPr>
          <w:szCs w:val="22"/>
        </w:rPr>
        <w:t>in Nevada</w:t>
      </w:r>
      <w:r w:rsidR="00DB211E" w:rsidRPr="00762252">
        <w:rPr>
          <w:szCs w:val="22"/>
        </w:rPr>
        <w:t xml:space="preserve"> </w:t>
      </w:r>
      <w:r w:rsidR="008853BE">
        <w:rPr>
          <w:szCs w:val="22"/>
        </w:rPr>
        <w:t>nahm</w:t>
      </w:r>
      <w:r w:rsidR="00DB211E" w:rsidRPr="00762252">
        <w:rPr>
          <w:szCs w:val="22"/>
        </w:rPr>
        <w:t>.</w:t>
      </w:r>
      <w:r w:rsidR="00F16F6D" w:rsidRPr="00762252">
        <w:rPr>
          <w:szCs w:val="22"/>
        </w:rPr>
        <w:t xml:space="preserve"> In di</w:t>
      </w:r>
      <w:r w:rsidR="00F16F6D" w:rsidRPr="00762252">
        <w:rPr>
          <w:szCs w:val="22"/>
        </w:rPr>
        <w:t>e</w:t>
      </w:r>
      <w:r w:rsidR="00F16F6D" w:rsidRPr="00762252">
        <w:rPr>
          <w:szCs w:val="22"/>
        </w:rPr>
        <w:t xml:space="preserve">ser </w:t>
      </w:r>
      <w:r w:rsidR="00DE41C4">
        <w:rPr>
          <w:szCs w:val="22"/>
        </w:rPr>
        <w:t xml:space="preserve">Zeit </w:t>
      </w:r>
      <w:r w:rsidR="00F16F6D" w:rsidRPr="00762252">
        <w:rPr>
          <w:szCs w:val="22"/>
        </w:rPr>
        <w:t xml:space="preserve">setzten </w:t>
      </w:r>
      <w:r w:rsidR="002F5812">
        <w:rPr>
          <w:szCs w:val="22"/>
        </w:rPr>
        <w:t>nochmals</w:t>
      </w:r>
      <w:r w:rsidRPr="00762252">
        <w:rPr>
          <w:szCs w:val="22"/>
        </w:rPr>
        <w:t xml:space="preserve"> neun Bundesstaaten entkriminalisierende Gesetze </w:t>
      </w:r>
      <w:r w:rsidR="00FA5119">
        <w:rPr>
          <w:szCs w:val="22"/>
        </w:rPr>
        <w:t xml:space="preserve">für den Marihuana-Konsum </w:t>
      </w:r>
      <w:r w:rsidRPr="00762252">
        <w:rPr>
          <w:szCs w:val="22"/>
        </w:rPr>
        <w:t>durch</w:t>
      </w:r>
      <w:r w:rsidR="00DB211E" w:rsidRPr="00762252">
        <w:rPr>
          <w:szCs w:val="22"/>
        </w:rPr>
        <w:t xml:space="preserve">. </w:t>
      </w:r>
    </w:p>
    <w:p w14:paraId="27F12617" w14:textId="19CAF31B" w:rsidR="00F84BB1" w:rsidRDefault="001920D7" w:rsidP="009D7629">
      <w:pPr>
        <w:spacing w:line="276" w:lineRule="auto"/>
        <w:jc w:val="both"/>
        <w:rPr>
          <w:szCs w:val="22"/>
        </w:rPr>
      </w:pPr>
      <w:r w:rsidRPr="00762252">
        <w:rPr>
          <w:szCs w:val="22"/>
        </w:rPr>
        <w:t>Weitere 25 Bundesstaaten schlugen e</w:t>
      </w:r>
      <w:r w:rsidR="00FB663C" w:rsidRPr="00762252">
        <w:rPr>
          <w:szCs w:val="22"/>
        </w:rPr>
        <w:t>ine</w:t>
      </w:r>
      <w:r w:rsidR="00F84BB1" w:rsidRPr="00762252">
        <w:rPr>
          <w:szCs w:val="22"/>
        </w:rPr>
        <w:t>n</w:t>
      </w:r>
      <w:r w:rsidR="00FB663C" w:rsidRPr="00762252">
        <w:rPr>
          <w:szCs w:val="22"/>
        </w:rPr>
        <w:t xml:space="preserve"> </w:t>
      </w:r>
      <w:r w:rsidR="00545A5E">
        <w:rPr>
          <w:szCs w:val="22"/>
        </w:rPr>
        <w:t>anderen</w:t>
      </w:r>
      <w:r w:rsidR="00FB663C" w:rsidRPr="00762252">
        <w:rPr>
          <w:szCs w:val="22"/>
        </w:rPr>
        <w:t xml:space="preserve"> Weg </w:t>
      </w:r>
      <w:r w:rsidR="00C31CDF">
        <w:rPr>
          <w:szCs w:val="22"/>
        </w:rPr>
        <w:t xml:space="preserve">der </w:t>
      </w:r>
      <w:r w:rsidR="00FB663C" w:rsidRPr="00762252">
        <w:rPr>
          <w:szCs w:val="22"/>
        </w:rPr>
        <w:t>d</w:t>
      </w:r>
      <w:r w:rsidR="00C31CDF">
        <w:rPr>
          <w:szCs w:val="22"/>
        </w:rPr>
        <w:t xml:space="preserve">rogenpolitischen Korrektur </w:t>
      </w:r>
      <w:r w:rsidR="00F84BB1" w:rsidRPr="00762252">
        <w:rPr>
          <w:szCs w:val="22"/>
        </w:rPr>
        <w:t>ein</w:t>
      </w:r>
      <w:r w:rsidR="008853BE">
        <w:rPr>
          <w:szCs w:val="22"/>
        </w:rPr>
        <w:t>: Sie</w:t>
      </w:r>
      <w:r w:rsidRPr="00762252">
        <w:rPr>
          <w:szCs w:val="22"/>
        </w:rPr>
        <w:t xml:space="preserve"> </w:t>
      </w:r>
      <w:r w:rsidR="002E7129">
        <w:rPr>
          <w:szCs w:val="22"/>
        </w:rPr>
        <w:t>verfolg</w:t>
      </w:r>
      <w:r w:rsidR="008853BE">
        <w:rPr>
          <w:szCs w:val="22"/>
        </w:rPr>
        <w:t xml:space="preserve">en </w:t>
      </w:r>
      <w:r w:rsidR="002F5812">
        <w:rPr>
          <w:szCs w:val="22"/>
        </w:rPr>
        <w:t xml:space="preserve">eine </w:t>
      </w:r>
      <w:r w:rsidR="008853BE">
        <w:rPr>
          <w:szCs w:val="22"/>
        </w:rPr>
        <w:t xml:space="preserve">Strategie der </w:t>
      </w:r>
      <w:r w:rsidR="008853BE" w:rsidRPr="00762252">
        <w:rPr>
          <w:szCs w:val="22"/>
        </w:rPr>
        <w:t>Entkriminalisierung</w:t>
      </w:r>
      <w:r w:rsidR="008853BE" w:rsidRPr="00FA5119">
        <w:rPr>
          <w:szCs w:val="22"/>
        </w:rPr>
        <w:t xml:space="preserve"> </w:t>
      </w:r>
      <w:r w:rsidR="00F84BB1" w:rsidRPr="00762252">
        <w:rPr>
          <w:szCs w:val="22"/>
        </w:rPr>
        <w:t xml:space="preserve">über eine medizinische Vergabe, </w:t>
      </w:r>
      <w:r w:rsidR="00FA5119">
        <w:rPr>
          <w:szCs w:val="22"/>
        </w:rPr>
        <w:t xml:space="preserve">die durch ihre großzügige Handhabung </w:t>
      </w:r>
      <w:r w:rsidR="00ED09DE">
        <w:rPr>
          <w:szCs w:val="22"/>
        </w:rPr>
        <w:t>quasi</w:t>
      </w:r>
      <w:r w:rsidR="00F84BB1" w:rsidRPr="00762252">
        <w:rPr>
          <w:szCs w:val="22"/>
        </w:rPr>
        <w:t xml:space="preserve"> eine</w:t>
      </w:r>
      <w:r w:rsidR="00FA5119">
        <w:rPr>
          <w:szCs w:val="22"/>
        </w:rPr>
        <w:t>r</w:t>
      </w:r>
      <w:r w:rsidR="00F84BB1" w:rsidRPr="00762252">
        <w:rPr>
          <w:szCs w:val="22"/>
        </w:rPr>
        <w:t xml:space="preserve"> de-facto </w:t>
      </w:r>
      <w:r w:rsidR="00D01097">
        <w:rPr>
          <w:szCs w:val="22"/>
        </w:rPr>
        <w:t>Regulierung</w:t>
      </w:r>
      <w:r w:rsidR="00FA5119">
        <w:rPr>
          <w:szCs w:val="22"/>
        </w:rPr>
        <w:t xml:space="preserve"> entspricht</w:t>
      </w:r>
      <w:r w:rsidRPr="00762252">
        <w:rPr>
          <w:szCs w:val="22"/>
        </w:rPr>
        <w:t>.</w:t>
      </w:r>
      <w:r w:rsidR="00F84BB1" w:rsidRPr="00762252">
        <w:rPr>
          <w:szCs w:val="22"/>
        </w:rPr>
        <w:t xml:space="preserve"> </w:t>
      </w:r>
    </w:p>
    <w:p w14:paraId="7C1AFBE8" w14:textId="77777777" w:rsidR="00E93A99" w:rsidRDefault="00E93A99" w:rsidP="009D7629">
      <w:pPr>
        <w:pStyle w:val="KeinLeerraum"/>
        <w:jc w:val="both"/>
        <w:rPr>
          <w:b/>
        </w:rPr>
      </w:pPr>
    </w:p>
    <w:p w14:paraId="7166E401" w14:textId="77777777" w:rsidR="00E93A99" w:rsidRPr="00E93A99" w:rsidRDefault="00E93A99" w:rsidP="009D7629">
      <w:pPr>
        <w:pStyle w:val="KeinLeerraum"/>
        <w:jc w:val="both"/>
        <w:rPr>
          <w:b/>
        </w:rPr>
      </w:pPr>
      <w:r w:rsidRPr="00E93A99">
        <w:rPr>
          <w:b/>
        </w:rPr>
        <w:t>Fazit</w:t>
      </w:r>
    </w:p>
    <w:p w14:paraId="1345E97C" w14:textId="19DD1E0A" w:rsidR="00E93A99" w:rsidRPr="00762252" w:rsidRDefault="00E93A99" w:rsidP="009D7629">
      <w:pPr>
        <w:spacing w:line="276" w:lineRule="auto"/>
        <w:jc w:val="both"/>
        <w:rPr>
          <w:szCs w:val="22"/>
        </w:rPr>
      </w:pPr>
      <w:r w:rsidRPr="00762252">
        <w:rPr>
          <w:szCs w:val="22"/>
        </w:rPr>
        <w:t>Deutlich wird, dass es in vielen Bundesstaaten der USA einen Vorlauf für die drogenpolitische Wendung</w:t>
      </w:r>
      <w:r>
        <w:rPr>
          <w:szCs w:val="22"/>
        </w:rPr>
        <w:t xml:space="preserve"> hin zu einer </w:t>
      </w:r>
      <w:r w:rsidR="00D01097">
        <w:rPr>
          <w:szCs w:val="22"/>
        </w:rPr>
        <w:t>Regulierung</w:t>
      </w:r>
      <w:r>
        <w:rPr>
          <w:szCs w:val="22"/>
        </w:rPr>
        <w:t xml:space="preserve"> auch des Freizeitkonsums</w:t>
      </w:r>
      <w:r w:rsidR="00C31CDF">
        <w:rPr>
          <w:szCs w:val="22"/>
        </w:rPr>
        <w:t xml:space="preserve"> für Erwachsene</w:t>
      </w:r>
      <w:r>
        <w:rPr>
          <w:szCs w:val="22"/>
        </w:rPr>
        <w:t xml:space="preserve"> </w:t>
      </w:r>
      <w:r w:rsidRPr="00762252">
        <w:rPr>
          <w:szCs w:val="22"/>
        </w:rPr>
        <w:t>in Form von En</w:t>
      </w:r>
      <w:r w:rsidRPr="00762252">
        <w:rPr>
          <w:szCs w:val="22"/>
        </w:rPr>
        <w:t>t</w:t>
      </w:r>
      <w:r w:rsidRPr="00762252">
        <w:rPr>
          <w:szCs w:val="22"/>
        </w:rPr>
        <w:t xml:space="preserve">kriminalisierung und medizinischer Vergabe gab. Insofern kann davon ausgegangen werden, dass </w:t>
      </w:r>
      <w:r w:rsidR="00DE41C4">
        <w:rPr>
          <w:szCs w:val="22"/>
        </w:rPr>
        <w:t xml:space="preserve">sowohl </w:t>
      </w:r>
      <w:r w:rsidRPr="00762252">
        <w:rPr>
          <w:szCs w:val="22"/>
        </w:rPr>
        <w:t xml:space="preserve">in Bezug auf die Verbreitung des Cannabiskonsums in der Bevölkerung </w:t>
      </w:r>
      <w:r w:rsidR="00DE41C4">
        <w:rPr>
          <w:szCs w:val="22"/>
        </w:rPr>
        <w:t xml:space="preserve">als auch in Bezug </w:t>
      </w:r>
      <w:r w:rsidRPr="00762252">
        <w:rPr>
          <w:szCs w:val="22"/>
        </w:rPr>
        <w:t xml:space="preserve">auf die Entwicklung einer Drogengebrauchskultur und das </w:t>
      </w:r>
      <w:r w:rsidR="00C31CDF">
        <w:rPr>
          <w:szCs w:val="22"/>
        </w:rPr>
        <w:t>Vorhandensein</w:t>
      </w:r>
      <w:r w:rsidRPr="00762252">
        <w:rPr>
          <w:szCs w:val="22"/>
        </w:rPr>
        <w:t xml:space="preserve"> bestimmter Mentalitätsmuster andere Ausgangsbedingungen mitzudenken sind, als in Deutschland.</w:t>
      </w:r>
    </w:p>
    <w:p w14:paraId="673EDB10" w14:textId="77777777" w:rsidR="00E93A99" w:rsidRPr="00762252" w:rsidRDefault="00E93A99" w:rsidP="009D7629">
      <w:pPr>
        <w:spacing w:line="276" w:lineRule="auto"/>
        <w:jc w:val="both"/>
        <w:rPr>
          <w:szCs w:val="22"/>
        </w:rPr>
      </w:pPr>
    </w:p>
    <w:p w14:paraId="3F17FA1A" w14:textId="21FEDC61" w:rsidR="00DB211E" w:rsidRPr="00762252" w:rsidRDefault="00DB211E" w:rsidP="009D7629">
      <w:pPr>
        <w:pStyle w:val="berschrift2"/>
        <w:spacing w:line="276" w:lineRule="auto"/>
        <w:jc w:val="both"/>
      </w:pPr>
      <w:bookmarkStart w:id="12" w:name="_Toc349300341"/>
      <w:r w:rsidRPr="00762252">
        <w:t>Kalifornien</w:t>
      </w:r>
      <w:r w:rsidR="008853BE">
        <w:t>:</w:t>
      </w:r>
      <w:r w:rsidR="00884115" w:rsidRPr="00762252">
        <w:t xml:space="preserve"> „The wild wild west“</w:t>
      </w:r>
      <w:bookmarkEnd w:id="12"/>
    </w:p>
    <w:p w14:paraId="3F368306" w14:textId="7CAA8087" w:rsidR="00456F0E" w:rsidRDefault="002A6D22" w:rsidP="009D7629">
      <w:pPr>
        <w:spacing w:line="276" w:lineRule="auto"/>
        <w:jc w:val="both"/>
        <w:rPr>
          <w:rFonts w:cs="Arial"/>
          <w:szCs w:val="22"/>
        </w:rPr>
      </w:pPr>
      <w:r w:rsidRPr="00762252">
        <w:rPr>
          <w:szCs w:val="22"/>
        </w:rPr>
        <w:t>Kalifornien hat in Bezug auf den Umgang mit Marihuana eine lang</w:t>
      </w:r>
      <w:r w:rsidR="006528DE">
        <w:rPr>
          <w:szCs w:val="22"/>
        </w:rPr>
        <w:t>e Vorgeschichte. Diese hat ihren</w:t>
      </w:r>
      <w:r w:rsidRPr="00762252">
        <w:rPr>
          <w:szCs w:val="22"/>
        </w:rPr>
        <w:t xml:space="preserve"> Ausgangspunkt in den frühen 1960er Jahren. </w:t>
      </w:r>
      <w:r w:rsidR="00F364F0" w:rsidRPr="00762252">
        <w:rPr>
          <w:szCs w:val="22"/>
        </w:rPr>
        <w:t xml:space="preserve">In dieser Zeit </w:t>
      </w:r>
      <w:r w:rsidR="007832A5" w:rsidRPr="00762252">
        <w:rPr>
          <w:szCs w:val="22"/>
        </w:rPr>
        <w:t xml:space="preserve">strebten </w:t>
      </w:r>
      <w:r w:rsidR="00F364F0" w:rsidRPr="00762252">
        <w:rPr>
          <w:szCs w:val="22"/>
        </w:rPr>
        <w:t>die s</w:t>
      </w:r>
      <w:r w:rsidRPr="00762252">
        <w:rPr>
          <w:szCs w:val="22"/>
        </w:rPr>
        <w:t>ogenannte</w:t>
      </w:r>
      <w:r w:rsidR="00F364F0" w:rsidRPr="00762252">
        <w:rPr>
          <w:szCs w:val="22"/>
        </w:rPr>
        <w:t>n</w:t>
      </w:r>
      <w:r w:rsidRPr="00762252">
        <w:rPr>
          <w:szCs w:val="22"/>
        </w:rPr>
        <w:t xml:space="preserve"> „Hi</w:t>
      </w:r>
      <w:r w:rsidRPr="00762252">
        <w:rPr>
          <w:szCs w:val="22"/>
        </w:rPr>
        <w:t>p</w:t>
      </w:r>
      <w:r w:rsidR="00F364F0" w:rsidRPr="00762252">
        <w:rPr>
          <w:szCs w:val="22"/>
        </w:rPr>
        <w:t xml:space="preserve">pies“ </w:t>
      </w:r>
      <w:r w:rsidR="007832A5" w:rsidRPr="00762252">
        <w:rPr>
          <w:szCs w:val="22"/>
        </w:rPr>
        <w:t xml:space="preserve">danach, </w:t>
      </w:r>
      <w:r w:rsidRPr="00762252">
        <w:rPr>
          <w:szCs w:val="22"/>
        </w:rPr>
        <w:t xml:space="preserve">den </w:t>
      </w:r>
      <w:r w:rsidR="007832A5" w:rsidRPr="00762252">
        <w:rPr>
          <w:szCs w:val="22"/>
        </w:rPr>
        <w:t xml:space="preserve">alten </w:t>
      </w:r>
      <w:r w:rsidR="00F364F0" w:rsidRPr="00762252">
        <w:rPr>
          <w:szCs w:val="22"/>
        </w:rPr>
        <w:t xml:space="preserve">amerikanischen </w:t>
      </w:r>
      <w:r w:rsidR="00EE4F7F" w:rsidRPr="00762252">
        <w:rPr>
          <w:szCs w:val="22"/>
        </w:rPr>
        <w:t>Traum</w:t>
      </w:r>
      <w:r w:rsidR="0042245F" w:rsidRPr="00762252">
        <w:rPr>
          <w:szCs w:val="22"/>
        </w:rPr>
        <w:t xml:space="preserve"> neu zu definieren</w:t>
      </w:r>
      <w:r w:rsidR="006528DE">
        <w:rPr>
          <w:szCs w:val="22"/>
        </w:rPr>
        <w:t>. Es galt, die bis heute popular</w:t>
      </w:r>
      <w:r w:rsidR="006528DE">
        <w:rPr>
          <w:szCs w:val="22"/>
        </w:rPr>
        <w:t>i</w:t>
      </w:r>
      <w:r w:rsidR="006528DE">
        <w:rPr>
          <w:szCs w:val="22"/>
        </w:rPr>
        <w:t>sierte Idee, nach der</w:t>
      </w:r>
      <w:r w:rsidR="004F3C90">
        <w:rPr>
          <w:szCs w:val="22"/>
        </w:rPr>
        <w:t xml:space="preserve"> es möglich sei</w:t>
      </w:r>
      <w:r w:rsidR="0042245F" w:rsidRPr="00762252">
        <w:rPr>
          <w:szCs w:val="22"/>
        </w:rPr>
        <w:t xml:space="preserve">, </w:t>
      </w:r>
      <w:r w:rsidR="0041214F" w:rsidRPr="00762252">
        <w:rPr>
          <w:szCs w:val="22"/>
        </w:rPr>
        <w:t xml:space="preserve">allein </w:t>
      </w:r>
      <w:r w:rsidR="00EE4F7F" w:rsidRPr="00762252">
        <w:rPr>
          <w:szCs w:val="22"/>
        </w:rPr>
        <w:t xml:space="preserve">durch harte Arbeit </w:t>
      </w:r>
      <w:r w:rsidR="0042245F" w:rsidRPr="00762252">
        <w:rPr>
          <w:szCs w:val="22"/>
        </w:rPr>
        <w:t xml:space="preserve">zu </w:t>
      </w:r>
      <w:r w:rsidR="00EE4F7F" w:rsidRPr="00762252">
        <w:rPr>
          <w:szCs w:val="22"/>
        </w:rPr>
        <w:t>persönli</w:t>
      </w:r>
      <w:r w:rsidR="0042245F" w:rsidRPr="00762252">
        <w:rPr>
          <w:szCs w:val="22"/>
        </w:rPr>
        <w:t>chem</w:t>
      </w:r>
      <w:r w:rsidR="00EE4F7F" w:rsidRPr="00762252">
        <w:rPr>
          <w:szCs w:val="22"/>
        </w:rPr>
        <w:t xml:space="preserve"> Reichtum </w:t>
      </w:r>
      <w:r w:rsidR="0042245F" w:rsidRPr="00762252">
        <w:rPr>
          <w:szCs w:val="22"/>
        </w:rPr>
        <w:t xml:space="preserve">zu </w:t>
      </w:r>
      <w:r w:rsidR="00545A5E">
        <w:rPr>
          <w:szCs w:val="22"/>
        </w:rPr>
        <w:t>g</w:t>
      </w:r>
      <w:r w:rsidR="00545A5E">
        <w:rPr>
          <w:szCs w:val="22"/>
        </w:rPr>
        <w:t>e</w:t>
      </w:r>
      <w:r w:rsidR="00545A5E">
        <w:rPr>
          <w:szCs w:val="22"/>
        </w:rPr>
        <w:t>langen</w:t>
      </w:r>
      <w:r w:rsidR="00EE4F7F" w:rsidRPr="00762252">
        <w:rPr>
          <w:szCs w:val="22"/>
        </w:rPr>
        <w:t xml:space="preserve"> (</w:t>
      </w:r>
      <w:r w:rsidR="00F364F0" w:rsidRPr="00762252">
        <w:rPr>
          <w:szCs w:val="22"/>
        </w:rPr>
        <w:t>„</w:t>
      </w:r>
      <w:r w:rsidR="00EE4F7F" w:rsidRPr="00762252">
        <w:rPr>
          <w:szCs w:val="22"/>
        </w:rPr>
        <w:t>Vom Tellerwäscher zum Millionär</w:t>
      </w:r>
      <w:r w:rsidR="00F364F0" w:rsidRPr="00762252">
        <w:rPr>
          <w:szCs w:val="22"/>
        </w:rPr>
        <w:t>“</w:t>
      </w:r>
      <w:r w:rsidR="0042245F" w:rsidRPr="00762252">
        <w:rPr>
          <w:szCs w:val="22"/>
        </w:rPr>
        <w:t>)</w:t>
      </w:r>
      <w:r w:rsidR="006528DE">
        <w:rPr>
          <w:szCs w:val="22"/>
        </w:rPr>
        <w:t xml:space="preserve">, </w:t>
      </w:r>
      <w:r w:rsidR="008853BE">
        <w:rPr>
          <w:szCs w:val="22"/>
        </w:rPr>
        <w:t>zumindest in Bezug auf erstre</w:t>
      </w:r>
      <w:r w:rsidR="00545A5E">
        <w:rPr>
          <w:szCs w:val="22"/>
        </w:rPr>
        <w:t>benswerte</w:t>
      </w:r>
      <w:r w:rsidR="008853BE">
        <w:rPr>
          <w:szCs w:val="22"/>
        </w:rPr>
        <w:t xml:space="preserve"> Leben</w:t>
      </w:r>
      <w:r w:rsidR="008853BE">
        <w:rPr>
          <w:szCs w:val="22"/>
        </w:rPr>
        <w:t>s</w:t>
      </w:r>
      <w:r w:rsidR="008853BE">
        <w:rPr>
          <w:szCs w:val="22"/>
        </w:rPr>
        <w:t xml:space="preserve">ziele </w:t>
      </w:r>
      <w:r w:rsidR="006528DE">
        <w:rPr>
          <w:szCs w:val="22"/>
        </w:rPr>
        <w:t>infrage zu stellen</w:t>
      </w:r>
      <w:r w:rsidR="00EE4F7F" w:rsidRPr="00762252">
        <w:rPr>
          <w:szCs w:val="22"/>
        </w:rPr>
        <w:t xml:space="preserve">. Viele zogen </w:t>
      </w:r>
      <w:r w:rsidR="00F364F0" w:rsidRPr="00762252">
        <w:rPr>
          <w:szCs w:val="22"/>
        </w:rPr>
        <w:t xml:space="preserve">dafür </w:t>
      </w:r>
      <w:r w:rsidR="00EE4F7F" w:rsidRPr="00762252">
        <w:rPr>
          <w:szCs w:val="22"/>
        </w:rPr>
        <w:t>aus städtischen Zentren aufs Land</w:t>
      </w:r>
      <w:r w:rsidR="00F364F0" w:rsidRPr="00762252">
        <w:rPr>
          <w:szCs w:val="22"/>
        </w:rPr>
        <w:t xml:space="preserve"> und </w:t>
      </w:r>
      <w:r w:rsidR="00EE4F7F" w:rsidRPr="00762252">
        <w:rPr>
          <w:szCs w:val="22"/>
        </w:rPr>
        <w:t>versuchten e</w:t>
      </w:r>
      <w:r w:rsidR="00EE4F7F" w:rsidRPr="00762252">
        <w:rPr>
          <w:szCs w:val="22"/>
        </w:rPr>
        <w:t>i</w:t>
      </w:r>
      <w:r w:rsidR="00EE4F7F" w:rsidRPr="00762252">
        <w:rPr>
          <w:szCs w:val="22"/>
        </w:rPr>
        <w:t xml:space="preserve">nen Lebensstil zu </w:t>
      </w:r>
      <w:r w:rsidR="006528DE">
        <w:rPr>
          <w:szCs w:val="22"/>
        </w:rPr>
        <w:t>etablieren</w:t>
      </w:r>
      <w:r w:rsidR="00EE4F7F" w:rsidRPr="00762252">
        <w:rPr>
          <w:szCs w:val="22"/>
        </w:rPr>
        <w:t xml:space="preserve">, der in Opposition zu wesentlichen Einstellungen und Werten </w:t>
      </w:r>
      <w:r w:rsidR="007832A5" w:rsidRPr="00762252">
        <w:rPr>
          <w:szCs w:val="22"/>
        </w:rPr>
        <w:t>di</w:t>
      </w:r>
      <w:r w:rsidR="007832A5" w:rsidRPr="00762252">
        <w:rPr>
          <w:szCs w:val="22"/>
        </w:rPr>
        <w:t>e</w:t>
      </w:r>
      <w:r w:rsidR="007832A5" w:rsidRPr="00762252">
        <w:rPr>
          <w:szCs w:val="22"/>
        </w:rPr>
        <w:t>ser Zeit stand</w:t>
      </w:r>
      <w:r w:rsidR="00961181" w:rsidRPr="00762252">
        <w:rPr>
          <w:szCs w:val="22"/>
        </w:rPr>
        <w:t xml:space="preserve">. </w:t>
      </w:r>
      <w:r w:rsidR="007832A5" w:rsidRPr="00762252">
        <w:rPr>
          <w:szCs w:val="22"/>
        </w:rPr>
        <w:t xml:space="preserve">Mit </w:t>
      </w:r>
      <w:r w:rsidR="0042245F" w:rsidRPr="00762252">
        <w:rPr>
          <w:szCs w:val="22"/>
        </w:rPr>
        <w:t>ihren</w:t>
      </w:r>
      <w:r w:rsidR="007832A5" w:rsidRPr="00762252">
        <w:rPr>
          <w:szCs w:val="22"/>
        </w:rPr>
        <w:t xml:space="preserve"> Leitidee</w:t>
      </w:r>
      <w:r w:rsidR="0042245F" w:rsidRPr="00762252">
        <w:rPr>
          <w:szCs w:val="22"/>
        </w:rPr>
        <w:t>n</w:t>
      </w:r>
      <w:r w:rsidR="007832A5" w:rsidRPr="00762252">
        <w:rPr>
          <w:szCs w:val="22"/>
        </w:rPr>
        <w:t xml:space="preserve"> fühlten sich </w:t>
      </w:r>
      <w:r w:rsidR="008853BE">
        <w:rPr>
          <w:szCs w:val="22"/>
        </w:rPr>
        <w:t>viele</w:t>
      </w:r>
      <w:r w:rsidR="006528DE">
        <w:rPr>
          <w:szCs w:val="22"/>
        </w:rPr>
        <w:t>,</w:t>
      </w:r>
      <w:r w:rsidR="00961181" w:rsidRPr="00762252">
        <w:rPr>
          <w:szCs w:val="22"/>
        </w:rPr>
        <w:t xml:space="preserve"> </w:t>
      </w:r>
      <w:r w:rsidR="00FA5119">
        <w:rPr>
          <w:szCs w:val="22"/>
        </w:rPr>
        <w:t xml:space="preserve">die </w:t>
      </w:r>
      <w:r w:rsidR="008853BE">
        <w:rPr>
          <w:szCs w:val="22"/>
        </w:rPr>
        <w:t xml:space="preserve">quasi </w:t>
      </w:r>
      <w:r w:rsidR="00FA5119">
        <w:rPr>
          <w:szCs w:val="22"/>
        </w:rPr>
        <w:t xml:space="preserve">aus der Hauptgesellschaft </w:t>
      </w:r>
      <w:r w:rsidR="008853BE">
        <w:rPr>
          <w:szCs w:val="22"/>
        </w:rPr>
        <w:t>aussti</w:t>
      </w:r>
      <w:r w:rsidR="008853BE">
        <w:rPr>
          <w:szCs w:val="22"/>
        </w:rPr>
        <w:t>e</w:t>
      </w:r>
      <w:r w:rsidR="008853BE">
        <w:rPr>
          <w:szCs w:val="22"/>
        </w:rPr>
        <w:t>gen</w:t>
      </w:r>
      <w:r w:rsidR="00FA5119">
        <w:rPr>
          <w:szCs w:val="22"/>
        </w:rPr>
        <w:t xml:space="preserve">, </w:t>
      </w:r>
      <w:r w:rsidR="00961181" w:rsidRPr="00762252">
        <w:rPr>
          <w:szCs w:val="22"/>
        </w:rPr>
        <w:t xml:space="preserve">einer </w:t>
      </w:r>
      <w:r w:rsidR="00EE4F7F" w:rsidRPr="00762252">
        <w:rPr>
          <w:rFonts w:cs="Arial"/>
          <w:szCs w:val="22"/>
        </w:rPr>
        <w:t>transnational</w:t>
      </w:r>
      <w:r w:rsidR="00961181" w:rsidRPr="00762252">
        <w:rPr>
          <w:rFonts w:cs="Arial"/>
          <w:szCs w:val="22"/>
        </w:rPr>
        <w:t>en Subkultur</w:t>
      </w:r>
      <w:r w:rsidR="0041214F" w:rsidRPr="00762252">
        <w:rPr>
          <w:szCs w:val="22"/>
        </w:rPr>
        <w:t xml:space="preserve"> zugehörig</w:t>
      </w:r>
      <w:r w:rsidR="00FA5119">
        <w:rPr>
          <w:szCs w:val="22"/>
        </w:rPr>
        <w:t xml:space="preserve">. Diese </w:t>
      </w:r>
      <w:r w:rsidR="00FA5119" w:rsidRPr="00762252">
        <w:rPr>
          <w:rFonts w:cs="Arial"/>
          <w:szCs w:val="22"/>
        </w:rPr>
        <w:t>etablierte</w:t>
      </w:r>
      <w:r w:rsidR="00961181" w:rsidRPr="00762252">
        <w:rPr>
          <w:rFonts w:cs="Arial"/>
          <w:szCs w:val="22"/>
        </w:rPr>
        <w:t xml:space="preserve"> sich in vielen westlichen Lä</w:t>
      </w:r>
      <w:r w:rsidR="00961181" w:rsidRPr="00762252">
        <w:rPr>
          <w:rFonts w:cs="Arial"/>
          <w:szCs w:val="22"/>
        </w:rPr>
        <w:t>n</w:t>
      </w:r>
      <w:r w:rsidR="00961181" w:rsidRPr="00762252">
        <w:rPr>
          <w:rFonts w:cs="Arial"/>
          <w:szCs w:val="22"/>
        </w:rPr>
        <w:t>dern als Oppos</w:t>
      </w:r>
      <w:r w:rsidR="00020A85" w:rsidRPr="00762252">
        <w:rPr>
          <w:rFonts w:cs="Arial"/>
          <w:szCs w:val="22"/>
        </w:rPr>
        <w:t xml:space="preserve">ition zum Mainstream und </w:t>
      </w:r>
      <w:r w:rsidR="00615F8E">
        <w:rPr>
          <w:rFonts w:cs="Arial"/>
          <w:szCs w:val="22"/>
        </w:rPr>
        <w:t xml:space="preserve">übte radikale Kritik an </w:t>
      </w:r>
      <w:r w:rsidR="00020A85" w:rsidRPr="00762252">
        <w:rPr>
          <w:rFonts w:cs="Arial"/>
          <w:szCs w:val="22"/>
        </w:rPr>
        <w:t>grundsätzliche</w:t>
      </w:r>
      <w:r w:rsidR="008853BE">
        <w:rPr>
          <w:rFonts w:cs="Arial"/>
          <w:szCs w:val="22"/>
        </w:rPr>
        <w:t xml:space="preserve">n sozialen </w:t>
      </w:r>
      <w:r w:rsidR="00020A85" w:rsidRPr="00762252">
        <w:rPr>
          <w:rFonts w:cs="Arial"/>
          <w:szCs w:val="22"/>
        </w:rPr>
        <w:t>Mis</w:t>
      </w:r>
      <w:r w:rsidR="00020A85" w:rsidRPr="00762252">
        <w:rPr>
          <w:rFonts w:cs="Arial"/>
          <w:szCs w:val="22"/>
        </w:rPr>
        <w:t>s</w:t>
      </w:r>
      <w:r w:rsidR="00020A85" w:rsidRPr="00762252">
        <w:rPr>
          <w:rFonts w:cs="Arial"/>
          <w:szCs w:val="22"/>
        </w:rPr>
        <w:t>stände</w:t>
      </w:r>
      <w:r w:rsidR="00615F8E">
        <w:rPr>
          <w:rFonts w:cs="Arial"/>
          <w:szCs w:val="22"/>
        </w:rPr>
        <w:t>n</w:t>
      </w:r>
      <w:r w:rsidR="00020A85" w:rsidRPr="00762252">
        <w:rPr>
          <w:rFonts w:cs="Arial"/>
          <w:szCs w:val="22"/>
        </w:rPr>
        <w:t xml:space="preserve"> wie Krieg, Rassismus, </w:t>
      </w:r>
      <w:r w:rsidR="0041214F" w:rsidRPr="00762252">
        <w:rPr>
          <w:rFonts w:cs="Arial"/>
          <w:szCs w:val="22"/>
        </w:rPr>
        <w:t xml:space="preserve">Verschmutzung der Umwelt, </w:t>
      </w:r>
      <w:r w:rsidR="00020A85" w:rsidRPr="00762252">
        <w:rPr>
          <w:rFonts w:cs="Arial"/>
          <w:szCs w:val="22"/>
        </w:rPr>
        <w:t xml:space="preserve">Einschränkungen </w:t>
      </w:r>
      <w:r w:rsidR="0041214F" w:rsidRPr="00762252">
        <w:rPr>
          <w:rFonts w:cs="Arial"/>
          <w:szCs w:val="22"/>
        </w:rPr>
        <w:t>in den</w:t>
      </w:r>
      <w:r w:rsidR="00020A85" w:rsidRPr="00762252">
        <w:rPr>
          <w:rFonts w:cs="Arial"/>
          <w:szCs w:val="22"/>
        </w:rPr>
        <w:t xml:space="preserve"> Bürgerrec</w:t>
      </w:r>
      <w:r w:rsidR="00020A85" w:rsidRPr="00762252">
        <w:rPr>
          <w:rFonts w:cs="Arial"/>
          <w:szCs w:val="22"/>
        </w:rPr>
        <w:t>h</w:t>
      </w:r>
      <w:r w:rsidR="00020A85" w:rsidRPr="00762252">
        <w:rPr>
          <w:rFonts w:cs="Arial"/>
          <w:szCs w:val="22"/>
        </w:rPr>
        <w:t>te</w:t>
      </w:r>
      <w:r w:rsidR="0041214F" w:rsidRPr="00762252">
        <w:rPr>
          <w:rFonts w:cs="Arial"/>
          <w:szCs w:val="22"/>
        </w:rPr>
        <w:t>n</w:t>
      </w:r>
      <w:r w:rsidR="00020A85" w:rsidRPr="00762252">
        <w:rPr>
          <w:rFonts w:cs="Arial"/>
          <w:szCs w:val="22"/>
        </w:rPr>
        <w:t xml:space="preserve"> und </w:t>
      </w:r>
      <w:r w:rsidR="0041214F" w:rsidRPr="00762252">
        <w:rPr>
          <w:rFonts w:cs="Arial"/>
          <w:szCs w:val="22"/>
        </w:rPr>
        <w:t>persönlichen Freiheiten sowie</w:t>
      </w:r>
      <w:r w:rsidR="00020A85" w:rsidRPr="00762252">
        <w:rPr>
          <w:rFonts w:cs="Arial"/>
          <w:szCs w:val="22"/>
        </w:rPr>
        <w:t xml:space="preserve"> </w:t>
      </w:r>
      <w:r w:rsidR="00456F0E">
        <w:rPr>
          <w:rFonts w:cs="Arial"/>
          <w:szCs w:val="22"/>
        </w:rPr>
        <w:t>an der</w:t>
      </w:r>
      <w:r w:rsidR="00020A85" w:rsidRPr="00762252">
        <w:rPr>
          <w:rFonts w:cs="Arial"/>
          <w:szCs w:val="22"/>
        </w:rPr>
        <w:t xml:space="preserve"> Fokussierung des Lebens auf materielle Werte </w:t>
      </w:r>
      <w:r w:rsidR="008853BE">
        <w:rPr>
          <w:rFonts w:cs="Arial"/>
          <w:szCs w:val="22"/>
        </w:rPr>
        <w:t>und ver</w:t>
      </w:r>
      <w:r w:rsidR="00545A5E">
        <w:rPr>
          <w:rFonts w:cs="Arial"/>
          <w:szCs w:val="22"/>
        </w:rPr>
        <w:t xml:space="preserve">suchte kritikwürdigen sozialen Strukturen und Mustern </w:t>
      </w:r>
      <w:r w:rsidR="008853BE">
        <w:rPr>
          <w:rFonts w:cs="Arial"/>
          <w:szCs w:val="22"/>
        </w:rPr>
        <w:t xml:space="preserve">eine Alternative entgegen zu stellen </w:t>
      </w:r>
      <w:r w:rsidR="00EE4F7F" w:rsidRPr="00762252">
        <w:rPr>
          <w:rFonts w:cs="Arial"/>
          <w:szCs w:val="22"/>
        </w:rPr>
        <w:t>(</w:t>
      </w:r>
      <w:r w:rsidR="00020A85" w:rsidRPr="00762252">
        <w:rPr>
          <w:rFonts w:cs="Arial"/>
          <w:szCs w:val="22"/>
        </w:rPr>
        <w:t>vgl.</w:t>
      </w:r>
      <w:r w:rsidR="00ED09DE">
        <w:rPr>
          <w:rFonts w:cs="Arial"/>
          <w:szCs w:val="22"/>
        </w:rPr>
        <w:t xml:space="preserve"> Anders</w:t>
      </w:r>
      <w:r w:rsidR="00EE4F7F" w:rsidRPr="00762252">
        <w:rPr>
          <w:rFonts w:cs="Arial"/>
          <w:szCs w:val="22"/>
        </w:rPr>
        <w:t xml:space="preserve"> 1990; Miller 1991</w:t>
      </w:r>
      <w:r w:rsidR="00F30247">
        <w:rPr>
          <w:rFonts w:cs="Arial"/>
          <w:szCs w:val="22"/>
        </w:rPr>
        <w:t xml:space="preserve"> zit. nach Malsburg 2015</w:t>
      </w:r>
      <w:r w:rsidR="00EE4F7F" w:rsidRPr="00762252">
        <w:rPr>
          <w:rFonts w:cs="Arial"/>
          <w:szCs w:val="22"/>
        </w:rPr>
        <w:t xml:space="preserve">). </w:t>
      </w:r>
    </w:p>
    <w:p w14:paraId="1582FF0F" w14:textId="77777777" w:rsidR="00456F0E" w:rsidRDefault="00456F0E" w:rsidP="009D7629">
      <w:pPr>
        <w:spacing w:line="276" w:lineRule="auto"/>
        <w:jc w:val="both"/>
        <w:rPr>
          <w:rFonts w:cs="Arial"/>
          <w:szCs w:val="22"/>
        </w:rPr>
      </w:pPr>
    </w:p>
    <w:p w14:paraId="28D1D91D" w14:textId="3411B34E" w:rsidR="00456F0E" w:rsidRDefault="00AB0540" w:rsidP="009D7629">
      <w:pPr>
        <w:spacing w:line="276" w:lineRule="auto"/>
        <w:jc w:val="both"/>
        <w:rPr>
          <w:rFonts w:cs="Arial"/>
          <w:szCs w:val="22"/>
        </w:rPr>
      </w:pPr>
      <w:r>
        <w:rPr>
          <w:rFonts w:cs="Arial"/>
          <w:szCs w:val="22"/>
        </w:rPr>
        <w:t>Die</w:t>
      </w:r>
      <w:r w:rsidR="00456F0E" w:rsidRPr="00762252">
        <w:rPr>
          <w:rFonts w:cs="Arial"/>
          <w:szCs w:val="22"/>
        </w:rPr>
        <w:t xml:space="preserve"> neue Siedlergeneration</w:t>
      </w:r>
      <w:r w:rsidR="00F364F0" w:rsidRPr="00762252">
        <w:rPr>
          <w:rFonts w:cs="Arial"/>
          <w:szCs w:val="22"/>
        </w:rPr>
        <w:t xml:space="preserve">, in der Regel </w:t>
      </w:r>
      <w:r w:rsidR="008853BE">
        <w:rPr>
          <w:rFonts w:cs="Arial"/>
          <w:szCs w:val="22"/>
        </w:rPr>
        <w:t xml:space="preserve">gut ausgebildete </w:t>
      </w:r>
      <w:r w:rsidR="00F364F0" w:rsidRPr="00762252">
        <w:rPr>
          <w:rFonts w:cs="Arial"/>
          <w:szCs w:val="22"/>
        </w:rPr>
        <w:t xml:space="preserve">Angehörige der </w:t>
      </w:r>
      <w:r w:rsidR="00961181" w:rsidRPr="00762252">
        <w:rPr>
          <w:rFonts w:cs="Arial"/>
          <w:szCs w:val="22"/>
        </w:rPr>
        <w:t>Mittel</w:t>
      </w:r>
      <w:r w:rsidR="00F364F0" w:rsidRPr="00762252">
        <w:rPr>
          <w:rFonts w:cs="Arial"/>
          <w:szCs w:val="22"/>
        </w:rPr>
        <w:t>schicht</w:t>
      </w:r>
      <w:r w:rsidR="007832A5" w:rsidRPr="00762252">
        <w:rPr>
          <w:rFonts w:cs="Arial"/>
          <w:szCs w:val="22"/>
        </w:rPr>
        <w:t>,</w:t>
      </w:r>
      <w:r w:rsidR="00F364F0" w:rsidRPr="00762252">
        <w:rPr>
          <w:rFonts w:cs="Arial"/>
          <w:szCs w:val="22"/>
        </w:rPr>
        <w:t xml:space="preserve"> </w:t>
      </w:r>
      <w:r w:rsidR="008853BE">
        <w:rPr>
          <w:rFonts w:cs="Arial"/>
          <w:szCs w:val="22"/>
        </w:rPr>
        <w:t>entw</w:t>
      </w:r>
      <w:r w:rsidR="008853BE">
        <w:rPr>
          <w:rFonts w:cs="Arial"/>
          <w:szCs w:val="22"/>
        </w:rPr>
        <w:t>i</w:t>
      </w:r>
      <w:r w:rsidR="008853BE">
        <w:rPr>
          <w:rFonts w:cs="Arial"/>
          <w:szCs w:val="22"/>
        </w:rPr>
        <w:t>ckelte</w:t>
      </w:r>
      <w:r w:rsidR="00EE4F7F" w:rsidRPr="00762252">
        <w:rPr>
          <w:rFonts w:cs="Arial"/>
          <w:szCs w:val="22"/>
        </w:rPr>
        <w:t xml:space="preserve"> neben ihrer </w:t>
      </w:r>
      <w:r w:rsidR="007832A5" w:rsidRPr="00762252">
        <w:rPr>
          <w:rFonts w:cs="Arial"/>
          <w:szCs w:val="22"/>
        </w:rPr>
        <w:t>grundsätzlichen Gesellschaftsk</w:t>
      </w:r>
      <w:r w:rsidR="00EE4F7F" w:rsidRPr="00762252">
        <w:rPr>
          <w:rFonts w:cs="Arial"/>
          <w:szCs w:val="22"/>
        </w:rPr>
        <w:t xml:space="preserve">ritik </w:t>
      </w:r>
      <w:r w:rsidR="0041214F" w:rsidRPr="00762252">
        <w:rPr>
          <w:rFonts w:cs="Arial"/>
          <w:szCs w:val="22"/>
        </w:rPr>
        <w:t xml:space="preserve">auch </w:t>
      </w:r>
      <w:r w:rsidR="008853BE">
        <w:rPr>
          <w:rFonts w:cs="Arial"/>
          <w:szCs w:val="22"/>
        </w:rPr>
        <w:t xml:space="preserve">alternative Lebensstile mit </w:t>
      </w:r>
      <w:r w:rsidR="00EE4F7F" w:rsidRPr="00762252">
        <w:rPr>
          <w:rFonts w:cs="Arial"/>
          <w:szCs w:val="22"/>
        </w:rPr>
        <w:t>Vorste</w:t>
      </w:r>
      <w:r w:rsidR="00EE4F7F" w:rsidRPr="00762252">
        <w:rPr>
          <w:rFonts w:cs="Arial"/>
          <w:szCs w:val="22"/>
        </w:rPr>
        <w:t>l</w:t>
      </w:r>
      <w:r w:rsidR="00EE4F7F" w:rsidRPr="00762252">
        <w:rPr>
          <w:rFonts w:cs="Arial"/>
          <w:szCs w:val="22"/>
        </w:rPr>
        <w:t xml:space="preserve">lungen von Spiritualität und einem Leben in </w:t>
      </w:r>
      <w:r w:rsidR="0042245F" w:rsidRPr="00762252">
        <w:rPr>
          <w:rFonts w:cs="Arial"/>
          <w:szCs w:val="22"/>
        </w:rPr>
        <w:t xml:space="preserve">der </w:t>
      </w:r>
      <w:r w:rsidR="00EE4F7F" w:rsidRPr="00762252">
        <w:rPr>
          <w:rFonts w:cs="Arial"/>
          <w:szCs w:val="22"/>
        </w:rPr>
        <w:t xml:space="preserve">Gemeinschaft, </w:t>
      </w:r>
      <w:r w:rsidR="0041214F" w:rsidRPr="00762252">
        <w:rPr>
          <w:rFonts w:cs="Arial"/>
          <w:szCs w:val="22"/>
        </w:rPr>
        <w:t>in denen der</w:t>
      </w:r>
      <w:r w:rsidR="00EE4F7F" w:rsidRPr="00762252">
        <w:rPr>
          <w:rFonts w:cs="Arial"/>
          <w:szCs w:val="22"/>
        </w:rPr>
        <w:t xml:space="preserve"> Konsum psyc</w:t>
      </w:r>
      <w:r w:rsidR="00B34D90" w:rsidRPr="00762252">
        <w:rPr>
          <w:rFonts w:cs="Arial"/>
          <w:szCs w:val="22"/>
        </w:rPr>
        <w:t>ho</w:t>
      </w:r>
      <w:r w:rsidR="00ED09DE">
        <w:rPr>
          <w:rFonts w:cs="Arial"/>
          <w:szCs w:val="22"/>
        </w:rPr>
        <w:t>-</w:t>
      </w:r>
      <w:r w:rsidR="00B34D90" w:rsidRPr="00762252">
        <w:rPr>
          <w:rFonts w:cs="Arial"/>
          <w:szCs w:val="22"/>
        </w:rPr>
        <w:t>ak</w:t>
      </w:r>
      <w:r w:rsidR="00961181" w:rsidRPr="00762252">
        <w:rPr>
          <w:rFonts w:cs="Arial"/>
          <w:szCs w:val="22"/>
        </w:rPr>
        <w:t xml:space="preserve">tiver Substanzen </w:t>
      </w:r>
      <w:r w:rsidR="0041214F" w:rsidRPr="00762252">
        <w:rPr>
          <w:rFonts w:cs="Arial"/>
          <w:szCs w:val="22"/>
        </w:rPr>
        <w:t xml:space="preserve">einen </w:t>
      </w:r>
      <w:r w:rsidR="00456F0E">
        <w:rPr>
          <w:rFonts w:cs="Arial"/>
          <w:szCs w:val="22"/>
        </w:rPr>
        <w:t xml:space="preserve">selbstverständlichen </w:t>
      </w:r>
      <w:r w:rsidR="0041214F" w:rsidRPr="00762252">
        <w:rPr>
          <w:rFonts w:cs="Arial"/>
          <w:szCs w:val="22"/>
        </w:rPr>
        <w:t>Platz hatte</w:t>
      </w:r>
      <w:r w:rsidR="00B34D90" w:rsidRPr="00762252">
        <w:rPr>
          <w:rFonts w:cs="Arial"/>
          <w:szCs w:val="22"/>
        </w:rPr>
        <w:t xml:space="preserve">. Schon in diesen Jahren wurde das Cannabisblatt zu einem Symbol für </w:t>
      </w:r>
      <w:r w:rsidR="00D52B5B" w:rsidRPr="00762252">
        <w:rPr>
          <w:rFonts w:cs="Arial"/>
          <w:szCs w:val="22"/>
        </w:rPr>
        <w:t>eine</w:t>
      </w:r>
      <w:r w:rsidR="00B34D90" w:rsidRPr="00762252">
        <w:rPr>
          <w:rFonts w:cs="Arial"/>
          <w:szCs w:val="22"/>
        </w:rPr>
        <w:t xml:space="preserve"> </w:t>
      </w:r>
      <w:r w:rsidR="006528DE">
        <w:rPr>
          <w:rFonts w:cs="Arial"/>
          <w:szCs w:val="22"/>
        </w:rPr>
        <w:t xml:space="preserve">umfassendere </w:t>
      </w:r>
      <w:r w:rsidR="008853BE">
        <w:rPr>
          <w:rFonts w:cs="Arial"/>
          <w:szCs w:val="22"/>
        </w:rPr>
        <w:t xml:space="preserve">alternative </w:t>
      </w:r>
      <w:r w:rsidR="00B34D90" w:rsidRPr="00762252">
        <w:rPr>
          <w:rFonts w:cs="Arial"/>
          <w:szCs w:val="22"/>
        </w:rPr>
        <w:t>Bewegung</w:t>
      </w:r>
      <w:r w:rsidR="00017E88">
        <w:rPr>
          <w:rFonts w:cs="Arial"/>
          <w:szCs w:val="22"/>
        </w:rPr>
        <w:t>, die, anders als heu</w:t>
      </w:r>
      <w:r w:rsidR="008853BE">
        <w:rPr>
          <w:rFonts w:cs="Arial"/>
          <w:szCs w:val="22"/>
        </w:rPr>
        <w:t>te</w:t>
      </w:r>
      <w:r w:rsidR="00545A5E">
        <w:rPr>
          <w:rFonts w:cs="Arial"/>
          <w:szCs w:val="22"/>
        </w:rPr>
        <w:t xml:space="preserve"> oft verkürzt</w:t>
      </w:r>
      <w:r w:rsidR="007832A5" w:rsidRPr="00762252">
        <w:rPr>
          <w:rFonts w:cs="Arial"/>
          <w:szCs w:val="22"/>
        </w:rPr>
        <w:t xml:space="preserve">, keineswegs auf den Konsum von Marihuana beschränkt </w:t>
      </w:r>
      <w:r w:rsidR="00D52B5B" w:rsidRPr="00762252">
        <w:rPr>
          <w:rFonts w:cs="Arial"/>
          <w:szCs w:val="22"/>
        </w:rPr>
        <w:t>war</w:t>
      </w:r>
      <w:r w:rsidR="0041214F" w:rsidRPr="00762252">
        <w:rPr>
          <w:rFonts w:cs="Arial"/>
          <w:szCs w:val="22"/>
        </w:rPr>
        <w:t>.</w:t>
      </w:r>
    </w:p>
    <w:p w14:paraId="4C0DD3FB" w14:textId="354700C0" w:rsidR="006528DE" w:rsidRDefault="00456F0E" w:rsidP="009D7629">
      <w:pPr>
        <w:spacing w:line="276" w:lineRule="auto"/>
        <w:jc w:val="both"/>
        <w:rPr>
          <w:rFonts w:cs="Arial"/>
          <w:szCs w:val="22"/>
        </w:rPr>
      </w:pPr>
      <w:r w:rsidRPr="00762252">
        <w:rPr>
          <w:rFonts w:cs="Arial"/>
          <w:szCs w:val="22"/>
        </w:rPr>
        <w:t xml:space="preserve">Die vorwiegend weißen </w:t>
      </w:r>
      <w:r>
        <w:rPr>
          <w:rFonts w:cs="Arial"/>
          <w:szCs w:val="22"/>
        </w:rPr>
        <w:t>Neuankömmlinge</w:t>
      </w:r>
      <w:r w:rsidRPr="00762252">
        <w:rPr>
          <w:rFonts w:cs="Arial"/>
          <w:szCs w:val="22"/>
        </w:rPr>
        <w:t xml:space="preserve"> </w:t>
      </w:r>
      <w:r w:rsidR="007832A5" w:rsidRPr="00762252">
        <w:rPr>
          <w:rFonts w:cs="Arial"/>
          <w:szCs w:val="22"/>
        </w:rPr>
        <w:t>bra</w:t>
      </w:r>
      <w:r w:rsidR="00B34D90" w:rsidRPr="00762252">
        <w:rPr>
          <w:rFonts w:cs="Arial"/>
          <w:szCs w:val="22"/>
        </w:rPr>
        <w:t>chte</w:t>
      </w:r>
      <w:r w:rsidR="00ED09DE">
        <w:rPr>
          <w:rFonts w:cs="Arial"/>
          <w:szCs w:val="22"/>
        </w:rPr>
        <w:t>n</w:t>
      </w:r>
      <w:r w:rsidR="00B34D90" w:rsidRPr="00762252">
        <w:rPr>
          <w:rFonts w:cs="Arial"/>
          <w:szCs w:val="22"/>
        </w:rPr>
        <w:t xml:space="preserve"> neben </w:t>
      </w:r>
      <w:r w:rsidR="000D3835" w:rsidRPr="00762252">
        <w:rPr>
          <w:rFonts w:cs="Arial"/>
          <w:szCs w:val="22"/>
        </w:rPr>
        <w:t>Finanzmittel</w:t>
      </w:r>
      <w:r w:rsidR="007832A5" w:rsidRPr="00762252">
        <w:rPr>
          <w:rFonts w:cs="Arial"/>
          <w:szCs w:val="22"/>
        </w:rPr>
        <w:t>n</w:t>
      </w:r>
      <w:r w:rsidR="00AF6170" w:rsidRPr="00762252">
        <w:rPr>
          <w:rFonts w:cs="Arial"/>
          <w:szCs w:val="22"/>
        </w:rPr>
        <w:t>,</w:t>
      </w:r>
      <w:r w:rsidR="000D3835" w:rsidRPr="00762252">
        <w:rPr>
          <w:rFonts w:cs="Arial"/>
          <w:szCs w:val="22"/>
        </w:rPr>
        <w:t xml:space="preserve"> </w:t>
      </w:r>
      <w:r w:rsidR="007832A5" w:rsidRPr="00762252">
        <w:rPr>
          <w:rFonts w:cs="Arial"/>
          <w:szCs w:val="22"/>
        </w:rPr>
        <w:t xml:space="preserve">auch Wissen, </w:t>
      </w:r>
      <w:r w:rsidR="00B34D90" w:rsidRPr="00762252">
        <w:rPr>
          <w:rFonts w:cs="Arial"/>
          <w:szCs w:val="22"/>
        </w:rPr>
        <w:t>Fähi</w:t>
      </w:r>
      <w:r w:rsidR="00B34D90" w:rsidRPr="00762252">
        <w:rPr>
          <w:rFonts w:cs="Arial"/>
          <w:szCs w:val="22"/>
        </w:rPr>
        <w:t>g</w:t>
      </w:r>
      <w:r w:rsidR="00B34D90" w:rsidRPr="00762252">
        <w:rPr>
          <w:rFonts w:cs="Arial"/>
          <w:szCs w:val="22"/>
        </w:rPr>
        <w:t>keiten</w:t>
      </w:r>
      <w:r w:rsidR="000D3835" w:rsidRPr="00762252">
        <w:rPr>
          <w:rFonts w:cs="Arial"/>
          <w:szCs w:val="22"/>
        </w:rPr>
        <w:t xml:space="preserve"> </w:t>
      </w:r>
      <w:r w:rsidR="00AF6170" w:rsidRPr="00762252">
        <w:rPr>
          <w:rFonts w:cs="Arial"/>
          <w:szCs w:val="22"/>
        </w:rPr>
        <w:t>und Ressourcen</w:t>
      </w:r>
      <w:r w:rsidR="0041214F" w:rsidRPr="00762252">
        <w:rPr>
          <w:rFonts w:cs="Arial"/>
          <w:szCs w:val="22"/>
        </w:rPr>
        <w:t xml:space="preserve"> in Form</w:t>
      </w:r>
      <w:r w:rsidR="00AF6170" w:rsidRPr="00762252">
        <w:rPr>
          <w:rFonts w:cs="Arial"/>
          <w:szCs w:val="22"/>
        </w:rPr>
        <w:t xml:space="preserve"> </w:t>
      </w:r>
      <w:r w:rsidR="007832A5" w:rsidRPr="00762252">
        <w:rPr>
          <w:rFonts w:cs="Arial"/>
          <w:szCs w:val="22"/>
        </w:rPr>
        <w:t>ihrer</w:t>
      </w:r>
      <w:r w:rsidR="0041214F" w:rsidRPr="00762252">
        <w:rPr>
          <w:rFonts w:cs="Arial"/>
          <w:szCs w:val="22"/>
        </w:rPr>
        <w:t xml:space="preserve"> sozialen Netzwerke</w:t>
      </w:r>
      <w:r w:rsidR="00AF6170" w:rsidRPr="00762252">
        <w:rPr>
          <w:rFonts w:cs="Arial"/>
          <w:szCs w:val="22"/>
        </w:rPr>
        <w:t xml:space="preserve"> </w:t>
      </w:r>
      <w:r w:rsidR="007832A5" w:rsidRPr="00762252">
        <w:rPr>
          <w:rFonts w:cs="Arial"/>
          <w:szCs w:val="22"/>
        </w:rPr>
        <w:t>mit</w:t>
      </w:r>
      <w:r w:rsidR="00ED09DE">
        <w:rPr>
          <w:rFonts w:cs="Arial"/>
          <w:szCs w:val="22"/>
        </w:rPr>
        <w:t>. Dies war</w:t>
      </w:r>
      <w:r w:rsidR="007832A5" w:rsidRPr="00762252">
        <w:rPr>
          <w:rFonts w:cs="Arial"/>
          <w:szCs w:val="22"/>
        </w:rPr>
        <w:t xml:space="preserve"> ausreichend </w:t>
      </w:r>
      <w:r w:rsidR="000D3835" w:rsidRPr="00762252">
        <w:rPr>
          <w:rFonts w:cs="Arial"/>
          <w:szCs w:val="22"/>
        </w:rPr>
        <w:t xml:space="preserve">Kapital für den Aufbau von </w:t>
      </w:r>
      <w:r w:rsidR="000D3835" w:rsidRPr="00903B1D">
        <w:rPr>
          <w:rFonts w:cs="Arial"/>
          <w:szCs w:val="22"/>
        </w:rPr>
        <w:t>Farmen</w:t>
      </w:r>
      <w:r w:rsidR="00BA14B2" w:rsidRPr="00903B1D">
        <w:rPr>
          <w:rFonts w:cs="Arial"/>
          <w:szCs w:val="22"/>
        </w:rPr>
        <w:t xml:space="preserve"> (vgl. Anders 1990; Raphael 1985)</w:t>
      </w:r>
      <w:r w:rsidR="00B34D90" w:rsidRPr="00903B1D">
        <w:rPr>
          <w:rFonts w:cs="Arial"/>
          <w:szCs w:val="22"/>
        </w:rPr>
        <w:t>.</w:t>
      </w:r>
      <w:r w:rsidR="00B34D90" w:rsidRPr="00BA14B2">
        <w:rPr>
          <w:rFonts w:cs="Arial"/>
          <w:color w:val="C0504D" w:themeColor="accent2"/>
          <w:szCs w:val="22"/>
        </w:rPr>
        <w:t xml:space="preserve"> </w:t>
      </w:r>
      <w:r w:rsidR="00B34D90" w:rsidRPr="00762252">
        <w:rPr>
          <w:rFonts w:cs="Arial"/>
          <w:szCs w:val="22"/>
        </w:rPr>
        <w:t xml:space="preserve">Die entstehenden kleinen </w:t>
      </w:r>
      <w:r w:rsidR="001920D7" w:rsidRPr="00762252">
        <w:rPr>
          <w:rFonts w:cs="Arial"/>
          <w:szCs w:val="22"/>
        </w:rPr>
        <w:t>landwir</w:t>
      </w:r>
      <w:r w:rsidR="001920D7" w:rsidRPr="00762252">
        <w:rPr>
          <w:rFonts w:cs="Arial"/>
          <w:szCs w:val="22"/>
        </w:rPr>
        <w:t>t</w:t>
      </w:r>
      <w:r w:rsidR="001920D7" w:rsidRPr="00762252">
        <w:rPr>
          <w:rFonts w:cs="Arial"/>
          <w:szCs w:val="22"/>
        </w:rPr>
        <w:t>schaftlichen Betriebe</w:t>
      </w:r>
      <w:r w:rsidR="00B34D90" w:rsidRPr="00762252">
        <w:rPr>
          <w:rFonts w:cs="Arial"/>
          <w:szCs w:val="22"/>
        </w:rPr>
        <w:t xml:space="preserve">, in denen in eher familienähnlichen Strukturen zum persönlichen Konsum u. a. auch </w:t>
      </w:r>
      <w:r w:rsidR="007832A5" w:rsidRPr="00762252">
        <w:rPr>
          <w:rFonts w:cs="Arial"/>
          <w:szCs w:val="22"/>
        </w:rPr>
        <w:t>Cannabis</w:t>
      </w:r>
      <w:r w:rsidR="00B34D90" w:rsidRPr="00762252">
        <w:rPr>
          <w:rFonts w:cs="Arial"/>
          <w:szCs w:val="22"/>
        </w:rPr>
        <w:t xml:space="preserve"> angebaut wurde, verstanden sich nicht als landwirtschaftliche Produzenten</w:t>
      </w:r>
      <w:r w:rsidR="001920D7" w:rsidRPr="00762252">
        <w:rPr>
          <w:rFonts w:cs="Arial"/>
          <w:szCs w:val="22"/>
        </w:rPr>
        <w:t xml:space="preserve"> für einen anonymen Markt</w:t>
      </w:r>
      <w:r w:rsidR="00B34D90" w:rsidRPr="00762252">
        <w:rPr>
          <w:rFonts w:cs="Arial"/>
          <w:szCs w:val="22"/>
        </w:rPr>
        <w:t>, sondern eher als Vertreter eines oppositionellen Lebensstils</w:t>
      </w:r>
      <w:r w:rsidR="00AF6170" w:rsidRPr="00762252">
        <w:rPr>
          <w:rFonts w:cs="Arial"/>
          <w:szCs w:val="22"/>
        </w:rPr>
        <w:t xml:space="preserve"> mit gemeinschaftlicher Produktion </w:t>
      </w:r>
      <w:r w:rsidR="00AB4361" w:rsidRPr="00762252">
        <w:rPr>
          <w:rFonts w:cs="Arial"/>
          <w:szCs w:val="22"/>
        </w:rPr>
        <w:t>und Konsumtion</w:t>
      </w:r>
      <w:r w:rsidR="00B34D90" w:rsidRPr="00762252">
        <w:rPr>
          <w:rFonts w:cs="Arial"/>
          <w:szCs w:val="22"/>
        </w:rPr>
        <w:t>. Der Cannabisanbau und -konsum gehörte selbstverstä</w:t>
      </w:r>
      <w:r w:rsidR="00017E88">
        <w:rPr>
          <w:rFonts w:cs="Arial"/>
          <w:szCs w:val="22"/>
        </w:rPr>
        <w:t>ndlich dazu und wurde deshalb, zumindest in Kalifornien, nicht prinzipiell probl</w:t>
      </w:r>
      <w:r w:rsidR="00017E88">
        <w:rPr>
          <w:rFonts w:cs="Arial"/>
          <w:szCs w:val="22"/>
        </w:rPr>
        <w:t>e</w:t>
      </w:r>
      <w:r w:rsidR="00017E88">
        <w:rPr>
          <w:rFonts w:cs="Arial"/>
          <w:szCs w:val="22"/>
        </w:rPr>
        <w:t>matisiert.</w:t>
      </w:r>
      <w:r w:rsidR="00B34D90" w:rsidRPr="00762252">
        <w:rPr>
          <w:rFonts w:cs="Arial"/>
          <w:szCs w:val="22"/>
        </w:rPr>
        <w:t xml:space="preserve"> </w:t>
      </w:r>
    </w:p>
    <w:p w14:paraId="316354E6" w14:textId="65306FF0" w:rsidR="00017E88" w:rsidRDefault="00475156" w:rsidP="009D7629">
      <w:pPr>
        <w:spacing w:line="276" w:lineRule="auto"/>
        <w:jc w:val="both"/>
        <w:rPr>
          <w:rFonts w:cs="Arial"/>
          <w:szCs w:val="22"/>
        </w:rPr>
      </w:pPr>
      <w:r w:rsidRPr="00762252">
        <w:rPr>
          <w:rFonts w:cs="Arial"/>
          <w:szCs w:val="22"/>
        </w:rPr>
        <w:t xml:space="preserve">Unter der Präsidentschaft von Richard Nixon und dem von ihm ausgerufenen „War on drugs“ geriet auch der Bundesstaat Kalifornien unter Druck, sich </w:t>
      </w:r>
      <w:r w:rsidR="00D52B5B" w:rsidRPr="00762252">
        <w:rPr>
          <w:rFonts w:cs="Arial"/>
          <w:szCs w:val="22"/>
        </w:rPr>
        <w:t xml:space="preserve">mit </w:t>
      </w:r>
      <w:r w:rsidRPr="00762252">
        <w:rPr>
          <w:rFonts w:cs="Arial"/>
          <w:szCs w:val="22"/>
        </w:rPr>
        <w:t xml:space="preserve">einer verschärften Repression </w:t>
      </w:r>
      <w:r w:rsidRPr="00AC0D6D">
        <w:rPr>
          <w:rFonts w:cs="Arial"/>
          <w:szCs w:val="22"/>
        </w:rPr>
        <w:t xml:space="preserve">zumindest auf föderaler Ebene zu arrangieren. Unter den Eindruck diverser </w:t>
      </w:r>
      <w:r w:rsidR="0041214F" w:rsidRPr="00AC0D6D">
        <w:rPr>
          <w:rFonts w:cs="Arial"/>
          <w:szCs w:val="22"/>
        </w:rPr>
        <w:t>US-amerikanischer</w:t>
      </w:r>
      <w:r w:rsidRPr="00AC0D6D">
        <w:rPr>
          <w:rFonts w:cs="Arial"/>
          <w:szCs w:val="22"/>
        </w:rPr>
        <w:t xml:space="preserve"> Kampagnen </w:t>
      </w:r>
      <w:r w:rsidR="00AB4361" w:rsidRPr="00AC0D6D">
        <w:rPr>
          <w:rFonts w:cs="Arial"/>
          <w:szCs w:val="22"/>
        </w:rPr>
        <w:t xml:space="preserve">wurde </w:t>
      </w:r>
      <w:r w:rsidR="0041214F" w:rsidRPr="00AC0D6D">
        <w:rPr>
          <w:rFonts w:cs="Arial"/>
          <w:szCs w:val="22"/>
        </w:rPr>
        <w:t xml:space="preserve">in Kalifornien </w:t>
      </w:r>
      <w:r w:rsidR="00AC0D6D" w:rsidRPr="00AC0D6D">
        <w:rPr>
          <w:rFonts w:cs="Arial"/>
          <w:szCs w:val="22"/>
        </w:rPr>
        <w:t xml:space="preserve">ab 1983 </w:t>
      </w:r>
      <w:r w:rsidRPr="00AC0D6D">
        <w:rPr>
          <w:rFonts w:cs="Arial"/>
          <w:szCs w:val="22"/>
        </w:rPr>
        <w:t xml:space="preserve">zumindest </w:t>
      </w:r>
      <w:r w:rsidR="00AB4361" w:rsidRPr="00AC0D6D">
        <w:rPr>
          <w:rFonts w:cs="Arial"/>
          <w:szCs w:val="22"/>
        </w:rPr>
        <w:t xml:space="preserve">der heimische Cannabisanbau </w:t>
      </w:r>
      <w:r w:rsidR="00AC0D6D" w:rsidRPr="00AC0D6D">
        <w:rPr>
          <w:rFonts w:cs="Arial"/>
          <w:szCs w:val="22"/>
        </w:rPr>
        <w:t>über eine speziell gegründete Behörde (</w:t>
      </w:r>
      <w:r w:rsidR="00AC0D6D" w:rsidRPr="00AC0D6D">
        <w:rPr>
          <w:rFonts w:cs="Helvetica"/>
          <w:color w:val="1C1C1C"/>
          <w:szCs w:val="22"/>
        </w:rPr>
        <w:t>California Bureau of Narcotic Enforcement) v</w:t>
      </w:r>
      <w:r w:rsidR="00AC0D6D" w:rsidRPr="00AC0D6D">
        <w:rPr>
          <w:rFonts w:cs="Arial"/>
          <w:szCs w:val="22"/>
        </w:rPr>
        <w:t>erfolgt</w:t>
      </w:r>
      <w:r w:rsidR="00017E88">
        <w:rPr>
          <w:rFonts w:cs="Arial"/>
          <w:szCs w:val="22"/>
        </w:rPr>
        <w:t xml:space="preserve">. Diese bis heute bestehende </w:t>
      </w:r>
      <w:r w:rsidR="00ED09DE">
        <w:rPr>
          <w:rFonts w:cs="Arial"/>
          <w:szCs w:val="22"/>
        </w:rPr>
        <w:t>Institution</w:t>
      </w:r>
      <w:r w:rsidR="00017E88">
        <w:rPr>
          <w:rFonts w:cs="Arial"/>
          <w:szCs w:val="22"/>
        </w:rPr>
        <w:t xml:space="preserve"> etabliert sich </w:t>
      </w:r>
      <w:r w:rsidR="00AC0D6D" w:rsidRPr="00AC0D6D">
        <w:rPr>
          <w:rFonts w:cs="Helvetica"/>
          <w:color w:val="1C1C1C"/>
          <w:szCs w:val="22"/>
        </w:rPr>
        <w:t>aus föderalen, bundesstaatlichen und regionalen P</w:t>
      </w:r>
      <w:r w:rsidR="00AC0D6D" w:rsidRPr="00AC0D6D">
        <w:rPr>
          <w:rFonts w:cs="Helvetica"/>
          <w:color w:val="1C1C1C"/>
          <w:szCs w:val="22"/>
        </w:rPr>
        <w:t>o</w:t>
      </w:r>
      <w:r w:rsidR="00AC0D6D" w:rsidRPr="00AC0D6D">
        <w:rPr>
          <w:rFonts w:cs="Helvetica"/>
          <w:color w:val="1C1C1C"/>
          <w:szCs w:val="22"/>
        </w:rPr>
        <w:t>lizeieinheiten</w:t>
      </w:r>
      <w:r w:rsidR="00017E88">
        <w:rPr>
          <w:rFonts w:cs="Helvetica"/>
          <w:color w:val="1C1C1C"/>
          <w:szCs w:val="22"/>
        </w:rPr>
        <w:t xml:space="preserve"> und </w:t>
      </w:r>
      <w:r w:rsidR="00AC0D6D">
        <w:rPr>
          <w:rFonts w:cs="Arial"/>
          <w:szCs w:val="22"/>
        </w:rPr>
        <w:t>ka</w:t>
      </w:r>
      <w:r w:rsidR="00BA14B2" w:rsidRPr="00AC0D6D">
        <w:rPr>
          <w:rFonts w:cs="Arial"/>
          <w:szCs w:val="22"/>
        </w:rPr>
        <w:t>nn</w:t>
      </w:r>
      <w:r w:rsidR="0041214F" w:rsidRPr="00AC0D6D">
        <w:rPr>
          <w:rFonts w:cs="Arial"/>
          <w:szCs w:val="22"/>
        </w:rPr>
        <w:t xml:space="preserve"> </w:t>
      </w:r>
      <w:r w:rsidR="00AB4361" w:rsidRPr="00AC0D6D">
        <w:rPr>
          <w:rFonts w:cs="Arial"/>
          <w:szCs w:val="22"/>
        </w:rPr>
        <w:t xml:space="preserve">sich auf </w:t>
      </w:r>
      <w:r w:rsidR="00AB4361" w:rsidRPr="003E321E">
        <w:rPr>
          <w:rFonts w:cs="Arial"/>
          <w:szCs w:val="22"/>
        </w:rPr>
        <w:t xml:space="preserve">die prohibitiven </w:t>
      </w:r>
      <w:r w:rsidR="00F364F0" w:rsidRPr="003E321E">
        <w:rPr>
          <w:rFonts w:cs="Arial"/>
          <w:szCs w:val="22"/>
        </w:rPr>
        <w:t xml:space="preserve">föderalen </w:t>
      </w:r>
      <w:r w:rsidR="00AB4361" w:rsidRPr="003E321E">
        <w:rPr>
          <w:rFonts w:cs="Arial"/>
          <w:szCs w:val="22"/>
        </w:rPr>
        <w:t>US-amerikanischen Drogengesetze berufen</w:t>
      </w:r>
      <w:r w:rsidR="00017E88" w:rsidRPr="003E321E">
        <w:rPr>
          <w:rFonts w:cs="Arial"/>
          <w:szCs w:val="22"/>
        </w:rPr>
        <w:t xml:space="preserve">. Diese </w:t>
      </w:r>
      <w:r w:rsidR="008D0A43" w:rsidRPr="003E321E">
        <w:rPr>
          <w:rFonts w:cs="Arial"/>
          <w:szCs w:val="22"/>
        </w:rPr>
        <w:t>begann</w:t>
      </w:r>
      <w:r w:rsidR="00017E88" w:rsidRPr="003E321E">
        <w:rPr>
          <w:rFonts w:cs="Arial"/>
          <w:szCs w:val="22"/>
        </w:rPr>
        <w:t xml:space="preserve"> im Rahmen der</w:t>
      </w:r>
      <w:r w:rsidR="008D0A43" w:rsidRPr="003E321E">
        <w:rPr>
          <w:rFonts w:cs="Arial"/>
          <w:szCs w:val="22"/>
        </w:rPr>
        <w:t xml:space="preserve"> </w:t>
      </w:r>
      <w:r w:rsidR="00ED09DE">
        <w:rPr>
          <w:rFonts w:cs="Arial"/>
          <w:szCs w:val="22"/>
        </w:rPr>
        <w:t>„</w:t>
      </w:r>
      <w:r w:rsidR="00017E88" w:rsidRPr="003E321E">
        <w:rPr>
          <w:rFonts w:cs="Helvetica"/>
          <w:bCs/>
          <w:szCs w:val="22"/>
        </w:rPr>
        <w:t>Campaign Against Marijuana Planting (CAMP)</w:t>
      </w:r>
      <w:r w:rsidR="00ED09DE">
        <w:rPr>
          <w:rFonts w:cs="Helvetica"/>
          <w:bCs/>
          <w:szCs w:val="22"/>
        </w:rPr>
        <w:t>“</w:t>
      </w:r>
      <w:r w:rsidR="00F30247">
        <w:rPr>
          <w:rFonts w:ascii="Helvetica" w:hAnsi="Helvetica" w:cs="Helvetica"/>
          <w:color w:val="1C1C1C"/>
          <w:sz w:val="28"/>
          <w:szCs w:val="28"/>
        </w:rPr>
        <w:t xml:space="preserve"> </w:t>
      </w:r>
      <w:r w:rsidR="008D0A43" w:rsidRPr="00AC0D6D">
        <w:rPr>
          <w:rFonts w:cs="Arial"/>
          <w:szCs w:val="22"/>
        </w:rPr>
        <w:t>mit inv</w:t>
      </w:r>
      <w:r w:rsidR="008D0A43" w:rsidRPr="00AC0D6D">
        <w:rPr>
          <w:rFonts w:cs="Arial"/>
          <w:szCs w:val="22"/>
        </w:rPr>
        <w:t>a</w:t>
      </w:r>
      <w:r w:rsidR="008D0A43" w:rsidRPr="00AC0D6D">
        <w:rPr>
          <w:rFonts w:cs="Arial"/>
          <w:szCs w:val="22"/>
        </w:rPr>
        <w:t xml:space="preserve">siven </w:t>
      </w:r>
      <w:r w:rsidR="004F3C90">
        <w:rPr>
          <w:rFonts w:cs="Arial"/>
          <w:szCs w:val="22"/>
        </w:rPr>
        <w:t>Mitteln</w:t>
      </w:r>
      <w:r w:rsidR="00F30247" w:rsidRPr="00F30247">
        <w:rPr>
          <w:rFonts w:cs="Arial"/>
          <w:szCs w:val="22"/>
        </w:rPr>
        <w:t xml:space="preserve"> </w:t>
      </w:r>
      <w:r w:rsidR="00F30247" w:rsidRPr="00AC0D6D">
        <w:rPr>
          <w:rFonts w:cs="Arial"/>
          <w:szCs w:val="22"/>
        </w:rPr>
        <w:t xml:space="preserve">gegen </w:t>
      </w:r>
      <w:r w:rsidR="00F30247" w:rsidRPr="00456F0E">
        <w:rPr>
          <w:rFonts w:cs="Arial"/>
          <w:szCs w:val="22"/>
        </w:rPr>
        <w:t>etab</w:t>
      </w:r>
      <w:r w:rsidR="00F30247">
        <w:rPr>
          <w:rFonts w:cs="Arial"/>
          <w:szCs w:val="22"/>
        </w:rPr>
        <w:t>lierte</w:t>
      </w:r>
      <w:r w:rsidR="00F30247" w:rsidRPr="00456F0E">
        <w:rPr>
          <w:rFonts w:cs="Arial"/>
          <w:szCs w:val="22"/>
        </w:rPr>
        <w:t xml:space="preserve"> Farmer vorzugehen</w:t>
      </w:r>
      <w:r w:rsidR="004F3C90">
        <w:rPr>
          <w:rFonts w:cs="Arial"/>
          <w:szCs w:val="22"/>
        </w:rPr>
        <w:t xml:space="preserve"> und griff dabei u. a. </w:t>
      </w:r>
      <w:r w:rsidR="003E321E">
        <w:rPr>
          <w:rFonts w:cs="Arial"/>
          <w:szCs w:val="22"/>
        </w:rPr>
        <w:t xml:space="preserve">auch </w:t>
      </w:r>
      <w:r w:rsidR="004F3C90">
        <w:rPr>
          <w:rFonts w:cs="Arial"/>
          <w:szCs w:val="22"/>
        </w:rPr>
        <w:t>auf den</w:t>
      </w:r>
      <w:r w:rsidR="000024D8">
        <w:rPr>
          <w:rFonts w:cs="Arial"/>
          <w:szCs w:val="22"/>
        </w:rPr>
        <w:t xml:space="preserve"> Einsatz von </w:t>
      </w:r>
      <w:r w:rsidR="00017E88">
        <w:rPr>
          <w:rFonts w:cs="Arial"/>
          <w:szCs w:val="22"/>
        </w:rPr>
        <w:t>Militär und schwerer Militärtechnik</w:t>
      </w:r>
      <w:r w:rsidR="004F3C90">
        <w:rPr>
          <w:rFonts w:cs="Arial"/>
          <w:szCs w:val="22"/>
        </w:rPr>
        <w:t xml:space="preserve"> zurück</w:t>
      </w:r>
      <w:r w:rsidR="008D0A43" w:rsidRPr="00456F0E">
        <w:rPr>
          <w:rFonts w:cs="Arial"/>
          <w:szCs w:val="22"/>
        </w:rPr>
        <w:t xml:space="preserve">. </w:t>
      </w:r>
      <w:r w:rsidR="004F3C90">
        <w:rPr>
          <w:rFonts w:cs="Arial"/>
          <w:szCs w:val="22"/>
        </w:rPr>
        <w:t xml:space="preserve">Deshalb </w:t>
      </w:r>
      <w:r w:rsidR="00017E88">
        <w:rPr>
          <w:rFonts w:cs="Arial"/>
          <w:szCs w:val="22"/>
        </w:rPr>
        <w:t xml:space="preserve">wurde </w:t>
      </w:r>
      <w:r w:rsidR="008D0A43" w:rsidRPr="00456F0E">
        <w:rPr>
          <w:rFonts w:cs="Arial"/>
          <w:szCs w:val="22"/>
        </w:rPr>
        <w:t>CAMP</w:t>
      </w:r>
      <w:r w:rsidR="00456F0E" w:rsidRPr="00456F0E">
        <w:rPr>
          <w:rFonts w:cs="Arial"/>
          <w:szCs w:val="22"/>
        </w:rPr>
        <w:t xml:space="preserve"> </w:t>
      </w:r>
      <w:r w:rsidR="004F3C90">
        <w:rPr>
          <w:rFonts w:cs="Arial"/>
          <w:szCs w:val="22"/>
        </w:rPr>
        <w:t xml:space="preserve">in Kalifornien auch </w:t>
      </w:r>
      <w:r w:rsidR="00AB0540">
        <w:rPr>
          <w:rFonts w:cs="Arial"/>
          <w:szCs w:val="22"/>
        </w:rPr>
        <w:t>zum Sin</w:t>
      </w:r>
      <w:r w:rsidR="00AB0540">
        <w:rPr>
          <w:rFonts w:cs="Arial"/>
          <w:szCs w:val="22"/>
        </w:rPr>
        <w:t>n</w:t>
      </w:r>
      <w:r w:rsidR="00AB0540">
        <w:rPr>
          <w:rFonts w:cs="Arial"/>
          <w:szCs w:val="22"/>
        </w:rPr>
        <w:t>b</w:t>
      </w:r>
      <w:r w:rsidR="00017E88">
        <w:rPr>
          <w:rFonts w:cs="Arial"/>
          <w:szCs w:val="22"/>
        </w:rPr>
        <w:t xml:space="preserve">ild für einen </w:t>
      </w:r>
      <w:r w:rsidR="004F3C90">
        <w:rPr>
          <w:rFonts w:cs="Arial"/>
          <w:szCs w:val="22"/>
        </w:rPr>
        <w:t xml:space="preserve">regelrechten </w:t>
      </w:r>
      <w:r w:rsidR="00F72E2A">
        <w:rPr>
          <w:rFonts w:cs="Arial"/>
          <w:szCs w:val="22"/>
        </w:rPr>
        <w:t>nationalen</w:t>
      </w:r>
      <w:r w:rsidR="0054052C" w:rsidRPr="00762252">
        <w:rPr>
          <w:rFonts w:cs="Arial"/>
          <w:szCs w:val="22"/>
        </w:rPr>
        <w:t xml:space="preserve"> „War on drugs“</w:t>
      </w:r>
      <w:r w:rsidR="008D0A43">
        <w:rPr>
          <w:rFonts w:cs="Arial"/>
          <w:szCs w:val="22"/>
        </w:rPr>
        <w:t>,</w:t>
      </w:r>
      <w:r w:rsidR="00AC0D6D">
        <w:rPr>
          <w:rFonts w:cs="Arial"/>
          <w:szCs w:val="22"/>
        </w:rPr>
        <w:t xml:space="preserve"> der </w:t>
      </w:r>
      <w:r w:rsidR="00F364F0" w:rsidRPr="00762252">
        <w:rPr>
          <w:rFonts w:cs="Arial"/>
          <w:szCs w:val="22"/>
        </w:rPr>
        <w:t xml:space="preserve">von weiten Teilen der Bevölkerung abgelehnt </w:t>
      </w:r>
      <w:r w:rsidR="00AB4361" w:rsidRPr="00762252">
        <w:rPr>
          <w:rFonts w:cs="Arial"/>
          <w:szCs w:val="22"/>
        </w:rPr>
        <w:t>und auf unterschiedliche Weise hintergangen</w:t>
      </w:r>
      <w:r w:rsidR="008D0A43">
        <w:rPr>
          <w:rFonts w:cs="Arial"/>
          <w:szCs w:val="22"/>
        </w:rPr>
        <w:t xml:space="preserve"> wurde</w:t>
      </w:r>
      <w:r w:rsidR="00AB4361" w:rsidRPr="00762252">
        <w:rPr>
          <w:rFonts w:cs="Arial"/>
          <w:szCs w:val="22"/>
        </w:rPr>
        <w:t xml:space="preserve">. </w:t>
      </w:r>
      <w:r w:rsidR="00A5484E">
        <w:rPr>
          <w:rFonts w:cs="Arial"/>
          <w:szCs w:val="22"/>
        </w:rPr>
        <w:t xml:space="preserve">Der bis heute lebendige und weiterhin akzeptierte Kult der Hippies in Kalifornien hat daran einen wichtigen Anteil. </w:t>
      </w:r>
    </w:p>
    <w:p w14:paraId="470C332E" w14:textId="571E75EB" w:rsidR="00EB756A" w:rsidRDefault="00AC0D6D" w:rsidP="009D7629">
      <w:pPr>
        <w:spacing w:line="276" w:lineRule="auto"/>
        <w:jc w:val="both"/>
        <w:rPr>
          <w:rFonts w:cs="Arial"/>
          <w:szCs w:val="22"/>
        </w:rPr>
      </w:pPr>
      <w:r w:rsidRPr="00A403B1">
        <w:rPr>
          <w:rFonts w:cs="Arial"/>
          <w:szCs w:val="22"/>
        </w:rPr>
        <w:t xml:space="preserve">Mit der </w:t>
      </w:r>
      <w:r w:rsidR="004F3C90">
        <w:rPr>
          <w:rFonts w:cs="Arial"/>
          <w:szCs w:val="22"/>
        </w:rPr>
        <w:t xml:space="preserve">Einführung der </w:t>
      </w:r>
      <w:r w:rsidRPr="00A403B1">
        <w:rPr>
          <w:rFonts w:cs="Arial"/>
          <w:szCs w:val="22"/>
        </w:rPr>
        <w:t>medizinischen Vergabe von Marihuana</w:t>
      </w:r>
      <w:r w:rsidR="003C353F" w:rsidRPr="00A403B1">
        <w:rPr>
          <w:rFonts w:cs="Arial"/>
          <w:szCs w:val="22"/>
        </w:rPr>
        <w:t xml:space="preserve"> im Jahr 1996</w:t>
      </w:r>
      <w:r w:rsidR="003E321E">
        <w:rPr>
          <w:rStyle w:val="Funotenzeichen"/>
          <w:rFonts w:cs="Arial"/>
          <w:szCs w:val="22"/>
        </w:rPr>
        <w:footnoteReference w:id="5"/>
      </w:r>
      <w:r w:rsidR="003E321E">
        <w:rPr>
          <w:rFonts w:cs="Arial"/>
          <w:szCs w:val="22"/>
        </w:rPr>
        <w:t xml:space="preserve">, </w:t>
      </w:r>
      <w:r w:rsidRPr="00A403B1">
        <w:rPr>
          <w:rFonts w:cs="Arial"/>
          <w:szCs w:val="22"/>
        </w:rPr>
        <w:t>die z. B. auch den An</w:t>
      </w:r>
      <w:r w:rsidR="00A403B1" w:rsidRPr="00A403B1">
        <w:rPr>
          <w:rFonts w:cs="Arial"/>
          <w:szCs w:val="22"/>
        </w:rPr>
        <w:t>bau von 12</w:t>
      </w:r>
      <w:r w:rsidRPr="00A403B1">
        <w:rPr>
          <w:rFonts w:cs="Arial"/>
          <w:szCs w:val="22"/>
        </w:rPr>
        <w:t xml:space="preserve"> Pflanzen</w:t>
      </w:r>
      <w:r w:rsidR="003C353F" w:rsidRPr="00A403B1">
        <w:rPr>
          <w:rFonts w:cs="Arial"/>
          <w:szCs w:val="22"/>
        </w:rPr>
        <w:t xml:space="preserve">, den Besitz von </w:t>
      </w:r>
      <w:r w:rsidR="00A403B1" w:rsidRPr="00A403B1">
        <w:rPr>
          <w:rFonts w:cs="Arial"/>
          <w:szCs w:val="22"/>
        </w:rPr>
        <w:t>8 Unzen (226,72 g) getrocknetes Marihuana oder 6 g</w:t>
      </w:r>
      <w:r w:rsidR="00A403B1" w:rsidRPr="00A403B1">
        <w:rPr>
          <w:rFonts w:cs="Arial"/>
          <w:szCs w:val="22"/>
        </w:rPr>
        <w:t>e</w:t>
      </w:r>
      <w:r w:rsidR="00ED09DE">
        <w:rPr>
          <w:rFonts w:cs="Arial"/>
          <w:szCs w:val="22"/>
        </w:rPr>
        <w:t>trockneter</w:t>
      </w:r>
      <w:r w:rsidR="00A403B1" w:rsidRPr="00A403B1">
        <w:rPr>
          <w:rFonts w:cs="Arial"/>
          <w:szCs w:val="22"/>
        </w:rPr>
        <w:t xml:space="preserve"> Pflanzen pro Patient zum persönlichen Konsum erlaub</w:t>
      </w:r>
      <w:r w:rsidR="00ED09DE">
        <w:rPr>
          <w:rFonts w:cs="Arial"/>
          <w:szCs w:val="22"/>
        </w:rPr>
        <w:t>t</w:t>
      </w:r>
      <w:r w:rsidR="00A403B1" w:rsidRPr="00A403B1">
        <w:rPr>
          <w:rFonts w:cs="Arial"/>
          <w:szCs w:val="22"/>
        </w:rPr>
        <w:t xml:space="preserve"> </w:t>
      </w:r>
      <w:r w:rsidR="003E321E">
        <w:rPr>
          <w:rFonts w:cs="Arial"/>
          <w:szCs w:val="22"/>
        </w:rPr>
        <w:t>und eine großzügige</w:t>
      </w:r>
      <w:r w:rsidRPr="00A403B1">
        <w:rPr>
          <w:rFonts w:cs="Arial"/>
          <w:szCs w:val="22"/>
        </w:rPr>
        <w:t xml:space="preserve"> Vergabe </w:t>
      </w:r>
      <w:r w:rsidR="00F72E2A">
        <w:rPr>
          <w:rFonts w:cs="Arial"/>
          <w:szCs w:val="22"/>
        </w:rPr>
        <w:t xml:space="preserve">sowohl </w:t>
      </w:r>
      <w:r w:rsidRPr="00A403B1">
        <w:rPr>
          <w:rFonts w:cs="Arial"/>
          <w:szCs w:val="22"/>
        </w:rPr>
        <w:t>von Anbau</w:t>
      </w:r>
      <w:r w:rsidR="00F72E2A">
        <w:rPr>
          <w:rFonts w:cs="Arial"/>
          <w:szCs w:val="22"/>
        </w:rPr>
        <w:t xml:space="preserve">- als auch Vergabelizenzen </w:t>
      </w:r>
      <w:r w:rsidRPr="00A403B1">
        <w:rPr>
          <w:rFonts w:cs="Arial"/>
          <w:szCs w:val="22"/>
        </w:rPr>
        <w:t xml:space="preserve">für medizinisches Marihuana </w:t>
      </w:r>
      <w:r w:rsidR="00017E88" w:rsidRPr="00A403B1">
        <w:rPr>
          <w:rFonts w:cs="Arial"/>
          <w:szCs w:val="22"/>
        </w:rPr>
        <w:t>vor</w:t>
      </w:r>
      <w:r w:rsidR="00A403B1" w:rsidRPr="00A403B1">
        <w:rPr>
          <w:rFonts w:cs="Arial"/>
          <w:szCs w:val="22"/>
        </w:rPr>
        <w:t>s</w:t>
      </w:r>
      <w:r w:rsidR="00ED09DE">
        <w:rPr>
          <w:rFonts w:cs="Arial"/>
          <w:szCs w:val="22"/>
        </w:rPr>
        <w:t>ie</w:t>
      </w:r>
      <w:r w:rsidR="00A403B1">
        <w:rPr>
          <w:rFonts w:cs="Arial"/>
          <w:szCs w:val="22"/>
        </w:rPr>
        <w:t>h</w:t>
      </w:r>
      <w:r w:rsidR="00ED09DE">
        <w:rPr>
          <w:rFonts w:cs="Arial"/>
          <w:szCs w:val="22"/>
        </w:rPr>
        <w:t>t</w:t>
      </w:r>
      <w:r w:rsidR="00017E88" w:rsidRPr="00A403B1">
        <w:rPr>
          <w:rFonts w:cs="Arial"/>
          <w:szCs w:val="22"/>
        </w:rPr>
        <w:t xml:space="preserve">, </w:t>
      </w:r>
      <w:r w:rsidRPr="00A403B1">
        <w:rPr>
          <w:rFonts w:cs="Arial"/>
          <w:szCs w:val="22"/>
        </w:rPr>
        <w:t xml:space="preserve">sind diesen CAMP-Aktionen </w:t>
      </w:r>
      <w:r w:rsidR="004F3C90">
        <w:rPr>
          <w:rFonts w:cs="Arial"/>
          <w:szCs w:val="22"/>
        </w:rPr>
        <w:t xml:space="preserve">in Kalifornien </w:t>
      </w:r>
      <w:r w:rsidR="00B05978" w:rsidRPr="00A403B1">
        <w:rPr>
          <w:rFonts w:cs="Arial"/>
          <w:szCs w:val="22"/>
        </w:rPr>
        <w:t xml:space="preserve">jedoch </w:t>
      </w:r>
      <w:r w:rsidRPr="00A403B1">
        <w:rPr>
          <w:rFonts w:cs="Arial"/>
          <w:szCs w:val="22"/>
        </w:rPr>
        <w:t>deut</w:t>
      </w:r>
      <w:r w:rsidR="00B05978" w:rsidRPr="00A403B1">
        <w:rPr>
          <w:rFonts w:cs="Arial"/>
          <w:szCs w:val="22"/>
        </w:rPr>
        <w:t>liche G</w:t>
      </w:r>
      <w:r w:rsidRPr="00A403B1">
        <w:rPr>
          <w:rFonts w:cs="Arial"/>
          <w:szCs w:val="22"/>
        </w:rPr>
        <w:t>renzen gesetzt worden</w:t>
      </w:r>
      <w:r w:rsidR="00A403B1">
        <w:rPr>
          <w:rFonts w:cs="Arial"/>
          <w:szCs w:val="22"/>
        </w:rPr>
        <w:t>.</w:t>
      </w:r>
      <w:r w:rsidRPr="00A403B1">
        <w:rPr>
          <w:rFonts w:cs="Arial"/>
          <w:szCs w:val="22"/>
        </w:rPr>
        <w:t xml:space="preserve"> </w:t>
      </w:r>
    </w:p>
    <w:p w14:paraId="15ED467C" w14:textId="4E307E35" w:rsidR="00D52B5B" w:rsidRPr="00762252" w:rsidRDefault="00AB4361" w:rsidP="009D7629">
      <w:pPr>
        <w:spacing w:line="276" w:lineRule="auto"/>
        <w:jc w:val="both"/>
        <w:rPr>
          <w:rFonts w:cs="Arial"/>
          <w:szCs w:val="22"/>
        </w:rPr>
      </w:pPr>
      <w:r w:rsidRPr="00A403B1">
        <w:rPr>
          <w:rFonts w:cs="Arial"/>
          <w:szCs w:val="22"/>
        </w:rPr>
        <w:t>Mittlerweil</w:t>
      </w:r>
      <w:r w:rsidR="00E33387" w:rsidRPr="00A403B1">
        <w:rPr>
          <w:rFonts w:cs="Arial"/>
          <w:szCs w:val="22"/>
        </w:rPr>
        <w:t>e ist die aus tausenden kleinen Farmen</w:t>
      </w:r>
      <w:r w:rsidR="00E33387" w:rsidRPr="00762252">
        <w:rPr>
          <w:rFonts w:cs="Arial"/>
          <w:szCs w:val="22"/>
        </w:rPr>
        <w:t xml:space="preserve"> bestehende Marihuana-Wirtschaft </w:t>
      </w:r>
      <w:r w:rsidRPr="00762252">
        <w:rPr>
          <w:rFonts w:cs="Arial"/>
          <w:szCs w:val="22"/>
        </w:rPr>
        <w:t>Kalifo</w:t>
      </w:r>
      <w:r w:rsidRPr="00762252">
        <w:rPr>
          <w:rFonts w:cs="Arial"/>
          <w:szCs w:val="22"/>
        </w:rPr>
        <w:t>r</w:t>
      </w:r>
      <w:r w:rsidRPr="00762252">
        <w:rPr>
          <w:rFonts w:cs="Arial"/>
          <w:szCs w:val="22"/>
        </w:rPr>
        <w:t xml:space="preserve">niens </w:t>
      </w:r>
      <w:r w:rsidR="00E33387" w:rsidRPr="00762252">
        <w:rPr>
          <w:rFonts w:cs="Arial"/>
          <w:szCs w:val="22"/>
        </w:rPr>
        <w:t>der</w:t>
      </w:r>
      <w:r w:rsidRPr="00762252">
        <w:rPr>
          <w:rFonts w:cs="Arial"/>
          <w:szCs w:val="22"/>
        </w:rPr>
        <w:t xml:space="preserve"> </w:t>
      </w:r>
      <w:r w:rsidR="00E33387" w:rsidRPr="00762252">
        <w:rPr>
          <w:rFonts w:cs="Arial"/>
          <w:szCs w:val="22"/>
        </w:rPr>
        <w:t>bedeutendste</w:t>
      </w:r>
      <w:r w:rsidRPr="00762252">
        <w:rPr>
          <w:rFonts w:cs="Arial"/>
          <w:szCs w:val="22"/>
        </w:rPr>
        <w:t xml:space="preserve"> </w:t>
      </w:r>
      <w:r w:rsidR="00E33387" w:rsidRPr="00762252">
        <w:rPr>
          <w:rFonts w:cs="Arial"/>
          <w:szCs w:val="22"/>
        </w:rPr>
        <w:t>Lieferant</w:t>
      </w:r>
      <w:r w:rsidRPr="00762252">
        <w:rPr>
          <w:rFonts w:cs="Arial"/>
          <w:szCs w:val="22"/>
        </w:rPr>
        <w:t xml:space="preserve"> </w:t>
      </w:r>
      <w:r w:rsidR="00E33387" w:rsidRPr="00762252">
        <w:rPr>
          <w:rFonts w:cs="Arial"/>
          <w:szCs w:val="22"/>
        </w:rPr>
        <w:t xml:space="preserve">für Marihuana, das in </w:t>
      </w:r>
      <w:r w:rsidR="00E33387" w:rsidRPr="00903B1D">
        <w:rPr>
          <w:rFonts w:cs="Arial"/>
          <w:szCs w:val="22"/>
        </w:rPr>
        <w:t>den USA zu medizinischen Zwecken ei</w:t>
      </w:r>
      <w:r w:rsidR="00E33387" w:rsidRPr="00903B1D">
        <w:rPr>
          <w:rFonts w:cs="Arial"/>
          <w:szCs w:val="22"/>
        </w:rPr>
        <w:t>n</w:t>
      </w:r>
      <w:r w:rsidR="00E33387" w:rsidRPr="00903B1D">
        <w:rPr>
          <w:rFonts w:cs="Arial"/>
          <w:szCs w:val="22"/>
        </w:rPr>
        <w:t>gesetzt</w:t>
      </w:r>
      <w:r w:rsidR="00884115" w:rsidRPr="00903B1D">
        <w:rPr>
          <w:rFonts w:cs="Arial"/>
          <w:szCs w:val="22"/>
        </w:rPr>
        <w:t>,</w:t>
      </w:r>
      <w:r w:rsidR="00E33387" w:rsidRPr="00903B1D">
        <w:rPr>
          <w:rFonts w:cs="Arial"/>
          <w:szCs w:val="22"/>
        </w:rPr>
        <w:t xml:space="preserve"> </w:t>
      </w:r>
      <w:r w:rsidR="00D52B5B" w:rsidRPr="00903B1D">
        <w:rPr>
          <w:rFonts w:cs="Arial"/>
          <w:szCs w:val="22"/>
        </w:rPr>
        <w:t>aber auch</w:t>
      </w:r>
      <w:r w:rsidR="00CE23D2" w:rsidRPr="00903B1D">
        <w:rPr>
          <w:rFonts w:cs="Arial"/>
          <w:szCs w:val="22"/>
        </w:rPr>
        <w:t xml:space="preserve"> über den Schwarzmarkt vertrieben wird</w:t>
      </w:r>
      <w:r w:rsidR="001606B2" w:rsidRPr="00903B1D">
        <w:rPr>
          <w:rFonts w:cs="Arial"/>
          <w:szCs w:val="22"/>
        </w:rPr>
        <w:t xml:space="preserve"> </w:t>
      </w:r>
      <w:r w:rsidR="00F72E2A">
        <w:rPr>
          <w:rFonts w:cs="Arial"/>
          <w:szCs w:val="22"/>
        </w:rPr>
        <w:t xml:space="preserve">und ernährt hier schon über viele Generationen </w:t>
      </w:r>
      <w:r w:rsidR="00A5484E">
        <w:rPr>
          <w:rFonts w:cs="Arial"/>
          <w:szCs w:val="22"/>
        </w:rPr>
        <w:t xml:space="preserve">ganze </w:t>
      </w:r>
      <w:r w:rsidR="00F72E2A">
        <w:rPr>
          <w:rFonts w:cs="Arial"/>
          <w:szCs w:val="22"/>
        </w:rPr>
        <w:t>Familien</w:t>
      </w:r>
      <w:r w:rsidR="00ED09DE">
        <w:rPr>
          <w:rFonts w:cs="Arial"/>
          <w:szCs w:val="22"/>
        </w:rPr>
        <w:t>verbä</w:t>
      </w:r>
      <w:r w:rsidR="004F3C90">
        <w:rPr>
          <w:rFonts w:cs="Arial"/>
          <w:szCs w:val="22"/>
        </w:rPr>
        <w:t>nde</w:t>
      </w:r>
      <w:r w:rsidR="00F72E2A">
        <w:rPr>
          <w:rFonts w:cs="Arial"/>
          <w:szCs w:val="22"/>
        </w:rPr>
        <w:t xml:space="preserve"> </w:t>
      </w:r>
      <w:r w:rsidR="000024D8">
        <w:rPr>
          <w:rFonts w:cs="Arial"/>
          <w:szCs w:val="22"/>
        </w:rPr>
        <w:t>(vgl. Kri</w:t>
      </w:r>
      <w:r w:rsidR="001606B2" w:rsidRPr="00903B1D">
        <w:rPr>
          <w:rFonts w:cs="Arial"/>
          <w:szCs w:val="22"/>
        </w:rPr>
        <w:t>ssman 2014)</w:t>
      </w:r>
      <w:r w:rsidR="00E33387" w:rsidRPr="00903B1D">
        <w:rPr>
          <w:rFonts w:cs="Arial"/>
          <w:szCs w:val="22"/>
        </w:rPr>
        <w:t>.</w:t>
      </w:r>
      <w:r w:rsidR="00E33387" w:rsidRPr="00762252">
        <w:rPr>
          <w:rFonts w:cs="Arial"/>
          <w:szCs w:val="22"/>
        </w:rPr>
        <w:t xml:space="preserve"> </w:t>
      </w:r>
    </w:p>
    <w:p w14:paraId="01DFA280" w14:textId="19221440" w:rsidR="006528DE" w:rsidRDefault="0041214F" w:rsidP="009D7629">
      <w:pPr>
        <w:pStyle w:val="berschrift3"/>
        <w:spacing w:line="276" w:lineRule="auto"/>
        <w:jc w:val="both"/>
      </w:pPr>
      <w:bookmarkStart w:id="13" w:name="_Toc349300342"/>
      <w:r w:rsidRPr="00762252">
        <w:t>Die Marihuana-Wirtschaft: ein Wirtschaftszweig</w:t>
      </w:r>
      <w:r w:rsidR="009F5579">
        <w:t>,</w:t>
      </w:r>
      <w:r w:rsidR="00C00AFB" w:rsidRPr="00762252">
        <w:t xml:space="preserve"> </w:t>
      </w:r>
      <w:r w:rsidR="006528DE">
        <w:t>ganz anders als andere</w:t>
      </w:r>
      <w:bookmarkEnd w:id="13"/>
    </w:p>
    <w:p w14:paraId="1BEC357B" w14:textId="445F88B2" w:rsidR="00CE23D2" w:rsidRPr="00762252" w:rsidRDefault="003E321E" w:rsidP="009D7629">
      <w:pPr>
        <w:spacing w:line="276" w:lineRule="auto"/>
        <w:jc w:val="both"/>
        <w:rPr>
          <w:rFonts w:cs="Arial"/>
          <w:szCs w:val="22"/>
        </w:rPr>
      </w:pPr>
      <w:r>
        <w:rPr>
          <w:rFonts w:cs="Arial"/>
          <w:szCs w:val="22"/>
        </w:rPr>
        <w:t>Die</w:t>
      </w:r>
      <w:r w:rsidR="00E33387" w:rsidRPr="00762252">
        <w:rPr>
          <w:rFonts w:cs="Arial"/>
          <w:szCs w:val="22"/>
        </w:rPr>
        <w:t xml:space="preserve"> Marihuana-</w:t>
      </w:r>
      <w:r w:rsidR="006708C7" w:rsidRPr="00762252">
        <w:rPr>
          <w:rFonts w:cs="Arial"/>
          <w:szCs w:val="22"/>
        </w:rPr>
        <w:t>Wirtschaft</w:t>
      </w:r>
      <w:r w:rsidR="009F5579">
        <w:rPr>
          <w:rFonts w:cs="Arial"/>
          <w:szCs w:val="22"/>
        </w:rPr>
        <w:t xml:space="preserve"> ist </w:t>
      </w:r>
      <w:r w:rsidR="00E33387" w:rsidRPr="00762252">
        <w:rPr>
          <w:rFonts w:cs="Arial"/>
          <w:szCs w:val="22"/>
        </w:rPr>
        <w:t>un</w:t>
      </w:r>
      <w:r w:rsidR="006708C7" w:rsidRPr="00762252">
        <w:rPr>
          <w:rFonts w:cs="Arial"/>
          <w:szCs w:val="22"/>
        </w:rPr>
        <w:t xml:space="preserve">ter den Bedingungen </w:t>
      </w:r>
      <w:r w:rsidR="00884115" w:rsidRPr="00762252">
        <w:rPr>
          <w:rFonts w:cs="Arial"/>
          <w:szCs w:val="22"/>
        </w:rPr>
        <w:t>der</w:t>
      </w:r>
      <w:r w:rsidR="006708C7" w:rsidRPr="00762252">
        <w:rPr>
          <w:rFonts w:cs="Arial"/>
          <w:szCs w:val="22"/>
        </w:rPr>
        <w:t xml:space="preserve"> I</w:t>
      </w:r>
      <w:r w:rsidR="00C66158">
        <w:rPr>
          <w:rFonts w:cs="Arial"/>
          <w:szCs w:val="22"/>
        </w:rPr>
        <w:t>l</w:t>
      </w:r>
      <w:r w:rsidR="006708C7" w:rsidRPr="00762252">
        <w:rPr>
          <w:rFonts w:cs="Arial"/>
          <w:szCs w:val="22"/>
        </w:rPr>
        <w:t>l</w:t>
      </w:r>
      <w:r w:rsidR="00D01097">
        <w:rPr>
          <w:rFonts w:cs="Arial"/>
          <w:szCs w:val="22"/>
        </w:rPr>
        <w:t xml:space="preserve">egalisierung </w:t>
      </w:r>
      <w:r w:rsidR="009F5579" w:rsidRPr="00762252">
        <w:rPr>
          <w:rFonts w:cs="Arial"/>
          <w:szCs w:val="22"/>
        </w:rPr>
        <w:t>entstanden</w:t>
      </w:r>
      <w:r w:rsidR="009F5579">
        <w:rPr>
          <w:rFonts w:cs="Arial"/>
          <w:szCs w:val="22"/>
        </w:rPr>
        <w:t xml:space="preserve"> und</w:t>
      </w:r>
      <w:r w:rsidR="0054052C" w:rsidRPr="00762252">
        <w:rPr>
          <w:rFonts w:cs="Arial"/>
          <w:szCs w:val="22"/>
        </w:rPr>
        <w:t xml:space="preserve"> eine</w:t>
      </w:r>
      <w:r w:rsidR="006708C7" w:rsidRPr="00762252">
        <w:rPr>
          <w:rFonts w:cs="Arial"/>
          <w:szCs w:val="22"/>
        </w:rPr>
        <w:t>r</w:t>
      </w:r>
      <w:r w:rsidR="0054052C" w:rsidRPr="00762252">
        <w:rPr>
          <w:rFonts w:cs="Arial"/>
          <w:szCs w:val="22"/>
        </w:rPr>
        <w:t xml:space="preserve"> der größten a</w:t>
      </w:r>
      <w:r w:rsidR="00E33387" w:rsidRPr="00762252">
        <w:rPr>
          <w:rFonts w:cs="Arial"/>
          <w:szCs w:val="22"/>
        </w:rPr>
        <w:t>lternativen</w:t>
      </w:r>
      <w:r w:rsidR="0054052C" w:rsidRPr="00762252">
        <w:rPr>
          <w:rFonts w:cs="Arial"/>
          <w:szCs w:val="22"/>
        </w:rPr>
        <w:t xml:space="preserve"> </w:t>
      </w:r>
      <w:r w:rsidR="006708C7" w:rsidRPr="00762252">
        <w:rPr>
          <w:rFonts w:cs="Arial"/>
          <w:szCs w:val="22"/>
        </w:rPr>
        <w:t>Wirtschaftszweige der USA. Für diese ist bis heute eine eher kleinteil</w:t>
      </w:r>
      <w:r w:rsidR="006708C7" w:rsidRPr="00762252">
        <w:rPr>
          <w:rFonts w:cs="Arial"/>
          <w:szCs w:val="22"/>
        </w:rPr>
        <w:t>i</w:t>
      </w:r>
      <w:r w:rsidR="006708C7" w:rsidRPr="00762252">
        <w:rPr>
          <w:rFonts w:cs="Arial"/>
          <w:szCs w:val="22"/>
        </w:rPr>
        <w:t>ge</w:t>
      </w:r>
      <w:r w:rsidR="0054052C" w:rsidRPr="00762252">
        <w:rPr>
          <w:rFonts w:cs="Arial"/>
          <w:szCs w:val="22"/>
        </w:rPr>
        <w:t xml:space="preserve"> und </w:t>
      </w:r>
      <w:r w:rsidR="006708C7" w:rsidRPr="00762252">
        <w:rPr>
          <w:rFonts w:cs="Arial"/>
          <w:szCs w:val="22"/>
        </w:rPr>
        <w:t xml:space="preserve">durch Handarbeit geprägte </w:t>
      </w:r>
      <w:r w:rsidR="0054052C" w:rsidRPr="00762252">
        <w:rPr>
          <w:rFonts w:cs="Arial"/>
          <w:szCs w:val="22"/>
        </w:rPr>
        <w:t>Produktion</w:t>
      </w:r>
      <w:r w:rsidR="006708C7" w:rsidRPr="00762252">
        <w:rPr>
          <w:rFonts w:cs="Arial"/>
          <w:szCs w:val="22"/>
        </w:rPr>
        <w:t xml:space="preserve"> typisch, die zudem über regionale, überschaubare soziale Netzwerke mit flache</w:t>
      </w:r>
      <w:r w:rsidR="009F5579">
        <w:rPr>
          <w:rFonts w:cs="Arial"/>
          <w:szCs w:val="22"/>
        </w:rPr>
        <w:t>n</w:t>
      </w:r>
      <w:r w:rsidR="006708C7" w:rsidRPr="00762252">
        <w:rPr>
          <w:rFonts w:cs="Arial"/>
          <w:szCs w:val="22"/>
        </w:rPr>
        <w:t xml:space="preserve"> Hierarchien zwischen den Farmern und ihren Angestellten org</w:t>
      </w:r>
      <w:r w:rsidR="006708C7" w:rsidRPr="00762252">
        <w:rPr>
          <w:rFonts w:cs="Arial"/>
          <w:szCs w:val="22"/>
        </w:rPr>
        <w:t>a</w:t>
      </w:r>
      <w:r w:rsidR="006708C7" w:rsidRPr="00762252">
        <w:rPr>
          <w:rFonts w:cs="Arial"/>
          <w:szCs w:val="22"/>
        </w:rPr>
        <w:t>nisiert ist und mit einem deutlichen regionalen Bezug produzier</w:t>
      </w:r>
      <w:r w:rsidR="00DB028A" w:rsidRPr="00762252">
        <w:rPr>
          <w:rFonts w:cs="Arial"/>
          <w:szCs w:val="22"/>
        </w:rPr>
        <w:t>t</w:t>
      </w:r>
      <w:r w:rsidR="006708C7" w:rsidRPr="00762252">
        <w:rPr>
          <w:rFonts w:cs="Arial"/>
          <w:szCs w:val="22"/>
        </w:rPr>
        <w:t>. Sie steh</w:t>
      </w:r>
      <w:r w:rsidR="00B05978">
        <w:rPr>
          <w:rFonts w:cs="Arial"/>
          <w:szCs w:val="22"/>
        </w:rPr>
        <w:t>t</w:t>
      </w:r>
      <w:r w:rsidR="006708C7" w:rsidRPr="00762252">
        <w:rPr>
          <w:rFonts w:cs="Arial"/>
          <w:szCs w:val="22"/>
        </w:rPr>
        <w:t xml:space="preserve"> damit in Kontrast zu den großen Agrarindustriekomplexen</w:t>
      </w:r>
      <w:r w:rsidR="00E33387" w:rsidRPr="00762252">
        <w:rPr>
          <w:rFonts w:cs="Arial"/>
          <w:szCs w:val="22"/>
        </w:rPr>
        <w:t xml:space="preserve">, die </w:t>
      </w:r>
      <w:r w:rsidR="00B05978">
        <w:rPr>
          <w:rFonts w:cs="Arial"/>
          <w:szCs w:val="22"/>
        </w:rPr>
        <w:t>bei</w:t>
      </w:r>
      <w:r w:rsidR="00CE23D2" w:rsidRPr="00762252">
        <w:rPr>
          <w:rFonts w:cs="Arial"/>
          <w:szCs w:val="22"/>
        </w:rPr>
        <w:t xml:space="preserve"> andere</w:t>
      </w:r>
      <w:r w:rsidR="00B05978">
        <w:rPr>
          <w:rFonts w:cs="Arial"/>
          <w:szCs w:val="22"/>
        </w:rPr>
        <w:t>n</w:t>
      </w:r>
      <w:r w:rsidR="00CE23D2" w:rsidRPr="00762252">
        <w:rPr>
          <w:rFonts w:cs="Arial"/>
          <w:szCs w:val="22"/>
        </w:rPr>
        <w:t xml:space="preserve"> Produkte</w:t>
      </w:r>
      <w:r w:rsidR="00B05978">
        <w:rPr>
          <w:rFonts w:cs="Arial"/>
          <w:szCs w:val="22"/>
        </w:rPr>
        <w:t>n</w:t>
      </w:r>
      <w:r w:rsidR="00E33387" w:rsidRPr="00762252">
        <w:rPr>
          <w:rFonts w:cs="Arial"/>
          <w:szCs w:val="22"/>
        </w:rPr>
        <w:t xml:space="preserve"> </w:t>
      </w:r>
      <w:r w:rsidR="006708C7" w:rsidRPr="00762252">
        <w:rPr>
          <w:rFonts w:cs="Arial"/>
          <w:szCs w:val="22"/>
        </w:rPr>
        <w:t>die landwirtschaftliche Pr</w:t>
      </w:r>
      <w:r w:rsidR="006708C7" w:rsidRPr="00762252">
        <w:rPr>
          <w:rFonts w:cs="Arial"/>
          <w:szCs w:val="22"/>
        </w:rPr>
        <w:t>o</w:t>
      </w:r>
      <w:r w:rsidR="006708C7" w:rsidRPr="00762252">
        <w:rPr>
          <w:rFonts w:cs="Arial"/>
          <w:szCs w:val="22"/>
        </w:rPr>
        <w:t xml:space="preserve">duktion </w:t>
      </w:r>
      <w:r w:rsidR="00E33387" w:rsidRPr="00762252">
        <w:rPr>
          <w:rFonts w:cs="Arial"/>
          <w:szCs w:val="22"/>
        </w:rPr>
        <w:t>nicht nur in den USA dominier</w:t>
      </w:r>
      <w:r w:rsidR="006708C7" w:rsidRPr="00762252">
        <w:rPr>
          <w:rFonts w:cs="Arial"/>
          <w:szCs w:val="22"/>
        </w:rPr>
        <w:t>en</w:t>
      </w:r>
      <w:r w:rsidR="004F3C90">
        <w:rPr>
          <w:rFonts w:cs="Arial"/>
          <w:szCs w:val="22"/>
        </w:rPr>
        <w:t>. Diese industriellen Produktionsmethoden</w:t>
      </w:r>
      <w:r w:rsidR="00DB028A" w:rsidRPr="00762252">
        <w:rPr>
          <w:rFonts w:cs="Arial"/>
          <w:szCs w:val="22"/>
        </w:rPr>
        <w:t xml:space="preserve">, </w:t>
      </w:r>
      <w:r w:rsidR="00F72E2A">
        <w:rPr>
          <w:rFonts w:cs="Arial"/>
          <w:szCs w:val="22"/>
        </w:rPr>
        <w:t xml:space="preserve">die </w:t>
      </w:r>
      <w:r w:rsidR="00DB028A" w:rsidRPr="00762252">
        <w:rPr>
          <w:rFonts w:cs="Arial"/>
          <w:szCs w:val="22"/>
        </w:rPr>
        <w:t>für einen eher anonymen überregionalen Markt produzieren und dort auch ihre Umsätze tätigen</w:t>
      </w:r>
      <w:r w:rsidR="00F72E2A">
        <w:rPr>
          <w:rFonts w:cs="Arial"/>
          <w:szCs w:val="22"/>
        </w:rPr>
        <w:t xml:space="preserve">, die </w:t>
      </w:r>
      <w:r w:rsidR="004F3C90">
        <w:rPr>
          <w:rFonts w:cs="Arial"/>
          <w:szCs w:val="22"/>
        </w:rPr>
        <w:t xml:space="preserve">mit Monokulturen und einem Großeinsatz an Dünge- und Pflanzenschutzmittel </w:t>
      </w:r>
      <w:r w:rsidR="00F72E2A">
        <w:rPr>
          <w:rFonts w:cs="Arial"/>
          <w:szCs w:val="22"/>
        </w:rPr>
        <w:t>nicht nur die Umwelt schädigen, sondern auch gesundheitlich problematische Produkte au</w:t>
      </w:r>
      <w:r w:rsidR="00773D00">
        <w:rPr>
          <w:rFonts w:cs="Arial"/>
          <w:szCs w:val="22"/>
        </w:rPr>
        <w:t>f einen Markt bri</w:t>
      </w:r>
      <w:r w:rsidR="00773D00">
        <w:rPr>
          <w:rFonts w:cs="Arial"/>
          <w:szCs w:val="22"/>
        </w:rPr>
        <w:t>n</w:t>
      </w:r>
      <w:r w:rsidR="00773D00">
        <w:rPr>
          <w:rFonts w:cs="Arial"/>
          <w:szCs w:val="22"/>
        </w:rPr>
        <w:t xml:space="preserve">gen, dessen Einnahmen </w:t>
      </w:r>
      <w:r w:rsidR="00DC43E7">
        <w:rPr>
          <w:rFonts w:cs="Arial"/>
          <w:szCs w:val="22"/>
        </w:rPr>
        <w:t>meist nicht in den Regionen verbleiben</w:t>
      </w:r>
      <w:r w:rsidR="00773D00">
        <w:rPr>
          <w:rFonts w:cs="Arial"/>
          <w:szCs w:val="22"/>
        </w:rPr>
        <w:t>, stehen damit in Kontrast zu der Marihuana-Wirtschaft, wie sie sich bisher in Kalifornien entwickel</w:t>
      </w:r>
      <w:r>
        <w:rPr>
          <w:rFonts w:cs="Arial"/>
          <w:szCs w:val="22"/>
        </w:rPr>
        <w:t>t hat</w:t>
      </w:r>
      <w:r w:rsidR="006708C7" w:rsidRPr="00762252">
        <w:rPr>
          <w:rFonts w:cs="Arial"/>
          <w:szCs w:val="22"/>
        </w:rPr>
        <w:t xml:space="preserve">. </w:t>
      </w:r>
      <w:r w:rsidR="00E33387" w:rsidRPr="00762252">
        <w:rPr>
          <w:rFonts w:cs="Arial"/>
          <w:szCs w:val="22"/>
        </w:rPr>
        <w:t xml:space="preserve"> </w:t>
      </w:r>
    </w:p>
    <w:p w14:paraId="5E5503E3" w14:textId="77777777" w:rsidR="00B05978" w:rsidRDefault="00B05978" w:rsidP="009D7629">
      <w:pPr>
        <w:spacing w:line="276" w:lineRule="auto"/>
        <w:jc w:val="both"/>
        <w:rPr>
          <w:rFonts w:cs="Arial"/>
          <w:szCs w:val="22"/>
        </w:rPr>
      </w:pPr>
    </w:p>
    <w:p w14:paraId="7E831346" w14:textId="1C20FA8A" w:rsidR="00B05978" w:rsidRDefault="00D52B5B" w:rsidP="009D7629">
      <w:pPr>
        <w:spacing w:line="276" w:lineRule="auto"/>
        <w:jc w:val="both"/>
        <w:rPr>
          <w:rFonts w:cs="Arial"/>
          <w:szCs w:val="22"/>
        </w:rPr>
      </w:pPr>
      <w:r w:rsidRPr="00762252">
        <w:rPr>
          <w:rFonts w:cs="Arial"/>
          <w:szCs w:val="22"/>
        </w:rPr>
        <w:t xml:space="preserve">Trotz </w:t>
      </w:r>
      <w:r w:rsidR="00DC2D74">
        <w:rPr>
          <w:rFonts w:cs="Arial"/>
          <w:szCs w:val="22"/>
        </w:rPr>
        <w:t>kaum mechanisierter und industrialisierter</w:t>
      </w:r>
      <w:r w:rsidR="00C66158">
        <w:rPr>
          <w:rFonts w:cs="Arial"/>
          <w:szCs w:val="22"/>
        </w:rPr>
        <w:t xml:space="preserve"> Arbeitsabläufe</w:t>
      </w:r>
      <w:r w:rsidR="006708C7" w:rsidRPr="00762252">
        <w:rPr>
          <w:rFonts w:cs="Arial"/>
          <w:szCs w:val="22"/>
        </w:rPr>
        <w:t xml:space="preserve"> </w:t>
      </w:r>
      <w:r w:rsidR="00DB028A" w:rsidRPr="00762252">
        <w:rPr>
          <w:rFonts w:cs="Arial"/>
          <w:szCs w:val="22"/>
        </w:rPr>
        <w:t>ist die regionale Marihuana-Wirtschaft für Kalifornien ein bedeutsamer Wirtschaftsfaktor</w:t>
      </w:r>
      <w:r w:rsidR="00803F87" w:rsidRPr="00762252">
        <w:rPr>
          <w:rFonts w:cs="Arial"/>
          <w:szCs w:val="22"/>
        </w:rPr>
        <w:t xml:space="preserve">. Allein für das </w:t>
      </w:r>
      <w:r w:rsidR="00DC43E7">
        <w:rPr>
          <w:rFonts w:cs="SourceSansPro-Semibold"/>
          <w:bCs/>
          <w:szCs w:val="22"/>
        </w:rPr>
        <w:t>EMERALD TRIAN</w:t>
      </w:r>
      <w:r w:rsidR="00DC43E7">
        <w:rPr>
          <w:rFonts w:cs="SourceSansPro-Semibold"/>
          <w:bCs/>
          <w:szCs w:val="22"/>
        </w:rPr>
        <w:t>G</w:t>
      </w:r>
      <w:r w:rsidR="00DC43E7">
        <w:rPr>
          <w:rFonts w:cs="SourceSansPro-Semibold"/>
          <w:bCs/>
          <w:szCs w:val="22"/>
        </w:rPr>
        <w:t>LE im Norden</w:t>
      </w:r>
      <w:r w:rsidR="00803F87" w:rsidRPr="00762252">
        <w:rPr>
          <w:rFonts w:cs="SourceSansPro-Semibold"/>
          <w:bCs/>
          <w:szCs w:val="22"/>
        </w:rPr>
        <w:t xml:space="preserve"> Kaliforniens</w:t>
      </w:r>
      <w:r w:rsidR="003E321E">
        <w:rPr>
          <w:rStyle w:val="Funotenzeichen"/>
          <w:rFonts w:cs="SourceSansPro-Semibold"/>
          <w:bCs/>
          <w:szCs w:val="22"/>
        </w:rPr>
        <w:footnoteReference w:id="6"/>
      </w:r>
      <w:r w:rsidR="00803F87" w:rsidRPr="00762252">
        <w:rPr>
          <w:rFonts w:cs="SourceSansPro-Regular"/>
          <w:szCs w:val="22"/>
        </w:rPr>
        <w:t xml:space="preserve"> werden die </w:t>
      </w:r>
      <w:r w:rsidR="00E96349" w:rsidRPr="00762252">
        <w:rPr>
          <w:rFonts w:cs="Arial"/>
          <w:szCs w:val="22"/>
        </w:rPr>
        <w:t>jährli</w:t>
      </w:r>
      <w:r w:rsidR="00803F87" w:rsidRPr="00762252">
        <w:rPr>
          <w:rFonts w:cs="Arial"/>
          <w:szCs w:val="22"/>
        </w:rPr>
        <w:t>chen</w:t>
      </w:r>
      <w:r w:rsidR="00E96349" w:rsidRPr="00762252">
        <w:rPr>
          <w:rFonts w:cs="Arial"/>
          <w:szCs w:val="22"/>
        </w:rPr>
        <w:t xml:space="preserve"> </w:t>
      </w:r>
      <w:r w:rsidR="00DB028A" w:rsidRPr="00762252">
        <w:rPr>
          <w:rFonts w:cs="Arial"/>
          <w:szCs w:val="22"/>
        </w:rPr>
        <w:t>Gewinn</w:t>
      </w:r>
      <w:r w:rsidR="00803F87" w:rsidRPr="00762252">
        <w:rPr>
          <w:rFonts w:cs="Arial"/>
          <w:szCs w:val="22"/>
        </w:rPr>
        <w:t xml:space="preserve">e auf etwa eine </w:t>
      </w:r>
      <w:r w:rsidR="003E321E">
        <w:rPr>
          <w:rFonts w:cs="Arial"/>
          <w:szCs w:val="22"/>
        </w:rPr>
        <w:t>Milliarde</w:t>
      </w:r>
      <w:r w:rsidR="00803F87" w:rsidRPr="00762252">
        <w:rPr>
          <w:rFonts w:cs="Arial"/>
          <w:szCs w:val="22"/>
        </w:rPr>
        <w:t xml:space="preserve"> Dollar </w:t>
      </w:r>
      <w:r w:rsidR="00DC43E7">
        <w:rPr>
          <w:rFonts w:cs="Arial"/>
          <w:szCs w:val="22"/>
        </w:rPr>
        <w:t>g</w:t>
      </w:r>
      <w:r w:rsidR="00DC43E7">
        <w:rPr>
          <w:rFonts w:cs="Arial"/>
          <w:szCs w:val="22"/>
        </w:rPr>
        <w:t>e</w:t>
      </w:r>
      <w:r w:rsidR="00DC43E7">
        <w:rPr>
          <w:rFonts w:cs="Arial"/>
          <w:szCs w:val="22"/>
        </w:rPr>
        <w:t xml:space="preserve">schätzt </w:t>
      </w:r>
      <w:r w:rsidR="00C6302B" w:rsidRPr="00762252">
        <w:rPr>
          <w:rFonts w:cs="Arial"/>
          <w:szCs w:val="22"/>
        </w:rPr>
        <w:t>(</w:t>
      </w:r>
      <w:r w:rsidR="0023045B" w:rsidRPr="00762252">
        <w:rPr>
          <w:rFonts w:cs="Arial"/>
          <w:szCs w:val="22"/>
        </w:rPr>
        <w:t xml:space="preserve">vgl. </w:t>
      </w:r>
      <w:r w:rsidR="000024D8">
        <w:rPr>
          <w:rFonts w:cs="Arial"/>
          <w:szCs w:val="22"/>
        </w:rPr>
        <w:t>Green</w:t>
      </w:r>
      <w:r w:rsidR="00C6302B" w:rsidRPr="00762252">
        <w:rPr>
          <w:rFonts w:cs="Arial"/>
          <w:szCs w:val="22"/>
        </w:rPr>
        <w:t xml:space="preserve"> 2012)</w:t>
      </w:r>
      <w:r w:rsidR="00773D00">
        <w:rPr>
          <w:rFonts w:cs="Arial"/>
          <w:szCs w:val="22"/>
        </w:rPr>
        <w:t xml:space="preserve">; </w:t>
      </w:r>
      <w:r w:rsidR="00DB028A" w:rsidRPr="00762252">
        <w:rPr>
          <w:rFonts w:cs="Arial"/>
          <w:szCs w:val="22"/>
        </w:rPr>
        <w:t xml:space="preserve">allein aus dem Anbau und der Produktion medizinischen Marihuanas </w:t>
      </w:r>
      <w:r w:rsidR="00C6302B" w:rsidRPr="00762252">
        <w:rPr>
          <w:rFonts w:cs="Arial"/>
          <w:szCs w:val="22"/>
        </w:rPr>
        <w:t xml:space="preserve">in Kalifornien wird </w:t>
      </w:r>
      <w:r w:rsidR="00017E88">
        <w:rPr>
          <w:rFonts w:cs="Arial"/>
          <w:szCs w:val="22"/>
        </w:rPr>
        <w:t xml:space="preserve">mit </w:t>
      </w:r>
      <w:r w:rsidR="00DC43E7">
        <w:rPr>
          <w:rFonts w:cs="Arial"/>
          <w:szCs w:val="22"/>
        </w:rPr>
        <w:t>ein</w:t>
      </w:r>
      <w:r w:rsidR="00017E88">
        <w:rPr>
          <w:rFonts w:cs="Arial"/>
          <w:szCs w:val="22"/>
        </w:rPr>
        <w:t>em</w:t>
      </w:r>
      <w:r w:rsidR="00DC43E7" w:rsidRPr="00762252">
        <w:rPr>
          <w:rFonts w:cs="Arial"/>
          <w:szCs w:val="22"/>
        </w:rPr>
        <w:t xml:space="preserve"> Gewinn </w:t>
      </w:r>
      <w:r w:rsidR="00DC43E7">
        <w:rPr>
          <w:rFonts w:cs="Arial"/>
          <w:szCs w:val="22"/>
        </w:rPr>
        <w:t>von</w:t>
      </w:r>
      <w:r w:rsidR="00DB028A" w:rsidRPr="00762252">
        <w:rPr>
          <w:rFonts w:cs="Arial"/>
          <w:szCs w:val="22"/>
        </w:rPr>
        <w:t xml:space="preserve"> 980 Millionen Dollar </w:t>
      </w:r>
      <w:r w:rsidR="00DC43E7">
        <w:rPr>
          <w:rFonts w:cs="Arial"/>
          <w:szCs w:val="22"/>
        </w:rPr>
        <w:t>gerechnet</w:t>
      </w:r>
      <w:r w:rsidR="00DB028A" w:rsidRPr="00762252">
        <w:rPr>
          <w:rFonts w:cs="Arial"/>
          <w:szCs w:val="22"/>
        </w:rPr>
        <w:t xml:space="preserve">. </w:t>
      </w:r>
    </w:p>
    <w:p w14:paraId="539BE66F" w14:textId="1D1F42E4" w:rsidR="00DC43E7" w:rsidRDefault="00DB028A" w:rsidP="009D7629">
      <w:pPr>
        <w:spacing w:line="276" w:lineRule="auto"/>
        <w:jc w:val="both"/>
        <w:rPr>
          <w:rFonts w:cs="Arial"/>
          <w:szCs w:val="22"/>
        </w:rPr>
      </w:pPr>
      <w:r w:rsidRPr="00762252">
        <w:rPr>
          <w:rFonts w:cs="Arial"/>
          <w:szCs w:val="22"/>
        </w:rPr>
        <w:t xml:space="preserve">Vielfältige Wohlstandsgewinne für das Bundesland ergeben sich </w:t>
      </w:r>
      <w:r w:rsidR="00E96349" w:rsidRPr="00762252">
        <w:rPr>
          <w:rFonts w:cs="Arial"/>
          <w:szCs w:val="22"/>
        </w:rPr>
        <w:t>darüber hinaus</w:t>
      </w:r>
      <w:r w:rsidR="00CE23D2" w:rsidRPr="00762252">
        <w:rPr>
          <w:rFonts w:cs="Arial"/>
          <w:szCs w:val="22"/>
        </w:rPr>
        <w:t xml:space="preserve"> </w:t>
      </w:r>
      <w:r w:rsidR="00E96349" w:rsidRPr="00762252">
        <w:rPr>
          <w:rFonts w:cs="Arial"/>
          <w:szCs w:val="22"/>
        </w:rPr>
        <w:t xml:space="preserve">aus der </w:t>
      </w:r>
      <w:r w:rsidRPr="00762252">
        <w:rPr>
          <w:rFonts w:cs="Arial"/>
          <w:szCs w:val="22"/>
        </w:rPr>
        <w:t>Exi</w:t>
      </w:r>
      <w:r w:rsidRPr="00762252">
        <w:rPr>
          <w:rFonts w:cs="Arial"/>
          <w:szCs w:val="22"/>
        </w:rPr>
        <w:t>s</w:t>
      </w:r>
      <w:r w:rsidRPr="00762252">
        <w:rPr>
          <w:rFonts w:cs="Arial"/>
          <w:szCs w:val="22"/>
        </w:rPr>
        <w:t xml:space="preserve">tenz von relativ gut bezahlten Arbeitsplätzen in </w:t>
      </w:r>
      <w:r w:rsidR="00E1318A" w:rsidRPr="00762252">
        <w:rPr>
          <w:rFonts w:cs="Arial"/>
          <w:szCs w:val="22"/>
        </w:rPr>
        <w:t>ländliche</w:t>
      </w:r>
      <w:r w:rsidR="00DC43E7">
        <w:rPr>
          <w:rFonts w:cs="Arial"/>
          <w:szCs w:val="22"/>
        </w:rPr>
        <w:t xml:space="preserve">n, </w:t>
      </w:r>
      <w:r w:rsidR="00C6302B" w:rsidRPr="00762252">
        <w:rPr>
          <w:rFonts w:cs="Arial"/>
          <w:szCs w:val="22"/>
        </w:rPr>
        <w:t xml:space="preserve">zudem </w:t>
      </w:r>
      <w:r w:rsidR="0023045B" w:rsidRPr="00762252">
        <w:rPr>
          <w:rFonts w:cs="Arial"/>
          <w:szCs w:val="22"/>
        </w:rPr>
        <w:t xml:space="preserve">oft </w:t>
      </w:r>
      <w:r w:rsidR="00C6302B" w:rsidRPr="00762252">
        <w:rPr>
          <w:rFonts w:cs="Arial"/>
          <w:szCs w:val="22"/>
        </w:rPr>
        <w:t>wenig besiedelten</w:t>
      </w:r>
      <w:r w:rsidR="00E1318A" w:rsidRPr="00762252">
        <w:rPr>
          <w:rFonts w:cs="Arial"/>
          <w:szCs w:val="22"/>
        </w:rPr>
        <w:t xml:space="preserve"> Regi</w:t>
      </w:r>
      <w:r w:rsidR="00E1318A" w:rsidRPr="00762252">
        <w:rPr>
          <w:rFonts w:cs="Arial"/>
          <w:szCs w:val="22"/>
        </w:rPr>
        <w:t>o</w:t>
      </w:r>
      <w:r w:rsidR="00E1318A" w:rsidRPr="00762252">
        <w:rPr>
          <w:rFonts w:cs="Arial"/>
          <w:szCs w:val="22"/>
        </w:rPr>
        <w:t xml:space="preserve">nen </w:t>
      </w:r>
      <w:r w:rsidR="00E96349" w:rsidRPr="00762252">
        <w:rPr>
          <w:rFonts w:cs="Arial"/>
          <w:szCs w:val="22"/>
        </w:rPr>
        <w:t>f</w:t>
      </w:r>
      <w:r w:rsidRPr="00762252">
        <w:rPr>
          <w:rFonts w:cs="Arial"/>
          <w:szCs w:val="22"/>
        </w:rPr>
        <w:t>ür</w:t>
      </w:r>
      <w:r w:rsidR="00E1318A" w:rsidRPr="00762252">
        <w:rPr>
          <w:rFonts w:cs="Arial"/>
          <w:szCs w:val="22"/>
        </w:rPr>
        <w:t xml:space="preserve"> weniger qualifizier</w:t>
      </w:r>
      <w:r w:rsidRPr="00762252">
        <w:rPr>
          <w:rFonts w:cs="Arial"/>
          <w:szCs w:val="22"/>
        </w:rPr>
        <w:t>te</w:t>
      </w:r>
      <w:r w:rsidR="00E1318A" w:rsidRPr="00762252">
        <w:rPr>
          <w:rFonts w:cs="Arial"/>
          <w:szCs w:val="22"/>
        </w:rPr>
        <w:t xml:space="preserve"> Arbeitskräf</w:t>
      </w:r>
      <w:r w:rsidRPr="00762252">
        <w:rPr>
          <w:rFonts w:cs="Arial"/>
          <w:szCs w:val="22"/>
        </w:rPr>
        <w:t>te</w:t>
      </w:r>
      <w:r w:rsidR="00C6302B" w:rsidRPr="00762252">
        <w:rPr>
          <w:rFonts w:cs="Arial"/>
          <w:szCs w:val="22"/>
        </w:rPr>
        <w:t xml:space="preserve"> (das Emerald </w:t>
      </w:r>
      <w:r w:rsidR="000024D8" w:rsidRPr="00762252">
        <w:rPr>
          <w:rFonts w:cs="Arial"/>
          <w:szCs w:val="22"/>
        </w:rPr>
        <w:t>Triangel</w:t>
      </w:r>
      <w:r w:rsidR="00C6302B" w:rsidRPr="00762252">
        <w:rPr>
          <w:rFonts w:cs="Arial"/>
          <w:szCs w:val="22"/>
        </w:rPr>
        <w:t xml:space="preserve"> gehört zu den am wenigsten besiedelten </w:t>
      </w:r>
      <w:r w:rsidR="0023045B" w:rsidRPr="00762252">
        <w:rPr>
          <w:rFonts w:cs="Arial"/>
          <w:szCs w:val="22"/>
        </w:rPr>
        <w:t>Gebieten der USA)</w:t>
      </w:r>
      <w:r w:rsidRPr="00762252">
        <w:rPr>
          <w:rFonts w:cs="Arial"/>
          <w:szCs w:val="22"/>
        </w:rPr>
        <w:t xml:space="preserve">. </w:t>
      </w:r>
    </w:p>
    <w:p w14:paraId="2C0AEE94" w14:textId="77777777" w:rsidR="00DC43E7" w:rsidRDefault="00DC43E7" w:rsidP="009D7629">
      <w:pPr>
        <w:spacing w:line="276" w:lineRule="auto"/>
        <w:jc w:val="both"/>
        <w:rPr>
          <w:rFonts w:cs="Arial"/>
          <w:szCs w:val="22"/>
        </w:rPr>
      </w:pPr>
    </w:p>
    <w:p w14:paraId="54243DF3" w14:textId="1BF0F8B1" w:rsidR="0059452E" w:rsidRDefault="00DC43E7" w:rsidP="009D7629">
      <w:pPr>
        <w:spacing w:line="276" w:lineRule="auto"/>
        <w:jc w:val="both"/>
        <w:rPr>
          <w:szCs w:val="22"/>
        </w:rPr>
      </w:pPr>
      <w:r>
        <w:rPr>
          <w:rFonts w:cs="Arial"/>
          <w:szCs w:val="22"/>
        </w:rPr>
        <w:t xml:space="preserve">Diese Wohlstandgewinne, aber auch </w:t>
      </w:r>
      <w:r w:rsidRPr="00762252">
        <w:rPr>
          <w:rFonts w:cs="Arial"/>
          <w:szCs w:val="22"/>
        </w:rPr>
        <w:t xml:space="preserve">das Agieren von Vertretern aus Expertenkreisen, Pionieren </w:t>
      </w:r>
      <w:r>
        <w:rPr>
          <w:rFonts w:cs="Arial"/>
          <w:szCs w:val="22"/>
        </w:rPr>
        <w:t xml:space="preserve">und Partisanen einer Cannabis- </w:t>
      </w:r>
      <w:r w:rsidRPr="00762252">
        <w:rPr>
          <w:rFonts w:cs="Arial"/>
          <w:szCs w:val="22"/>
        </w:rPr>
        <w:t>und/oder Alternativkultur über und in öffentlichen Medien</w:t>
      </w:r>
      <w:r w:rsidR="00773D00">
        <w:rPr>
          <w:rFonts w:cs="Arial"/>
          <w:szCs w:val="22"/>
        </w:rPr>
        <w:t xml:space="preserve"> </w:t>
      </w:r>
      <w:r>
        <w:rPr>
          <w:rFonts w:cs="Arial"/>
          <w:szCs w:val="22"/>
        </w:rPr>
        <w:t>m</w:t>
      </w:r>
      <w:r>
        <w:rPr>
          <w:rFonts w:cs="Arial"/>
          <w:szCs w:val="22"/>
        </w:rPr>
        <w:t>ö</w:t>
      </w:r>
      <w:r>
        <w:rPr>
          <w:rFonts w:cs="Arial"/>
          <w:szCs w:val="22"/>
        </w:rPr>
        <w:t xml:space="preserve">gen </w:t>
      </w:r>
      <w:r w:rsidR="00DC2D74">
        <w:rPr>
          <w:rFonts w:cs="Arial"/>
          <w:szCs w:val="22"/>
        </w:rPr>
        <w:t>der Grund</w:t>
      </w:r>
      <w:r>
        <w:rPr>
          <w:rFonts w:cs="Arial"/>
          <w:szCs w:val="22"/>
        </w:rPr>
        <w:t xml:space="preserve"> dafür sein, dass sich in der </w:t>
      </w:r>
      <w:r w:rsidRPr="00762252">
        <w:rPr>
          <w:rFonts w:cs="Arial"/>
          <w:szCs w:val="22"/>
        </w:rPr>
        <w:t>Bevölkerung Kaliforniens besondere Mentalität</w:t>
      </w:r>
      <w:r w:rsidR="00DC2D74">
        <w:rPr>
          <w:rFonts w:cs="Arial"/>
          <w:szCs w:val="22"/>
        </w:rPr>
        <w:t>sstru</w:t>
      </w:r>
      <w:r w:rsidR="00DC2D74">
        <w:rPr>
          <w:rFonts w:cs="Arial"/>
          <w:szCs w:val="22"/>
        </w:rPr>
        <w:t>k</w:t>
      </w:r>
      <w:r w:rsidR="00DC2D74">
        <w:rPr>
          <w:rFonts w:cs="Arial"/>
          <w:szCs w:val="22"/>
        </w:rPr>
        <w:t>turen</w:t>
      </w:r>
      <w:r w:rsidRPr="00762252">
        <w:rPr>
          <w:rFonts w:cs="Arial"/>
          <w:szCs w:val="22"/>
        </w:rPr>
        <w:t xml:space="preserve"> </w:t>
      </w:r>
      <w:r>
        <w:rPr>
          <w:rFonts w:cs="Arial"/>
          <w:szCs w:val="22"/>
        </w:rPr>
        <w:t>entwickeln konnte</w:t>
      </w:r>
      <w:r w:rsidR="00DC2D74">
        <w:rPr>
          <w:rFonts w:cs="Arial"/>
          <w:szCs w:val="22"/>
        </w:rPr>
        <w:t xml:space="preserve">n. Ein </w:t>
      </w:r>
      <w:r w:rsidR="00B05978">
        <w:rPr>
          <w:rFonts w:cs="Arial"/>
          <w:szCs w:val="22"/>
        </w:rPr>
        <w:t>Selbstverständnis als Region mit besonderen Bindungen zu</w:t>
      </w:r>
      <w:r w:rsidR="003E321E">
        <w:rPr>
          <w:rFonts w:cs="Arial"/>
          <w:szCs w:val="22"/>
        </w:rPr>
        <w:t>r</w:t>
      </w:r>
      <w:r w:rsidR="00B05978">
        <w:rPr>
          <w:rFonts w:cs="Arial"/>
          <w:szCs w:val="22"/>
        </w:rPr>
        <w:t xml:space="preserve"> M</w:t>
      </w:r>
      <w:r w:rsidR="00B05978">
        <w:rPr>
          <w:rFonts w:cs="Arial"/>
          <w:szCs w:val="22"/>
        </w:rPr>
        <w:t>a</w:t>
      </w:r>
      <w:r w:rsidR="00B05978">
        <w:rPr>
          <w:rFonts w:cs="Arial"/>
          <w:szCs w:val="22"/>
        </w:rPr>
        <w:t>rihuana</w:t>
      </w:r>
      <w:r w:rsidR="003E321E">
        <w:rPr>
          <w:rFonts w:cs="Arial"/>
          <w:szCs w:val="22"/>
        </w:rPr>
        <w:t>-Kultur</w:t>
      </w:r>
      <w:r w:rsidR="00B05978">
        <w:rPr>
          <w:rFonts w:cs="Arial"/>
          <w:szCs w:val="22"/>
        </w:rPr>
        <w:t xml:space="preserve"> sorgte dafür, dass</w:t>
      </w:r>
      <w:r w:rsidR="001606B2">
        <w:rPr>
          <w:rFonts w:cs="Arial"/>
          <w:szCs w:val="22"/>
        </w:rPr>
        <w:t xml:space="preserve"> sich die Bevölkerung </w:t>
      </w:r>
      <w:r w:rsidR="00DC2D74">
        <w:rPr>
          <w:rFonts w:cs="Arial"/>
          <w:szCs w:val="22"/>
        </w:rPr>
        <w:t xml:space="preserve">seit den </w:t>
      </w:r>
      <w:r w:rsidR="00773D00">
        <w:rPr>
          <w:rFonts w:cs="Arial"/>
          <w:szCs w:val="22"/>
        </w:rPr>
        <w:t>19</w:t>
      </w:r>
      <w:r>
        <w:rPr>
          <w:rFonts w:cs="Arial"/>
          <w:szCs w:val="22"/>
        </w:rPr>
        <w:t xml:space="preserve">70er Jahren </w:t>
      </w:r>
      <w:r w:rsidR="001606B2">
        <w:rPr>
          <w:rFonts w:cs="Arial"/>
          <w:szCs w:val="22"/>
        </w:rPr>
        <w:t xml:space="preserve">dem </w:t>
      </w:r>
      <w:r>
        <w:rPr>
          <w:rFonts w:cs="Arial"/>
          <w:szCs w:val="22"/>
        </w:rPr>
        <w:t>ausgeruf</w:t>
      </w:r>
      <w:r>
        <w:rPr>
          <w:rFonts w:cs="Arial"/>
          <w:szCs w:val="22"/>
        </w:rPr>
        <w:t>e</w:t>
      </w:r>
      <w:r>
        <w:rPr>
          <w:rFonts w:cs="Arial"/>
          <w:szCs w:val="22"/>
        </w:rPr>
        <w:t xml:space="preserve">nen „War on drugs“ </w:t>
      </w:r>
      <w:r w:rsidR="00DC2D74">
        <w:rPr>
          <w:rFonts w:cs="Arial"/>
          <w:szCs w:val="22"/>
        </w:rPr>
        <w:t xml:space="preserve">immer wieder </w:t>
      </w:r>
      <w:r>
        <w:rPr>
          <w:rFonts w:cs="Arial"/>
          <w:szCs w:val="22"/>
        </w:rPr>
        <w:t>widersetzt</w:t>
      </w:r>
      <w:r w:rsidR="001606B2">
        <w:rPr>
          <w:rFonts w:cs="Arial"/>
          <w:szCs w:val="22"/>
        </w:rPr>
        <w:t>e</w:t>
      </w:r>
      <w:r>
        <w:rPr>
          <w:rFonts w:cs="Arial"/>
          <w:szCs w:val="22"/>
        </w:rPr>
        <w:t xml:space="preserve"> und </w:t>
      </w:r>
      <w:r w:rsidR="001606B2">
        <w:rPr>
          <w:rFonts w:cs="Arial"/>
          <w:szCs w:val="22"/>
        </w:rPr>
        <w:t xml:space="preserve">bis heute </w:t>
      </w:r>
      <w:r w:rsidRPr="00762252">
        <w:rPr>
          <w:rFonts w:cs="Arial"/>
          <w:szCs w:val="22"/>
        </w:rPr>
        <w:t>dem Marihuana</w:t>
      </w:r>
      <w:r>
        <w:rPr>
          <w:rFonts w:cs="Arial"/>
          <w:szCs w:val="22"/>
        </w:rPr>
        <w:t>-A</w:t>
      </w:r>
      <w:r w:rsidRPr="00762252">
        <w:rPr>
          <w:rFonts w:cs="Arial"/>
          <w:szCs w:val="22"/>
        </w:rPr>
        <w:t xml:space="preserve">nbau und -konsum generell sowie </w:t>
      </w:r>
      <w:r>
        <w:rPr>
          <w:rFonts w:cs="Arial"/>
          <w:szCs w:val="22"/>
        </w:rPr>
        <w:t xml:space="preserve">alternativen </w:t>
      </w:r>
      <w:r w:rsidRPr="00762252">
        <w:rPr>
          <w:rFonts w:cs="Arial"/>
          <w:szCs w:val="22"/>
        </w:rPr>
        <w:t xml:space="preserve">drogenpolitischen Ideen und Maßnahmen </w:t>
      </w:r>
      <w:r>
        <w:rPr>
          <w:rFonts w:cs="Arial"/>
          <w:szCs w:val="22"/>
        </w:rPr>
        <w:t xml:space="preserve">mit </w:t>
      </w:r>
      <w:r w:rsidR="00C516AB">
        <w:rPr>
          <w:rFonts w:cs="Arial"/>
          <w:szCs w:val="22"/>
        </w:rPr>
        <w:t>einer gewi</w:t>
      </w:r>
      <w:r w:rsidR="00C516AB">
        <w:rPr>
          <w:rFonts w:cs="Arial"/>
          <w:szCs w:val="22"/>
        </w:rPr>
        <w:t>s</w:t>
      </w:r>
      <w:r w:rsidR="00C516AB">
        <w:rPr>
          <w:rFonts w:cs="Arial"/>
          <w:szCs w:val="22"/>
        </w:rPr>
        <w:t xml:space="preserve">sen </w:t>
      </w:r>
      <w:r>
        <w:rPr>
          <w:rFonts w:cs="Arial"/>
          <w:szCs w:val="22"/>
        </w:rPr>
        <w:t xml:space="preserve">Offenheit </w:t>
      </w:r>
      <w:r w:rsidRPr="00762252">
        <w:rPr>
          <w:rFonts w:cs="Arial"/>
          <w:szCs w:val="22"/>
        </w:rPr>
        <w:t>begeg</w:t>
      </w:r>
      <w:r>
        <w:rPr>
          <w:rFonts w:cs="Arial"/>
          <w:szCs w:val="22"/>
        </w:rPr>
        <w:t xml:space="preserve">net: </w:t>
      </w:r>
      <w:r w:rsidR="00364255">
        <w:rPr>
          <w:rFonts w:cs="Arial"/>
          <w:szCs w:val="22"/>
        </w:rPr>
        <w:t>Dafür spricht, dass s</w:t>
      </w:r>
      <w:r w:rsidR="0068598F" w:rsidRPr="00762252">
        <w:rPr>
          <w:szCs w:val="22"/>
        </w:rPr>
        <w:t>chon 1996 ei</w:t>
      </w:r>
      <w:r w:rsidR="00B05978">
        <w:rPr>
          <w:szCs w:val="22"/>
        </w:rPr>
        <w:t xml:space="preserve">ne </w:t>
      </w:r>
      <w:r w:rsidR="0068598F" w:rsidRPr="00762252">
        <w:rPr>
          <w:szCs w:val="22"/>
        </w:rPr>
        <w:t>Mehrheit der Wähler dem Vorschlag zu</w:t>
      </w:r>
      <w:r w:rsidR="00364255" w:rsidRPr="00762252">
        <w:rPr>
          <w:szCs w:val="22"/>
        </w:rPr>
        <w:t>stimmte</w:t>
      </w:r>
      <w:r w:rsidR="0068598F" w:rsidRPr="00762252">
        <w:rPr>
          <w:szCs w:val="22"/>
        </w:rPr>
        <w:t xml:space="preserve">, den Anbau und den Konsum von Marihuana zu medizinischen Zwecken zu erlauben </w:t>
      </w:r>
      <w:r w:rsidR="0068598F" w:rsidRPr="00364255">
        <w:rPr>
          <w:szCs w:val="22"/>
        </w:rPr>
        <w:t>(</w:t>
      </w:r>
      <w:r w:rsidR="00636564" w:rsidRPr="00364255">
        <w:rPr>
          <w:rFonts w:cs="Times New Roman"/>
          <w:szCs w:val="22"/>
        </w:rPr>
        <w:t>Compassionate Use Act</w:t>
      </w:r>
      <w:r w:rsidR="009C7054">
        <w:rPr>
          <w:rFonts w:cs="Times New Roman"/>
          <w:szCs w:val="22"/>
        </w:rPr>
        <w:t>- CUA 1996</w:t>
      </w:r>
      <w:r w:rsidR="00636564" w:rsidRPr="00364255">
        <w:rPr>
          <w:rFonts w:cs="Times New Roman"/>
          <w:szCs w:val="22"/>
        </w:rPr>
        <w:t>)</w:t>
      </w:r>
      <w:r w:rsidR="004F3C90">
        <w:rPr>
          <w:rFonts w:cs="Times New Roman"/>
          <w:szCs w:val="22"/>
        </w:rPr>
        <w:t xml:space="preserve"> und nun 2016 auch dem Freizeitkonsum von Marihuana für Erwachsene neue soziale Rahmenbedingungen geben will</w:t>
      </w:r>
      <w:r w:rsidR="0068598F" w:rsidRPr="00364255">
        <w:rPr>
          <w:szCs w:val="22"/>
        </w:rPr>
        <w:t>.</w:t>
      </w:r>
      <w:r w:rsidR="0089736E" w:rsidRPr="00762252">
        <w:rPr>
          <w:szCs w:val="22"/>
        </w:rPr>
        <w:t xml:space="preserve"> </w:t>
      </w:r>
    </w:p>
    <w:p w14:paraId="568B47E6" w14:textId="468961DD" w:rsidR="00E11629" w:rsidRPr="00E11629" w:rsidRDefault="004F3C90" w:rsidP="009D7629">
      <w:pPr>
        <w:pStyle w:val="berschrift3"/>
        <w:spacing w:line="276" w:lineRule="auto"/>
        <w:jc w:val="both"/>
      </w:pPr>
      <w:bookmarkStart w:id="14" w:name="_Toc349300343"/>
      <w:r>
        <w:t xml:space="preserve">Andere </w:t>
      </w:r>
      <w:r w:rsidR="00E11629" w:rsidRPr="00E11629">
        <w:t>Mentalitätsstrukturen zu Marihuana</w:t>
      </w:r>
      <w:bookmarkEnd w:id="14"/>
    </w:p>
    <w:p w14:paraId="42ABFA7E" w14:textId="3C1B25DA" w:rsidR="00560FBE" w:rsidRPr="00246C5A" w:rsidRDefault="00D81C9C" w:rsidP="009D7629">
      <w:pPr>
        <w:spacing w:line="276" w:lineRule="auto"/>
        <w:jc w:val="both"/>
        <w:rPr>
          <w:szCs w:val="22"/>
        </w:rPr>
      </w:pPr>
      <w:r w:rsidRPr="00246C5A">
        <w:rPr>
          <w:szCs w:val="22"/>
        </w:rPr>
        <w:t xml:space="preserve">Dieser lange historische Vorlauf </w:t>
      </w:r>
      <w:r w:rsidR="00A5484E" w:rsidRPr="00246C5A">
        <w:rPr>
          <w:szCs w:val="22"/>
        </w:rPr>
        <w:t xml:space="preserve">sowohl </w:t>
      </w:r>
      <w:r w:rsidR="00773D00" w:rsidRPr="00246C5A">
        <w:rPr>
          <w:szCs w:val="22"/>
        </w:rPr>
        <w:t>bei</w:t>
      </w:r>
      <w:r w:rsidRPr="00246C5A">
        <w:rPr>
          <w:szCs w:val="22"/>
        </w:rPr>
        <w:t xml:space="preserve"> der </w:t>
      </w:r>
      <w:r w:rsidR="00187DE1" w:rsidRPr="00246C5A">
        <w:rPr>
          <w:szCs w:val="22"/>
        </w:rPr>
        <w:t xml:space="preserve">Etablierung </w:t>
      </w:r>
      <w:r w:rsidR="00773D00" w:rsidRPr="00246C5A">
        <w:rPr>
          <w:szCs w:val="22"/>
        </w:rPr>
        <w:t xml:space="preserve">einer </w:t>
      </w:r>
      <w:r w:rsidR="00364255" w:rsidRPr="00246C5A">
        <w:rPr>
          <w:szCs w:val="22"/>
        </w:rPr>
        <w:t xml:space="preserve">illegalisierten, aber </w:t>
      </w:r>
      <w:r w:rsidR="00773D00" w:rsidRPr="00246C5A">
        <w:rPr>
          <w:szCs w:val="22"/>
        </w:rPr>
        <w:t>relativ sichtbaren</w:t>
      </w:r>
      <w:r w:rsidR="00187DE1" w:rsidRPr="00246C5A">
        <w:rPr>
          <w:szCs w:val="22"/>
        </w:rPr>
        <w:t xml:space="preserve"> </w:t>
      </w:r>
      <w:r w:rsidR="004F3C90">
        <w:rPr>
          <w:szCs w:val="22"/>
        </w:rPr>
        <w:t xml:space="preserve">und akzeptierten </w:t>
      </w:r>
      <w:r w:rsidR="00187DE1" w:rsidRPr="00246C5A">
        <w:rPr>
          <w:szCs w:val="22"/>
        </w:rPr>
        <w:t>Marihuana-K</w:t>
      </w:r>
      <w:r w:rsidR="00773D00" w:rsidRPr="00246C5A">
        <w:rPr>
          <w:szCs w:val="22"/>
        </w:rPr>
        <w:t>ultur</w:t>
      </w:r>
      <w:r w:rsidR="004F3C90">
        <w:rPr>
          <w:rStyle w:val="Funotenzeichen"/>
          <w:szCs w:val="22"/>
        </w:rPr>
        <w:footnoteReference w:id="7"/>
      </w:r>
      <w:r w:rsidR="00187DE1" w:rsidRPr="00246C5A">
        <w:rPr>
          <w:szCs w:val="22"/>
        </w:rPr>
        <w:t xml:space="preserve"> </w:t>
      </w:r>
      <w:r w:rsidR="00A5484E" w:rsidRPr="00246C5A">
        <w:rPr>
          <w:szCs w:val="22"/>
        </w:rPr>
        <w:t>als auch</w:t>
      </w:r>
      <w:r w:rsidR="00187DE1" w:rsidRPr="00246C5A">
        <w:rPr>
          <w:szCs w:val="22"/>
        </w:rPr>
        <w:t xml:space="preserve"> </w:t>
      </w:r>
      <w:r w:rsidR="004F3C90">
        <w:rPr>
          <w:szCs w:val="22"/>
        </w:rPr>
        <w:t>bei</w:t>
      </w:r>
      <w:r w:rsidR="00773D00" w:rsidRPr="00246C5A">
        <w:rPr>
          <w:szCs w:val="22"/>
        </w:rPr>
        <w:t xml:space="preserve"> </w:t>
      </w:r>
      <w:r w:rsidR="00187DE1" w:rsidRPr="00246C5A">
        <w:rPr>
          <w:szCs w:val="22"/>
        </w:rPr>
        <w:t xml:space="preserve">der öffentlichen </w:t>
      </w:r>
      <w:r w:rsidRPr="00246C5A">
        <w:rPr>
          <w:szCs w:val="22"/>
        </w:rPr>
        <w:t>Auseinanderse</w:t>
      </w:r>
      <w:r w:rsidRPr="00246C5A">
        <w:rPr>
          <w:szCs w:val="22"/>
        </w:rPr>
        <w:t>t</w:t>
      </w:r>
      <w:r w:rsidRPr="00246C5A">
        <w:rPr>
          <w:szCs w:val="22"/>
        </w:rPr>
        <w:t xml:space="preserve">zung </w:t>
      </w:r>
      <w:r w:rsidR="00DC2D74" w:rsidRPr="00246C5A">
        <w:rPr>
          <w:szCs w:val="22"/>
        </w:rPr>
        <w:t>mit dem Konsum von Marihuana</w:t>
      </w:r>
      <w:r w:rsidR="00DC2D74" w:rsidRPr="00246C5A">
        <w:rPr>
          <w:rStyle w:val="Funotenzeichen"/>
          <w:szCs w:val="22"/>
        </w:rPr>
        <w:footnoteReference w:id="8"/>
      </w:r>
      <w:r w:rsidR="00DC2D74" w:rsidRPr="00246C5A">
        <w:rPr>
          <w:szCs w:val="22"/>
        </w:rPr>
        <w:t xml:space="preserve"> </w:t>
      </w:r>
      <w:r w:rsidR="00773D00" w:rsidRPr="00246C5A">
        <w:rPr>
          <w:szCs w:val="22"/>
        </w:rPr>
        <w:t xml:space="preserve">hat in </w:t>
      </w:r>
      <w:r w:rsidR="00187DE1" w:rsidRPr="00246C5A">
        <w:rPr>
          <w:szCs w:val="22"/>
        </w:rPr>
        <w:t xml:space="preserve">Kalifornien </w:t>
      </w:r>
      <w:r w:rsidRPr="00246C5A">
        <w:rPr>
          <w:szCs w:val="22"/>
        </w:rPr>
        <w:t xml:space="preserve">offensichtlich </w:t>
      </w:r>
      <w:r w:rsidR="00811D37" w:rsidRPr="00246C5A">
        <w:rPr>
          <w:szCs w:val="22"/>
        </w:rPr>
        <w:t xml:space="preserve">in großen Teilen </w:t>
      </w:r>
      <w:r w:rsidR="00187DE1" w:rsidRPr="00246C5A">
        <w:rPr>
          <w:szCs w:val="22"/>
        </w:rPr>
        <w:t>d</w:t>
      </w:r>
      <w:r w:rsidR="00811D37" w:rsidRPr="00246C5A">
        <w:rPr>
          <w:szCs w:val="22"/>
        </w:rPr>
        <w:t xml:space="preserve">er Bevölkerung </w:t>
      </w:r>
      <w:r w:rsidR="00C516AB" w:rsidRPr="00246C5A">
        <w:rPr>
          <w:szCs w:val="22"/>
        </w:rPr>
        <w:t xml:space="preserve">auch </w:t>
      </w:r>
      <w:r w:rsidR="003C353F" w:rsidRPr="00246C5A">
        <w:rPr>
          <w:szCs w:val="22"/>
        </w:rPr>
        <w:t>Mentalitätsstruktu</w:t>
      </w:r>
      <w:r w:rsidRPr="00246C5A">
        <w:rPr>
          <w:szCs w:val="22"/>
        </w:rPr>
        <w:t xml:space="preserve">ren </w:t>
      </w:r>
      <w:r w:rsidR="00811D37" w:rsidRPr="00246C5A">
        <w:rPr>
          <w:szCs w:val="22"/>
        </w:rPr>
        <w:t>entstehen lassen</w:t>
      </w:r>
      <w:r w:rsidRPr="00246C5A">
        <w:rPr>
          <w:szCs w:val="22"/>
        </w:rPr>
        <w:t>, die dem Konsum dieser psycho</w:t>
      </w:r>
      <w:r w:rsidR="00C66158">
        <w:rPr>
          <w:szCs w:val="22"/>
        </w:rPr>
        <w:t>-</w:t>
      </w:r>
      <w:r w:rsidRPr="00246C5A">
        <w:rPr>
          <w:szCs w:val="22"/>
        </w:rPr>
        <w:t xml:space="preserve">aktiven </w:t>
      </w:r>
      <w:r w:rsidR="00811D37" w:rsidRPr="00246C5A">
        <w:rPr>
          <w:szCs w:val="22"/>
        </w:rPr>
        <w:t xml:space="preserve">Substanz </w:t>
      </w:r>
      <w:r w:rsidRPr="00246C5A">
        <w:rPr>
          <w:szCs w:val="22"/>
        </w:rPr>
        <w:t>mit einer gewissen Abgeklärtheit und Besonnenheit begegnen</w:t>
      </w:r>
      <w:r w:rsidR="004F3C90">
        <w:rPr>
          <w:szCs w:val="22"/>
        </w:rPr>
        <w:t>, so dass irrati</w:t>
      </w:r>
      <w:r w:rsidR="004F3C90">
        <w:rPr>
          <w:szCs w:val="22"/>
        </w:rPr>
        <w:t>o</w:t>
      </w:r>
      <w:r w:rsidR="004F3C90">
        <w:rPr>
          <w:szCs w:val="22"/>
        </w:rPr>
        <w:t>nale Ängste, Meinungsmanipulationen und Panik</w:t>
      </w:r>
      <w:r w:rsidR="00236F19">
        <w:rPr>
          <w:szCs w:val="22"/>
        </w:rPr>
        <w:t>reaktionen</w:t>
      </w:r>
      <w:r w:rsidR="004F3C90">
        <w:rPr>
          <w:szCs w:val="22"/>
        </w:rPr>
        <w:t xml:space="preserve"> </w:t>
      </w:r>
      <w:r w:rsidR="00236F19">
        <w:rPr>
          <w:szCs w:val="22"/>
        </w:rPr>
        <w:t>weniger Chancen haben</w:t>
      </w:r>
      <w:r w:rsidRPr="00246C5A">
        <w:rPr>
          <w:szCs w:val="22"/>
        </w:rPr>
        <w:t>. Dafür sprechen die öffentlic</w:t>
      </w:r>
      <w:r w:rsidR="00811D37" w:rsidRPr="00246C5A">
        <w:rPr>
          <w:szCs w:val="22"/>
        </w:rPr>
        <w:t>hen Auseinandersetzungen, die i</w:t>
      </w:r>
      <w:r w:rsidRPr="00246C5A">
        <w:rPr>
          <w:szCs w:val="22"/>
        </w:rPr>
        <w:t xml:space="preserve">m Vorfeld der Abstimmung über eine </w:t>
      </w:r>
      <w:r w:rsidR="00D01097">
        <w:rPr>
          <w:szCs w:val="22"/>
        </w:rPr>
        <w:t>R</w:t>
      </w:r>
      <w:r w:rsidR="00D01097">
        <w:rPr>
          <w:szCs w:val="22"/>
        </w:rPr>
        <w:t>e</w:t>
      </w:r>
      <w:r w:rsidR="00D01097">
        <w:rPr>
          <w:szCs w:val="22"/>
        </w:rPr>
        <w:t>gulierung</w:t>
      </w:r>
      <w:r w:rsidRPr="00246C5A">
        <w:rPr>
          <w:szCs w:val="22"/>
        </w:rPr>
        <w:t xml:space="preserve"> </w:t>
      </w:r>
      <w:r w:rsidR="00811D37" w:rsidRPr="00246C5A">
        <w:rPr>
          <w:szCs w:val="22"/>
        </w:rPr>
        <w:t>in der Öffentlichkeit geführt wurden. Hier konnten Farmer, die bereits langjährig M</w:t>
      </w:r>
      <w:r w:rsidR="00811D37" w:rsidRPr="00246C5A">
        <w:rPr>
          <w:szCs w:val="22"/>
        </w:rPr>
        <w:t>a</w:t>
      </w:r>
      <w:r w:rsidR="00811D37" w:rsidRPr="00246C5A">
        <w:rPr>
          <w:szCs w:val="22"/>
        </w:rPr>
        <w:t>rihuana anbauen, genauso wie Produzenten, die eine Weiterverarbeitung vornehmen</w:t>
      </w:r>
      <w:r w:rsidR="00187DE1" w:rsidRPr="00246C5A">
        <w:rPr>
          <w:szCs w:val="22"/>
        </w:rPr>
        <w:t>,</w:t>
      </w:r>
      <w:r w:rsidR="00811D37" w:rsidRPr="00246C5A">
        <w:rPr>
          <w:szCs w:val="22"/>
        </w:rPr>
        <w:t xml:space="preserve"> ohne Pönalisierung auftreten und ihre Sicht auf die Vor- und Nachteile des vorgelegten Gesetzentwu</w:t>
      </w:r>
      <w:r w:rsidR="00811D37" w:rsidRPr="00246C5A">
        <w:rPr>
          <w:szCs w:val="22"/>
        </w:rPr>
        <w:t>r</w:t>
      </w:r>
      <w:r w:rsidR="00811D37" w:rsidRPr="00246C5A">
        <w:rPr>
          <w:szCs w:val="22"/>
        </w:rPr>
        <w:t xml:space="preserve">fes darlegen. </w:t>
      </w:r>
      <w:r w:rsidR="00C66158">
        <w:rPr>
          <w:szCs w:val="22"/>
        </w:rPr>
        <w:t>Auch s</w:t>
      </w:r>
      <w:r w:rsidR="00187DE1" w:rsidRPr="00246C5A">
        <w:rPr>
          <w:szCs w:val="22"/>
        </w:rPr>
        <w:t>kandalisierende Debatten mit Horrorszenarien zu zukünftigen sozialen En</w:t>
      </w:r>
      <w:r w:rsidR="00187DE1" w:rsidRPr="00246C5A">
        <w:rPr>
          <w:szCs w:val="22"/>
        </w:rPr>
        <w:t>t</w:t>
      </w:r>
      <w:r w:rsidR="00187DE1" w:rsidRPr="00246C5A">
        <w:rPr>
          <w:szCs w:val="22"/>
        </w:rPr>
        <w:t xml:space="preserve">wicklungen </w:t>
      </w:r>
      <w:r w:rsidR="00721E30" w:rsidRPr="00246C5A">
        <w:rPr>
          <w:szCs w:val="22"/>
        </w:rPr>
        <w:t>blieben in diesen Debatten aus</w:t>
      </w:r>
      <w:r w:rsidR="00773D00" w:rsidRPr="00246C5A">
        <w:rPr>
          <w:szCs w:val="22"/>
        </w:rPr>
        <w:t xml:space="preserve"> (vgl.</w:t>
      </w:r>
      <w:r w:rsidR="00143461" w:rsidRPr="00246C5A">
        <w:rPr>
          <w:rFonts w:cs="Helvetica"/>
          <w:szCs w:val="22"/>
        </w:rPr>
        <w:t xml:space="preserve"> u. a. </w:t>
      </w:r>
      <w:r w:rsidR="00246C5A" w:rsidRPr="00246C5A">
        <w:rPr>
          <w:rFonts w:cs="Helvetica"/>
          <w:szCs w:val="22"/>
        </w:rPr>
        <w:t>HiiMR 2016).</w:t>
      </w:r>
    </w:p>
    <w:p w14:paraId="6BF62F47" w14:textId="4E8D9969" w:rsidR="00364255" w:rsidRDefault="00811D37" w:rsidP="009D7629">
      <w:pPr>
        <w:spacing w:line="276" w:lineRule="auto"/>
        <w:jc w:val="both"/>
        <w:rPr>
          <w:szCs w:val="22"/>
        </w:rPr>
      </w:pPr>
      <w:r w:rsidRPr="001C63B3">
        <w:rPr>
          <w:szCs w:val="22"/>
        </w:rPr>
        <w:t xml:space="preserve">Dafür spricht aber auch, dass </w:t>
      </w:r>
      <w:r w:rsidR="00D8317B" w:rsidRPr="001C63B3">
        <w:rPr>
          <w:szCs w:val="22"/>
        </w:rPr>
        <w:t xml:space="preserve">sich </w:t>
      </w:r>
      <w:r w:rsidRPr="001C63B3">
        <w:rPr>
          <w:szCs w:val="22"/>
        </w:rPr>
        <w:t>mi</w:t>
      </w:r>
      <w:r w:rsidR="003B77E6">
        <w:rPr>
          <w:szCs w:val="22"/>
        </w:rPr>
        <w:t>t der Verbreitung des Marihuana-K</w:t>
      </w:r>
      <w:r w:rsidRPr="001C63B3">
        <w:rPr>
          <w:szCs w:val="22"/>
        </w:rPr>
        <w:t xml:space="preserve">onsums </w:t>
      </w:r>
      <w:r w:rsidR="00944235">
        <w:rPr>
          <w:szCs w:val="22"/>
        </w:rPr>
        <w:t>in der Bevölk</w:t>
      </w:r>
      <w:r w:rsidR="00944235">
        <w:rPr>
          <w:szCs w:val="22"/>
        </w:rPr>
        <w:t>e</w:t>
      </w:r>
      <w:r w:rsidR="00944235">
        <w:rPr>
          <w:szCs w:val="22"/>
        </w:rPr>
        <w:t xml:space="preserve">rung </w:t>
      </w:r>
      <w:r w:rsidRPr="001C63B3">
        <w:rPr>
          <w:szCs w:val="22"/>
        </w:rPr>
        <w:t>vor allem über die medizinische Vergabe die Beurteilung der Gefahren eines solchen Ko</w:t>
      </w:r>
      <w:r w:rsidRPr="001C63B3">
        <w:rPr>
          <w:szCs w:val="22"/>
        </w:rPr>
        <w:t>n</w:t>
      </w:r>
      <w:r w:rsidRPr="001C63B3">
        <w:rPr>
          <w:szCs w:val="22"/>
        </w:rPr>
        <w:t xml:space="preserve">sums </w:t>
      </w:r>
      <w:r w:rsidR="00236F19">
        <w:rPr>
          <w:szCs w:val="22"/>
        </w:rPr>
        <w:t xml:space="preserve">z. B. </w:t>
      </w:r>
      <w:r w:rsidR="00246C5A">
        <w:rPr>
          <w:szCs w:val="22"/>
        </w:rPr>
        <w:t>„</w:t>
      </w:r>
      <w:r w:rsidRPr="001C63B3">
        <w:rPr>
          <w:szCs w:val="22"/>
        </w:rPr>
        <w:t>einmal pro Monat</w:t>
      </w:r>
      <w:r w:rsidR="00246C5A">
        <w:rPr>
          <w:szCs w:val="22"/>
        </w:rPr>
        <w:t xml:space="preserve"> Marihuana rauchen“</w:t>
      </w:r>
      <w:r w:rsidRPr="001C63B3">
        <w:rPr>
          <w:szCs w:val="22"/>
        </w:rPr>
        <w:t xml:space="preserve"> über die </w:t>
      </w:r>
      <w:r w:rsidR="00E70006">
        <w:rPr>
          <w:szCs w:val="22"/>
        </w:rPr>
        <w:t xml:space="preserve">letzten zehn </w:t>
      </w:r>
      <w:r w:rsidRPr="001C63B3">
        <w:rPr>
          <w:szCs w:val="22"/>
        </w:rPr>
        <w:t>Jahre einer eher real</w:t>
      </w:r>
      <w:r w:rsidRPr="001C63B3">
        <w:rPr>
          <w:szCs w:val="22"/>
        </w:rPr>
        <w:t>i</w:t>
      </w:r>
      <w:r w:rsidRPr="001C63B3">
        <w:rPr>
          <w:szCs w:val="22"/>
        </w:rPr>
        <w:t>tätsgerechten Ein</w:t>
      </w:r>
      <w:r w:rsidR="00944235">
        <w:rPr>
          <w:szCs w:val="22"/>
        </w:rPr>
        <w:t>schätzung genähert hat</w:t>
      </w:r>
      <w:r w:rsidRPr="001C63B3">
        <w:rPr>
          <w:szCs w:val="22"/>
        </w:rPr>
        <w:t xml:space="preserve">, </w:t>
      </w:r>
      <w:r w:rsidR="001C63B3" w:rsidRPr="001C63B3">
        <w:rPr>
          <w:szCs w:val="22"/>
        </w:rPr>
        <w:t xml:space="preserve">die damit verbundenen Risiken </w:t>
      </w:r>
      <w:r w:rsidRPr="001C63B3">
        <w:rPr>
          <w:szCs w:val="22"/>
        </w:rPr>
        <w:t>aber dennoch nicht aus dem Blick</w:t>
      </w:r>
      <w:r w:rsidR="001C63B3" w:rsidRPr="001C63B3">
        <w:rPr>
          <w:szCs w:val="22"/>
        </w:rPr>
        <w:t xml:space="preserve"> geraten sind</w:t>
      </w:r>
      <w:r w:rsidR="00E70006">
        <w:rPr>
          <w:szCs w:val="22"/>
        </w:rPr>
        <w:t>: Immerhin</w:t>
      </w:r>
      <w:r w:rsidR="00466111">
        <w:rPr>
          <w:szCs w:val="22"/>
        </w:rPr>
        <w:t xml:space="preserve"> stimmten </w:t>
      </w:r>
      <w:r w:rsidR="009C7054">
        <w:rPr>
          <w:szCs w:val="22"/>
        </w:rPr>
        <w:t xml:space="preserve">2013 </w:t>
      </w:r>
      <w:r w:rsidR="00466111">
        <w:rPr>
          <w:szCs w:val="22"/>
        </w:rPr>
        <w:t xml:space="preserve">mehr als 25 % der Befragten </w:t>
      </w:r>
      <w:r w:rsidR="00236F19">
        <w:rPr>
          <w:szCs w:val="22"/>
        </w:rPr>
        <w:t>aller</w:t>
      </w:r>
      <w:r w:rsidR="00236F19" w:rsidRPr="001C63B3">
        <w:rPr>
          <w:szCs w:val="22"/>
        </w:rPr>
        <w:t xml:space="preserve"> Alter</w:t>
      </w:r>
      <w:r w:rsidR="00236F19" w:rsidRPr="001C63B3">
        <w:rPr>
          <w:szCs w:val="22"/>
        </w:rPr>
        <w:t>s</w:t>
      </w:r>
      <w:r w:rsidR="00236F19" w:rsidRPr="001C63B3">
        <w:rPr>
          <w:szCs w:val="22"/>
        </w:rPr>
        <w:t xml:space="preserve">gruppen </w:t>
      </w:r>
      <w:r w:rsidR="00466111">
        <w:rPr>
          <w:szCs w:val="22"/>
        </w:rPr>
        <w:t>der Aussage zu, dass das Rauchen von Marihuana ein Mal pro Monat ein Risiko bede</w:t>
      </w:r>
      <w:r w:rsidR="00466111">
        <w:rPr>
          <w:szCs w:val="22"/>
        </w:rPr>
        <w:t>u</w:t>
      </w:r>
      <w:r w:rsidR="00466111">
        <w:rPr>
          <w:szCs w:val="22"/>
        </w:rPr>
        <w:t>tet</w:t>
      </w:r>
      <w:r w:rsidR="009C7054">
        <w:rPr>
          <w:szCs w:val="22"/>
        </w:rPr>
        <w:t xml:space="preserve"> </w:t>
      </w:r>
      <w:r w:rsidR="009C7054">
        <w:t xml:space="preserve">(vgl. </w:t>
      </w:r>
      <w:r w:rsidR="009C7054" w:rsidRPr="003A2724">
        <w:t>Hughes, Rachel</w:t>
      </w:r>
      <w:r w:rsidR="009C7054">
        <w:t>,</w:t>
      </w:r>
      <w:r w:rsidR="009C7054" w:rsidRPr="003A2724">
        <w:t xml:space="preserve"> Lipari, </w:t>
      </w:r>
      <w:r w:rsidR="009C7054">
        <w:t xml:space="preserve">Williams </w:t>
      </w:r>
      <w:r w:rsidR="009C7054" w:rsidRPr="003A2724">
        <w:t>2016</w:t>
      </w:r>
      <w:r w:rsidR="009C7054">
        <w:t>)</w:t>
      </w:r>
      <w:r w:rsidR="00D8317B">
        <w:rPr>
          <w:szCs w:val="22"/>
        </w:rPr>
        <w:t xml:space="preserve">. </w:t>
      </w:r>
      <w:r w:rsidR="009C7054">
        <w:rPr>
          <w:szCs w:val="22"/>
        </w:rPr>
        <w:t>Mit</w:t>
      </w:r>
      <w:r w:rsidR="00466111">
        <w:rPr>
          <w:szCs w:val="22"/>
        </w:rPr>
        <w:t xml:space="preserve"> dieser </w:t>
      </w:r>
      <w:r w:rsidR="00944235">
        <w:rPr>
          <w:szCs w:val="22"/>
        </w:rPr>
        <w:t>Risikobeurteilung</w:t>
      </w:r>
      <w:r w:rsidR="001C63B3" w:rsidRPr="001C63B3">
        <w:rPr>
          <w:szCs w:val="22"/>
        </w:rPr>
        <w:t xml:space="preserve"> </w:t>
      </w:r>
      <w:r w:rsidR="00D8317B" w:rsidRPr="001C63B3">
        <w:rPr>
          <w:szCs w:val="22"/>
        </w:rPr>
        <w:t xml:space="preserve">unterscheidet </w:t>
      </w:r>
      <w:r w:rsidR="001C63B3" w:rsidRPr="001C63B3">
        <w:rPr>
          <w:szCs w:val="22"/>
        </w:rPr>
        <w:t xml:space="preserve">sich </w:t>
      </w:r>
      <w:r w:rsidR="00466111">
        <w:rPr>
          <w:szCs w:val="22"/>
        </w:rPr>
        <w:t>Kalifornien</w:t>
      </w:r>
      <w:r w:rsidR="001C63B3" w:rsidRPr="001C63B3">
        <w:rPr>
          <w:szCs w:val="22"/>
        </w:rPr>
        <w:t xml:space="preserve"> von </w:t>
      </w:r>
      <w:r w:rsidR="00466111">
        <w:rPr>
          <w:szCs w:val="22"/>
        </w:rPr>
        <w:t>Bundesstaaten,</w:t>
      </w:r>
      <w:r w:rsidR="001C63B3" w:rsidRPr="001C63B3">
        <w:rPr>
          <w:szCs w:val="22"/>
        </w:rPr>
        <w:t xml:space="preserve"> die </w:t>
      </w:r>
      <w:r w:rsidR="00AE096D">
        <w:rPr>
          <w:szCs w:val="22"/>
        </w:rPr>
        <w:t>bereits begonnen haben, einen</w:t>
      </w:r>
      <w:r w:rsidR="001C63B3" w:rsidRPr="001C63B3">
        <w:rPr>
          <w:szCs w:val="22"/>
        </w:rPr>
        <w:t xml:space="preserve"> </w:t>
      </w:r>
      <w:r w:rsidR="00D01097">
        <w:rPr>
          <w:szCs w:val="22"/>
        </w:rPr>
        <w:t>Regulierung</w:t>
      </w:r>
      <w:r w:rsidR="00AE096D">
        <w:rPr>
          <w:szCs w:val="22"/>
        </w:rPr>
        <w:t>sprozess</w:t>
      </w:r>
      <w:r w:rsidR="001C63B3" w:rsidRPr="001C63B3">
        <w:rPr>
          <w:szCs w:val="22"/>
        </w:rPr>
        <w:t xml:space="preserve"> um</w:t>
      </w:r>
      <w:r w:rsidR="00AE096D">
        <w:rPr>
          <w:szCs w:val="22"/>
        </w:rPr>
        <w:t>z</w:t>
      </w:r>
      <w:r w:rsidR="00AE096D">
        <w:rPr>
          <w:szCs w:val="22"/>
        </w:rPr>
        <w:t>u</w:t>
      </w:r>
      <w:r w:rsidR="00AE096D">
        <w:rPr>
          <w:szCs w:val="22"/>
        </w:rPr>
        <w:t xml:space="preserve">setzen. </w:t>
      </w:r>
      <w:r w:rsidR="00D8317B">
        <w:rPr>
          <w:szCs w:val="22"/>
        </w:rPr>
        <w:t>Sowohl im Bundesstaat Washington</w:t>
      </w:r>
      <w:r w:rsidR="009C7054">
        <w:rPr>
          <w:szCs w:val="22"/>
        </w:rPr>
        <w:t xml:space="preserve"> als</w:t>
      </w:r>
      <w:r w:rsidR="00D8317B">
        <w:rPr>
          <w:szCs w:val="22"/>
        </w:rPr>
        <w:t xml:space="preserve"> auch in Colorado </w:t>
      </w:r>
      <w:r w:rsidR="00466111">
        <w:rPr>
          <w:szCs w:val="22"/>
        </w:rPr>
        <w:t xml:space="preserve">wurde und </w:t>
      </w:r>
      <w:r w:rsidR="00D8317B">
        <w:rPr>
          <w:szCs w:val="22"/>
        </w:rPr>
        <w:t>wird das monatlich einmalige Rauchen von Marihuana durch weniger Befragte als gefährlich beurteilt</w:t>
      </w:r>
      <w:r w:rsidR="00D8317B">
        <w:rPr>
          <w:rStyle w:val="Funotenzeichen"/>
          <w:szCs w:val="22"/>
        </w:rPr>
        <w:footnoteReference w:id="9"/>
      </w:r>
      <w:r w:rsidR="00D8317B">
        <w:rPr>
          <w:szCs w:val="22"/>
        </w:rPr>
        <w:t xml:space="preserve">. </w:t>
      </w:r>
      <w:r w:rsidR="00944235">
        <w:rPr>
          <w:szCs w:val="22"/>
        </w:rPr>
        <w:t>Insofern schwingt in Kalifornien offensichtlich der „Geist der Hippies“ oder vielmehr die risikobedachte N</w:t>
      </w:r>
      <w:r w:rsidR="002E7129">
        <w:rPr>
          <w:szCs w:val="22"/>
        </w:rPr>
        <w:t>äherung an Marihuana im Rahmen ein</w:t>
      </w:r>
      <w:r w:rsidR="00944235">
        <w:rPr>
          <w:szCs w:val="22"/>
        </w:rPr>
        <w:t>er etablierten Cannabiskultur weiterhin mit.</w:t>
      </w:r>
      <w:r w:rsidRPr="001C63B3">
        <w:rPr>
          <w:szCs w:val="22"/>
        </w:rPr>
        <w:t xml:space="preserve"> </w:t>
      </w:r>
    </w:p>
    <w:p w14:paraId="3C3B5336" w14:textId="77777777" w:rsidR="00543FEC" w:rsidRDefault="00543FEC" w:rsidP="009D7629">
      <w:pPr>
        <w:spacing w:line="276" w:lineRule="auto"/>
        <w:jc w:val="both"/>
        <w:rPr>
          <w:szCs w:val="22"/>
        </w:rPr>
      </w:pPr>
    </w:p>
    <w:p w14:paraId="14BA375F" w14:textId="46EAF900" w:rsidR="00E70006" w:rsidRDefault="00F07B11" w:rsidP="009D7629">
      <w:pPr>
        <w:keepNext/>
        <w:spacing w:line="276" w:lineRule="auto"/>
        <w:jc w:val="both"/>
      </w:pPr>
      <w:r>
        <w:rPr>
          <w:noProof/>
        </w:rPr>
        <w:drawing>
          <wp:inline distT="0" distB="0" distL="0" distR="0" wp14:anchorId="2CDF11B3" wp14:editId="3DCDA185">
            <wp:extent cx="5485342" cy="3461808"/>
            <wp:effectExtent l="0" t="0" r="26670" b="18415"/>
            <wp:docPr id="46" name="Diagram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D85B64" w14:textId="37F74CC5" w:rsidR="00543FEC" w:rsidRDefault="00543FEC" w:rsidP="009D7629">
      <w:pPr>
        <w:pStyle w:val="Beschriftung"/>
        <w:spacing w:line="276" w:lineRule="auto"/>
        <w:jc w:val="both"/>
      </w:pPr>
      <w:r>
        <w:t xml:space="preserve">Abbildung </w:t>
      </w:r>
      <w:fldSimple w:instr=" SEQ Abbildung \* ARABIC ">
        <w:r w:rsidR="00B86830">
          <w:rPr>
            <w:noProof/>
          </w:rPr>
          <w:t>1</w:t>
        </w:r>
      </w:fldSimple>
      <w:r>
        <w:t>: Be</w:t>
      </w:r>
      <w:r w:rsidR="003B77E6">
        <w:t>urteilung einer Gefahr durch "Marihuana-R</w:t>
      </w:r>
      <w:r>
        <w:t>auchen einmal pro Monat" nach Bundesstaaten und im Vergleich zu</w:t>
      </w:r>
      <w:r w:rsidR="003B77E6">
        <w:t>r USA gesamt (vgl. SAMHSA 2011 u</w:t>
      </w:r>
      <w:r>
        <w:t>nd 2014)</w:t>
      </w:r>
    </w:p>
    <w:p w14:paraId="2C3DEB62" w14:textId="17FA7E13" w:rsidR="00E70006" w:rsidRDefault="00E70006" w:rsidP="009D7629">
      <w:pPr>
        <w:spacing w:line="276" w:lineRule="auto"/>
        <w:jc w:val="both"/>
      </w:pPr>
      <w:r>
        <w:t xml:space="preserve">Besondere </w:t>
      </w:r>
      <w:r w:rsidR="003B77E6">
        <w:t>Mentalitätsstrukturen</w:t>
      </w:r>
      <w:r>
        <w:t xml:space="preserve"> in Zusammenhang </w:t>
      </w:r>
      <w:r w:rsidR="00466111">
        <w:t xml:space="preserve">mit </w:t>
      </w:r>
      <w:r>
        <w:t>Marihuana deuten sich auch unter J</w:t>
      </w:r>
      <w:r>
        <w:t>u</w:t>
      </w:r>
      <w:r>
        <w:t>gendlichen an:</w:t>
      </w:r>
      <w:r w:rsidR="003B77E6">
        <w:t xml:space="preserve"> </w:t>
      </w:r>
      <w:r w:rsidR="00586523">
        <w:t>I</w:t>
      </w:r>
      <w:r w:rsidR="00364255">
        <w:t>n Bezug auf die Beu</w:t>
      </w:r>
      <w:r w:rsidR="00586523">
        <w:t>rteilung jugendtypischer Risiken im Allgemeinen</w:t>
      </w:r>
      <w:r w:rsidR="00C66158">
        <w:t xml:space="preserve"> zeigten sich die befragten jungen </w:t>
      </w:r>
      <w:r w:rsidR="00364255">
        <w:t>Kalifornie</w:t>
      </w:r>
      <w:r w:rsidR="00C66158">
        <w:t>rn</w:t>
      </w:r>
      <w:r w:rsidR="00364255">
        <w:t xml:space="preserve"> keineswegs als risikofreudig: </w:t>
      </w:r>
      <w:r w:rsidR="00466111">
        <w:t xml:space="preserve">Bei der </w:t>
      </w:r>
      <w:r w:rsidR="00364255">
        <w:t xml:space="preserve">Mehrheit der </w:t>
      </w:r>
      <w:r w:rsidR="00C66158">
        <w:t>jemals</w:t>
      </w:r>
      <w:r w:rsidR="00236F19">
        <w:t xml:space="preserve"> ei</w:t>
      </w:r>
      <w:r w:rsidR="00236F19">
        <w:t>n</w:t>
      </w:r>
      <w:r w:rsidR="00236F19">
        <w:t xml:space="preserve">gegangenen </w:t>
      </w:r>
      <w:r w:rsidR="00364255">
        <w:t>R</w:t>
      </w:r>
      <w:r w:rsidR="00C66158">
        <w:t>isiken</w:t>
      </w:r>
      <w:r w:rsidR="00364255">
        <w:t xml:space="preserve"> rangierten </w:t>
      </w:r>
      <w:r w:rsidR="00E472BD">
        <w:t>Kaliforniens</w:t>
      </w:r>
      <w:r w:rsidR="00364255">
        <w:t xml:space="preserve"> Jugendliche im Vergleich zu anderen Bundesst</w:t>
      </w:r>
      <w:r w:rsidR="00586523">
        <w:t>aaten auf hinteren Rangplätzen</w:t>
      </w:r>
      <w:r w:rsidR="00C66158">
        <w:t xml:space="preserve">: </w:t>
      </w:r>
      <w:r>
        <w:t xml:space="preserve">Dies </w:t>
      </w:r>
      <w:r w:rsidR="00586523">
        <w:t xml:space="preserve">u. a. </w:t>
      </w:r>
      <w:r>
        <w:t xml:space="preserve">bei </w:t>
      </w:r>
      <w:r w:rsidR="000F0EEE">
        <w:t xml:space="preserve">Waffenbesitz und -gebrauch allgemein und in der Schule, </w:t>
      </w:r>
      <w:r>
        <w:t xml:space="preserve">bei </w:t>
      </w:r>
      <w:r w:rsidR="000F0EEE">
        <w:t>körperliche</w:t>
      </w:r>
      <w:r>
        <w:t>r</w:t>
      </w:r>
      <w:r w:rsidR="000F0EEE">
        <w:t xml:space="preserve"> Gewalt überhaupt und mit Verletzungsfolgen, </w:t>
      </w:r>
      <w:r>
        <w:t>bei digitalem</w:t>
      </w:r>
      <w:r w:rsidR="000F0EEE">
        <w:t xml:space="preserve"> Mobbing, sexuelle</w:t>
      </w:r>
      <w:r>
        <w:t>r</w:t>
      </w:r>
      <w:r w:rsidR="000F0EEE">
        <w:t xml:space="preserve"> Belästigung, nicht angeschnallt</w:t>
      </w:r>
      <w:r>
        <w:t>em</w:t>
      </w:r>
      <w:r w:rsidR="000F0EEE">
        <w:t xml:space="preserve"> Autofahren, </w:t>
      </w:r>
      <w:r>
        <w:t xml:space="preserve">beim Fahrradfahren </w:t>
      </w:r>
      <w:r w:rsidR="000F0EEE">
        <w:t xml:space="preserve">ohne Helm, </w:t>
      </w:r>
      <w:r>
        <w:t xml:space="preserve">in der </w:t>
      </w:r>
      <w:r w:rsidR="000F0EEE">
        <w:t xml:space="preserve">Zahl </w:t>
      </w:r>
      <w:r>
        <w:t>von</w:t>
      </w:r>
      <w:r w:rsidR="000F0EEE">
        <w:t xml:space="preserve"> Suizidversuche</w:t>
      </w:r>
      <w:r>
        <w:t>n</w:t>
      </w:r>
      <w:r w:rsidR="000F0EEE">
        <w:t xml:space="preserve">, </w:t>
      </w:r>
      <w:r>
        <w:t xml:space="preserve">beim </w:t>
      </w:r>
      <w:r w:rsidR="000F0EEE">
        <w:t xml:space="preserve">Rauchen vor dem 13. Lebensjahr, </w:t>
      </w:r>
      <w:r>
        <w:t xml:space="preserve">beim </w:t>
      </w:r>
      <w:r w:rsidR="000F0EEE">
        <w:t>regel</w:t>
      </w:r>
      <w:r>
        <w:t>mäßigen</w:t>
      </w:r>
      <w:r w:rsidR="000F0EEE">
        <w:t xml:space="preserve"> Rauchen, </w:t>
      </w:r>
      <w:r>
        <w:t xml:space="preserve">beim </w:t>
      </w:r>
      <w:r w:rsidR="000F0EEE">
        <w:t>Konsum von Steroiden</w:t>
      </w:r>
      <w:r w:rsidR="00586523">
        <w:t xml:space="preserve">, Kokain, Heroin, Schnüffelstoffen, Methamphetamine, </w:t>
      </w:r>
      <w:r>
        <w:t>bei der Zahl derj</w:t>
      </w:r>
      <w:r>
        <w:t>e</w:t>
      </w:r>
      <w:r>
        <w:t xml:space="preserve">nigen, die bereits </w:t>
      </w:r>
      <w:r w:rsidR="00586523">
        <w:t xml:space="preserve">Geschlechtsverkehr </w:t>
      </w:r>
      <w:r>
        <w:t xml:space="preserve">hatten insgesamt </w:t>
      </w:r>
      <w:r w:rsidR="00586523">
        <w:t>und vor dem 13. Lebensjahr</w:t>
      </w:r>
      <w:r>
        <w:t xml:space="preserve"> </w:t>
      </w:r>
      <w:r w:rsidR="000F0EEE" w:rsidRPr="009A1BCE">
        <w:t xml:space="preserve">(vgl. </w:t>
      </w:r>
      <w:r w:rsidR="007E1A10" w:rsidRPr="009A1BCE">
        <w:t>Ce</w:t>
      </w:r>
      <w:r w:rsidR="007E1A10" w:rsidRPr="009A1BCE">
        <w:t>n</w:t>
      </w:r>
      <w:r w:rsidR="00C12328">
        <w:t>ters of Diseas C</w:t>
      </w:r>
      <w:r w:rsidR="007E1A10" w:rsidRPr="009A1BCE">
        <w:t xml:space="preserve">ontrol </w:t>
      </w:r>
      <w:r w:rsidR="00C12328">
        <w:t>and P</w:t>
      </w:r>
      <w:r w:rsidR="007E1A10" w:rsidRPr="009A1BCE">
        <w:t>revention 2016</w:t>
      </w:r>
      <w:r w:rsidR="000F0EEE" w:rsidRPr="009A1BCE">
        <w:t>).</w:t>
      </w:r>
      <w:r w:rsidR="000F0EEE">
        <w:t xml:space="preserve"> </w:t>
      </w:r>
      <w:r w:rsidR="00586523">
        <w:t xml:space="preserve">Deutlich </w:t>
      </w:r>
      <w:r w:rsidR="00466111">
        <w:t xml:space="preserve">mehr </w:t>
      </w:r>
      <w:r w:rsidR="00586523">
        <w:t xml:space="preserve">als ihre Altersgenossen aus anderen Bundesstaaten waren die Kalifornier </w:t>
      </w:r>
      <w:r w:rsidR="00466111">
        <w:t>allerdings risikobereit</w:t>
      </w:r>
      <w:r w:rsidR="00586523">
        <w:t xml:space="preserve">, wenn es um den </w:t>
      </w:r>
      <w:r w:rsidR="000F0EEE">
        <w:t>Konsum von Mar</w:t>
      </w:r>
      <w:r w:rsidR="000F0EEE">
        <w:t>i</w:t>
      </w:r>
      <w:r w:rsidR="000F0EEE">
        <w:t>huana</w:t>
      </w:r>
      <w:r w:rsidR="00586523">
        <w:t xml:space="preserve"> ging</w:t>
      </w:r>
      <w:r w:rsidR="00C66158">
        <w:t>: In diesen Punkten lagen die Kalifornier mengenmäßig über dem U. S.-amerikanischen Durchschnitt („</w:t>
      </w:r>
      <w:r w:rsidR="00586523">
        <w:t>jemals Marihuana geraucht</w:t>
      </w:r>
      <w:r w:rsidR="00C66158">
        <w:t>“</w:t>
      </w:r>
      <w:r w:rsidR="00586523">
        <w:t xml:space="preserve">, </w:t>
      </w:r>
      <w:r w:rsidR="00C66158">
        <w:t>„</w:t>
      </w:r>
      <w:r w:rsidR="00586523">
        <w:t>vor dem 13. Lebensjahr Marihu</w:t>
      </w:r>
      <w:r w:rsidR="00586523">
        <w:t>a</w:t>
      </w:r>
      <w:r w:rsidR="00586523">
        <w:t>na geraucht</w:t>
      </w:r>
      <w:r w:rsidR="00C66158">
        <w:t>“</w:t>
      </w:r>
      <w:r w:rsidR="00586523">
        <w:t xml:space="preserve">, </w:t>
      </w:r>
      <w:r w:rsidR="00C66158">
        <w:t>„</w:t>
      </w:r>
      <w:r w:rsidR="00586523">
        <w:t>aktuell ein Marihuana-Konsument</w:t>
      </w:r>
      <w:r>
        <w:t xml:space="preserve"> sein</w:t>
      </w:r>
      <w:r w:rsidR="00C66158">
        <w:t>“</w:t>
      </w:r>
      <w:r w:rsidR="00586523">
        <w:t>)</w:t>
      </w:r>
      <w:r w:rsidR="009A1BCE">
        <w:rPr>
          <w:rStyle w:val="Funotenzeichen"/>
        </w:rPr>
        <w:footnoteReference w:id="10"/>
      </w:r>
      <w:r w:rsidR="00236F19" w:rsidRPr="003C2289">
        <w:t>(vgl. Abbildung</w:t>
      </w:r>
      <w:r w:rsidR="00236F19">
        <w:t xml:space="preserve"> 2</w:t>
      </w:r>
      <w:r w:rsidR="00236F19" w:rsidRPr="003C2289">
        <w:t>)</w:t>
      </w:r>
      <w:r w:rsidR="00E472BD">
        <w:t xml:space="preserve">, ebenso wie bei der von den Jugendlichen abgegebenen Prognose, im nächsten Jahr ein Mal Marihuana konsumieren zu wollen. </w:t>
      </w:r>
      <w:r>
        <w:t>Bei</w:t>
      </w:r>
      <w:r w:rsidR="00E472BD">
        <w:t xml:space="preserve"> diese</w:t>
      </w:r>
      <w:r>
        <w:t>r</w:t>
      </w:r>
      <w:r w:rsidR="00E472BD">
        <w:t xml:space="preserve"> Nachfrage stellte die Studie </w:t>
      </w:r>
      <w:r w:rsidR="005619AB">
        <w:t>im Übrigen in den Bundesstaaten</w:t>
      </w:r>
      <w:r w:rsidR="00E472BD">
        <w:t xml:space="preserve"> die </w:t>
      </w:r>
      <w:r w:rsidR="00E472BD" w:rsidRPr="003C2289">
        <w:t>höchsten prognostizierten Inzidenzraten</w:t>
      </w:r>
      <w:r w:rsidRPr="003C2289">
        <w:t xml:space="preserve"> heraus</w:t>
      </w:r>
      <w:r w:rsidR="00E472BD" w:rsidRPr="003C2289">
        <w:t xml:space="preserve">, wo der Freizeitkonsum </w:t>
      </w:r>
      <w:r w:rsidRPr="003C2289">
        <w:t xml:space="preserve">bereits </w:t>
      </w:r>
      <w:r w:rsidR="00E472BD" w:rsidRPr="003C2289">
        <w:t xml:space="preserve">legalisiert wurde </w:t>
      </w:r>
      <w:r w:rsidR="00586523" w:rsidRPr="003C2289">
        <w:t xml:space="preserve">(vgl. </w:t>
      </w:r>
      <w:r w:rsidR="00C12328">
        <w:t>Centers of Diseas Control and P</w:t>
      </w:r>
      <w:r w:rsidR="00236F19" w:rsidRPr="009A1BCE">
        <w:t>revention 2016</w:t>
      </w:r>
      <w:r w:rsidR="00586523" w:rsidRPr="003C2289">
        <w:t>).</w:t>
      </w:r>
      <w:r w:rsidR="00586523">
        <w:t xml:space="preserve"> </w:t>
      </w:r>
    </w:p>
    <w:p w14:paraId="78A174B1" w14:textId="77777777" w:rsidR="009C7054" w:rsidRDefault="009C7054" w:rsidP="009D7629">
      <w:pPr>
        <w:spacing w:line="276" w:lineRule="auto"/>
        <w:jc w:val="both"/>
      </w:pPr>
    </w:p>
    <w:p w14:paraId="5B7AEA2F" w14:textId="77777777" w:rsidR="003C2289" w:rsidRDefault="003C2289" w:rsidP="009D7629">
      <w:pPr>
        <w:keepNext/>
        <w:spacing w:line="276" w:lineRule="auto"/>
        <w:jc w:val="both"/>
      </w:pPr>
      <w:r>
        <w:rPr>
          <w:noProof/>
        </w:rPr>
        <w:drawing>
          <wp:inline distT="0" distB="0" distL="0" distR="0" wp14:anchorId="0EB622F9" wp14:editId="7C687502">
            <wp:extent cx="5756910" cy="5188319"/>
            <wp:effectExtent l="0" t="0" r="34290" b="1905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76EEDC" w14:textId="679E26C7" w:rsidR="003C2289" w:rsidRDefault="003C2289" w:rsidP="009D7629">
      <w:pPr>
        <w:pStyle w:val="Beschriftung"/>
        <w:jc w:val="both"/>
        <w:rPr>
          <w:szCs w:val="22"/>
        </w:rPr>
      </w:pPr>
      <w:r>
        <w:t xml:space="preserve">Abbildung </w:t>
      </w:r>
      <w:fldSimple w:instr=" SEQ Abbildung \* ARABIC ">
        <w:r w:rsidR="00B86830">
          <w:rPr>
            <w:noProof/>
          </w:rPr>
          <w:t>2</w:t>
        </w:r>
      </w:fldSimple>
      <w:r>
        <w:t xml:space="preserve">: Von Jugendlichen bereits eingegangene Risiken; Vergleich USA gesamt und Kalifornien (vgl. </w:t>
      </w:r>
      <w:r w:rsidR="00C12328">
        <w:t>Centers of Diseas C</w:t>
      </w:r>
      <w:r w:rsidRPr="009A1BCE">
        <w:t>on</w:t>
      </w:r>
      <w:r w:rsidR="00C12328">
        <w:t>trol and P</w:t>
      </w:r>
      <w:r>
        <w:t>rev</w:t>
      </w:r>
      <w:r w:rsidR="00C12328">
        <w:t>ention, Youth Risk B</w:t>
      </w:r>
      <w:r w:rsidR="009C7054">
        <w:t>ehavior 2016</w:t>
      </w:r>
      <w:r>
        <w:t>)</w:t>
      </w:r>
    </w:p>
    <w:p w14:paraId="1BD37424" w14:textId="21055E6E" w:rsidR="005619AB" w:rsidRDefault="00236F19" w:rsidP="009D7629">
      <w:pPr>
        <w:spacing w:line="276" w:lineRule="auto"/>
        <w:jc w:val="both"/>
      </w:pPr>
      <w:r>
        <w:t xml:space="preserve">Diese </w:t>
      </w:r>
      <w:r w:rsidR="005619AB">
        <w:t>Daten</w:t>
      </w:r>
      <w:r>
        <w:t xml:space="preserve"> könnten als Hinweis auf unerwünschte negative Effekte eines </w:t>
      </w:r>
      <w:r w:rsidR="00D01097">
        <w:t>Regulierung</w:t>
      </w:r>
      <w:r>
        <w:t>sproze</w:t>
      </w:r>
      <w:r>
        <w:t>s</w:t>
      </w:r>
      <w:r w:rsidR="005619AB">
        <w:t>ses gedeutet werden</w:t>
      </w:r>
      <w:r w:rsidR="00EF5BA2">
        <w:t xml:space="preserve">. Immerhin wäre </w:t>
      </w:r>
      <w:r w:rsidR="005619AB">
        <w:t>auch die</w:t>
      </w:r>
      <w:r w:rsidR="00EF5BA2">
        <w:t xml:space="preserve"> </w:t>
      </w:r>
      <w:r>
        <w:t>Schlussfolgerung</w:t>
      </w:r>
      <w:r w:rsidR="00EF5BA2">
        <w:t xml:space="preserve"> möglich, </w:t>
      </w:r>
      <w:r>
        <w:t>für das</w:t>
      </w:r>
      <w:r w:rsidR="00EF5BA2">
        <w:t xml:space="preserve"> Probieren von Marihuana Schutz </w:t>
      </w:r>
      <w:r>
        <w:t>und</w:t>
      </w:r>
      <w:r w:rsidR="00EF5BA2">
        <w:t xml:space="preserve"> Begleitung </w:t>
      </w:r>
      <w:r>
        <w:t xml:space="preserve">zu </w:t>
      </w:r>
      <w:r w:rsidR="00EF5BA2">
        <w:t>gewähren</w:t>
      </w:r>
      <w:r>
        <w:t xml:space="preserve"> und auf diese Weise </w:t>
      </w:r>
      <w:r w:rsidR="005619AB">
        <w:t xml:space="preserve">die Näherung an diese psycho-aktive Substanz </w:t>
      </w:r>
      <w:r>
        <w:t>aus den Bedingungen von Heimlich</w:t>
      </w:r>
      <w:r w:rsidR="00C51DDC">
        <w:t>keit und Schu</w:t>
      </w:r>
      <w:r>
        <w:t>tzlosigkeit herauszul</w:t>
      </w:r>
      <w:r>
        <w:t>ö</w:t>
      </w:r>
      <w:r>
        <w:t>sen</w:t>
      </w:r>
      <w:r w:rsidR="005619AB">
        <w:t xml:space="preserve">. Als ein möglicher </w:t>
      </w:r>
      <w:r>
        <w:t>Side-Effekt</w:t>
      </w:r>
      <w:r w:rsidR="005619AB">
        <w:t xml:space="preserve"> könnte sich erweisen</w:t>
      </w:r>
      <w:r>
        <w:t>, dass anderes jugendtypisches Risik</w:t>
      </w:r>
      <w:r>
        <w:t>o</w:t>
      </w:r>
      <w:r>
        <w:t xml:space="preserve">verhalten weniger praktiziert wird. </w:t>
      </w:r>
      <w:r w:rsidR="00EF5BA2">
        <w:t>Dieser sich aufdrängenden Hypothese sollte dringlich nac</w:t>
      </w:r>
      <w:r w:rsidR="00EF5BA2">
        <w:t>h</w:t>
      </w:r>
      <w:r w:rsidR="005619AB">
        <w:t>gegangen werden - auch für die deutsche Kultur.</w:t>
      </w:r>
    </w:p>
    <w:p w14:paraId="1AAE0513" w14:textId="77777777" w:rsidR="005619AB" w:rsidRDefault="005619AB" w:rsidP="009D7629">
      <w:pPr>
        <w:spacing w:line="276" w:lineRule="auto"/>
        <w:jc w:val="both"/>
      </w:pPr>
    </w:p>
    <w:p w14:paraId="39A86245" w14:textId="445A11AE" w:rsidR="00EB756A" w:rsidRPr="004A5BCA" w:rsidRDefault="00EB756A" w:rsidP="009D7629">
      <w:pPr>
        <w:spacing w:line="276" w:lineRule="auto"/>
        <w:jc w:val="both"/>
        <w:rPr>
          <w:b/>
        </w:rPr>
      </w:pPr>
      <w:r w:rsidRPr="004A5BCA">
        <w:rPr>
          <w:b/>
        </w:rPr>
        <w:t>Die medizinische Vergabe von Marihuana in Kalifornien</w:t>
      </w:r>
    </w:p>
    <w:p w14:paraId="2BACD61E" w14:textId="084BE7CC" w:rsidR="00EB3E0B" w:rsidRDefault="00295350" w:rsidP="009D7629">
      <w:pPr>
        <w:spacing w:line="276" w:lineRule="auto"/>
        <w:jc w:val="both"/>
        <w:rPr>
          <w:szCs w:val="22"/>
        </w:rPr>
      </w:pPr>
      <w:r w:rsidRPr="00762252">
        <w:rPr>
          <w:szCs w:val="22"/>
        </w:rPr>
        <w:t xml:space="preserve">Nach </w:t>
      </w:r>
      <w:r w:rsidR="004B7E24">
        <w:rPr>
          <w:szCs w:val="22"/>
        </w:rPr>
        <w:t>dem Entscheid über</w:t>
      </w:r>
      <w:r w:rsidR="00A202F9">
        <w:rPr>
          <w:szCs w:val="22"/>
        </w:rPr>
        <w:t xml:space="preserve"> eine medizinische Vergabe </w:t>
      </w:r>
      <w:r w:rsidR="00EF04E4">
        <w:rPr>
          <w:szCs w:val="22"/>
        </w:rPr>
        <w:t xml:space="preserve">im Jahr </w:t>
      </w:r>
      <w:r w:rsidR="004A5BCA">
        <w:rPr>
          <w:szCs w:val="22"/>
        </w:rPr>
        <w:t xml:space="preserve">1996 </w:t>
      </w:r>
      <w:r w:rsidR="00A202F9" w:rsidRPr="00762252">
        <w:rPr>
          <w:szCs w:val="22"/>
        </w:rPr>
        <w:t xml:space="preserve">wurde erst 2003 </w:t>
      </w:r>
      <w:r w:rsidR="00A202F9">
        <w:rPr>
          <w:szCs w:val="22"/>
        </w:rPr>
        <w:t xml:space="preserve">und </w:t>
      </w:r>
      <w:r w:rsidR="004B7E24">
        <w:rPr>
          <w:szCs w:val="22"/>
        </w:rPr>
        <w:t xml:space="preserve">damit </w:t>
      </w:r>
      <w:r w:rsidR="00A202F9">
        <w:rPr>
          <w:szCs w:val="22"/>
        </w:rPr>
        <w:t xml:space="preserve">sieben </w:t>
      </w:r>
      <w:r w:rsidR="00236F19">
        <w:rPr>
          <w:szCs w:val="22"/>
        </w:rPr>
        <w:t>Jahre</w:t>
      </w:r>
      <w:r w:rsidRPr="00762252">
        <w:rPr>
          <w:szCs w:val="22"/>
        </w:rPr>
        <w:t xml:space="preserve"> </w:t>
      </w:r>
      <w:r w:rsidR="00236F19">
        <w:rPr>
          <w:szCs w:val="22"/>
        </w:rPr>
        <w:t xml:space="preserve">ohne strenge </w:t>
      </w:r>
      <w:r w:rsidR="005A0FB3">
        <w:rPr>
          <w:szCs w:val="22"/>
        </w:rPr>
        <w:t xml:space="preserve">Regeln zur </w:t>
      </w:r>
      <w:r w:rsidR="004B7E24">
        <w:rPr>
          <w:szCs w:val="22"/>
        </w:rPr>
        <w:t xml:space="preserve">medizinischen Vergabe </w:t>
      </w:r>
      <w:r w:rsidR="005A0FB3">
        <w:rPr>
          <w:szCs w:val="22"/>
        </w:rPr>
        <w:t>und zu</w:t>
      </w:r>
      <w:r w:rsidR="00EF27D0" w:rsidRPr="00762252">
        <w:rPr>
          <w:szCs w:val="22"/>
        </w:rPr>
        <w:t xml:space="preserve"> Standards für die Produkt</w:t>
      </w:r>
      <w:r w:rsidR="00EF27D0" w:rsidRPr="00762252">
        <w:rPr>
          <w:szCs w:val="22"/>
        </w:rPr>
        <w:t>i</w:t>
      </w:r>
      <w:r w:rsidR="00EF27D0" w:rsidRPr="00762252">
        <w:rPr>
          <w:szCs w:val="22"/>
        </w:rPr>
        <w:t>on und den Verkauf medizin</w:t>
      </w:r>
      <w:r w:rsidR="00F364F0" w:rsidRPr="00762252">
        <w:rPr>
          <w:szCs w:val="22"/>
        </w:rPr>
        <w:t>i</w:t>
      </w:r>
      <w:r w:rsidR="005A0FB3">
        <w:rPr>
          <w:szCs w:val="22"/>
        </w:rPr>
        <w:t>schen</w:t>
      </w:r>
      <w:r w:rsidR="00F364F0" w:rsidRPr="00762252">
        <w:rPr>
          <w:szCs w:val="22"/>
        </w:rPr>
        <w:t xml:space="preserve"> Marihuana</w:t>
      </w:r>
      <w:r w:rsidR="005A0FB3">
        <w:rPr>
          <w:szCs w:val="22"/>
        </w:rPr>
        <w:t>s</w:t>
      </w:r>
      <w:r w:rsidRPr="00762252">
        <w:rPr>
          <w:szCs w:val="22"/>
        </w:rPr>
        <w:t xml:space="preserve"> das </w:t>
      </w:r>
      <w:r w:rsidRPr="004A5BCA">
        <w:rPr>
          <w:rFonts w:cs="Times New Roman"/>
          <w:szCs w:val="22"/>
        </w:rPr>
        <w:t xml:space="preserve">Medical </w:t>
      </w:r>
      <w:r w:rsidRPr="004A5BCA">
        <w:rPr>
          <w:rFonts w:cs="Times"/>
          <w:bCs/>
          <w:szCs w:val="22"/>
        </w:rPr>
        <w:t xml:space="preserve">Marijuana </w:t>
      </w:r>
      <w:r w:rsidRPr="004A5BCA">
        <w:rPr>
          <w:rFonts w:cs="Times New Roman"/>
          <w:szCs w:val="22"/>
        </w:rPr>
        <w:t>Program Act (MMPA)</w:t>
      </w:r>
      <w:r w:rsidRPr="00762252">
        <w:rPr>
          <w:rFonts w:cs="Times New Roman"/>
          <w:szCs w:val="22"/>
        </w:rPr>
        <w:t xml:space="preserve"> </w:t>
      </w:r>
      <w:r w:rsidR="00F364F0" w:rsidRPr="00762252">
        <w:rPr>
          <w:rFonts w:cs="Times New Roman"/>
          <w:szCs w:val="22"/>
        </w:rPr>
        <w:t>verabschiedet</w:t>
      </w:r>
      <w:r w:rsidR="00A202F9">
        <w:rPr>
          <w:rFonts w:cs="Times New Roman"/>
          <w:szCs w:val="22"/>
        </w:rPr>
        <w:t xml:space="preserve">. </w:t>
      </w:r>
      <w:r w:rsidR="00DC43E7">
        <w:rPr>
          <w:rFonts w:cs="Times New Roman"/>
          <w:szCs w:val="22"/>
        </w:rPr>
        <w:t xml:space="preserve">Danach </w:t>
      </w:r>
      <w:r w:rsidR="00DC43E7" w:rsidRPr="00762252">
        <w:rPr>
          <w:szCs w:val="22"/>
        </w:rPr>
        <w:t xml:space="preserve">benötigen </w:t>
      </w:r>
      <w:r w:rsidR="005A0FB3">
        <w:rPr>
          <w:szCs w:val="22"/>
        </w:rPr>
        <w:t>Kaliforniens</w:t>
      </w:r>
      <w:r w:rsidR="005A0FB3" w:rsidRPr="00762252">
        <w:rPr>
          <w:szCs w:val="22"/>
        </w:rPr>
        <w:t xml:space="preserve"> </w:t>
      </w:r>
      <w:r w:rsidR="00DC43E7" w:rsidRPr="00762252">
        <w:rPr>
          <w:szCs w:val="22"/>
        </w:rPr>
        <w:t>Bürger</w:t>
      </w:r>
      <w:r w:rsidR="005A0FB3">
        <w:rPr>
          <w:szCs w:val="22"/>
        </w:rPr>
        <w:t xml:space="preserve"> für eine medizinische Behandlung mit </w:t>
      </w:r>
      <w:r w:rsidR="0089736E" w:rsidRPr="00762252">
        <w:rPr>
          <w:szCs w:val="22"/>
        </w:rPr>
        <w:t>Marihuana eine Lizenz, die als „215er Card“ bezeichnet wird und von jedem dafür zugelassenen Arzt empfohlen werden kann. Gegenwärtig ist es quasi schwellenlos möglich, jegli</w:t>
      </w:r>
      <w:r w:rsidR="00EF04E4">
        <w:rPr>
          <w:szCs w:val="22"/>
        </w:rPr>
        <w:t>ches Miss</w:t>
      </w:r>
      <w:r w:rsidR="0089736E" w:rsidRPr="00762252">
        <w:rPr>
          <w:szCs w:val="22"/>
        </w:rPr>
        <w:t>b</w:t>
      </w:r>
      <w:r w:rsidR="0089736E" w:rsidRPr="00762252">
        <w:rPr>
          <w:szCs w:val="22"/>
        </w:rPr>
        <w:t>e</w:t>
      </w:r>
      <w:r w:rsidR="0089736E" w:rsidRPr="00762252">
        <w:rPr>
          <w:szCs w:val="22"/>
        </w:rPr>
        <w:t>find</w:t>
      </w:r>
      <w:r w:rsidR="00EF04E4">
        <w:rPr>
          <w:szCs w:val="22"/>
        </w:rPr>
        <w:t xml:space="preserve">en </w:t>
      </w:r>
      <w:r w:rsidR="0089736E" w:rsidRPr="00762252">
        <w:rPr>
          <w:szCs w:val="22"/>
        </w:rPr>
        <w:t xml:space="preserve">einem zugelassenen Arzt (über längere Distanzen </w:t>
      </w:r>
      <w:r w:rsidR="00EF04E4" w:rsidRPr="00762252">
        <w:rPr>
          <w:szCs w:val="22"/>
        </w:rPr>
        <w:t xml:space="preserve">auch </w:t>
      </w:r>
      <w:r w:rsidR="0089736E" w:rsidRPr="00762252">
        <w:rPr>
          <w:szCs w:val="22"/>
        </w:rPr>
        <w:t xml:space="preserve">per Telefon) vorzustellen, eine Empfehlung für eine solche Lizenz zu erhalten, die </w:t>
      </w:r>
      <w:r w:rsidR="00BA14B2">
        <w:rPr>
          <w:szCs w:val="22"/>
        </w:rPr>
        <w:t xml:space="preserve">wiederum </w:t>
      </w:r>
      <w:r w:rsidR="0089736E" w:rsidRPr="00762252">
        <w:rPr>
          <w:szCs w:val="22"/>
        </w:rPr>
        <w:t>ohne weitere Prüfungen auch au</w:t>
      </w:r>
      <w:r w:rsidR="0089736E" w:rsidRPr="00762252">
        <w:rPr>
          <w:szCs w:val="22"/>
        </w:rPr>
        <w:t>s</w:t>
      </w:r>
      <w:r w:rsidR="0089736E" w:rsidRPr="00762252">
        <w:rPr>
          <w:szCs w:val="22"/>
        </w:rPr>
        <w:t xml:space="preserve">gestellt </w:t>
      </w:r>
      <w:r w:rsidR="00B05978">
        <w:rPr>
          <w:szCs w:val="22"/>
        </w:rPr>
        <w:t xml:space="preserve">und gegen ein Entgelt von </w:t>
      </w:r>
      <w:r w:rsidR="00C12328">
        <w:rPr>
          <w:szCs w:val="22"/>
        </w:rPr>
        <w:t>$80-200</w:t>
      </w:r>
      <w:r w:rsidR="004A5BCA">
        <w:rPr>
          <w:rStyle w:val="Funotenzeichen"/>
          <w:szCs w:val="22"/>
        </w:rPr>
        <w:footnoteReference w:id="11"/>
      </w:r>
      <w:r w:rsidR="00B05978">
        <w:rPr>
          <w:szCs w:val="22"/>
        </w:rPr>
        <w:t xml:space="preserve"> bei Erstausstellung ausgereicht </w:t>
      </w:r>
      <w:r w:rsidR="0089736E" w:rsidRPr="00762252">
        <w:rPr>
          <w:szCs w:val="22"/>
        </w:rPr>
        <w:t>wird</w:t>
      </w:r>
      <w:r w:rsidR="00760404" w:rsidRPr="00762252">
        <w:rPr>
          <w:szCs w:val="22"/>
        </w:rPr>
        <w:t xml:space="preserve"> (vgl. Lewis 2014)</w:t>
      </w:r>
      <w:r w:rsidR="0089736E" w:rsidRPr="00762252">
        <w:rPr>
          <w:szCs w:val="22"/>
        </w:rPr>
        <w:t xml:space="preserve">. </w:t>
      </w:r>
      <w:r w:rsidR="002A6D22" w:rsidRPr="00762252">
        <w:rPr>
          <w:szCs w:val="22"/>
        </w:rPr>
        <w:t xml:space="preserve">An diese Lizenz sind weitreichende Rechte geknüpft: </w:t>
      </w:r>
      <w:r w:rsidR="00EF04E4">
        <w:rPr>
          <w:szCs w:val="22"/>
        </w:rPr>
        <w:t>Der in Nordk</w:t>
      </w:r>
      <w:r w:rsidR="0089736E" w:rsidRPr="00762252">
        <w:rPr>
          <w:szCs w:val="22"/>
        </w:rPr>
        <w:t xml:space="preserve">alifornien gelegene Humboldt State hat beispielsweise 2003 festgelegt, dass Personen mit </w:t>
      </w:r>
      <w:r w:rsidR="0089736E" w:rsidRPr="00EB3E0B">
        <w:rPr>
          <w:szCs w:val="22"/>
        </w:rPr>
        <w:t xml:space="preserve">einer 215er Lizenz bis zu 99 Cannabispflanzen anbauen und jedes Jahr </w:t>
      </w:r>
      <w:r w:rsidR="0090385B" w:rsidRPr="00EB3E0B">
        <w:rPr>
          <w:szCs w:val="22"/>
        </w:rPr>
        <w:t>drei Pfund Marihuan</w:t>
      </w:r>
      <w:r w:rsidR="0090385B" w:rsidRPr="00762252">
        <w:rPr>
          <w:szCs w:val="22"/>
        </w:rPr>
        <w:t>a für den Eigenbedarf herste</w:t>
      </w:r>
      <w:r w:rsidR="0090385B" w:rsidRPr="00762252">
        <w:rPr>
          <w:szCs w:val="22"/>
        </w:rPr>
        <w:t>l</w:t>
      </w:r>
      <w:r w:rsidR="0090385B" w:rsidRPr="00762252">
        <w:rPr>
          <w:szCs w:val="22"/>
        </w:rPr>
        <w:t>len dürfen (vgl. Humboldt Country Dist</w:t>
      </w:r>
      <w:r w:rsidR="00C12328">
        <w:rPr>
          <w:szCs w:val="22"/>
        </w:rPr>
        <w:t>r</w:t>
      </w:r>
      <w:r w:rsidR="0090385B" w:rsidRPr="00762252">
        <w:rPr>
          <w:szCs w:val="22"/>
        </w:rPr>
        <w:t>ict Attorney’s Office 2003</w:t>
      </w:r>
      <w:r w:rsidR="00EB3E0B">
        <w:rPr>
          <w:szCs w:val="22"/>
        </w:rPr>
        <w:t>, S. 9</w:t>
      </w:r>
      <w:r w:rsidR="0090385B" w:rsidRPr="00762252">
        <w:rPr>
          <w:szCs w:val="22"/>
        </w:rPr>
        <w:t>).</w:t>
      </w:r>
      <w:r w:rsidRPr="00762252">
        <w:rPr>
          <w:szCs w:val="22"/>
        </w:rPr>
        <w:t xml:space="preserve"> </w:t>
      </w:r>
    </w:p>
    <w:p w14:paraId="56480EAE" w14:textId="4DD4E9CD" w:rsidR="0090385B" w:rsidRPr="00DC43E7" w:rsidRDefault="00295350" w:rsidP="00C51DDC">
      <w:pPr>
        <w:spacing w:line="276" w:lineRule="auto"/>
        <w:jc w:val="both"/>
        <w:rPr>
          <w:rFonts w:cs="Arial"/>
          <w:szCs w:val="22"/>
        </w:rPr>
      </w:pPr>
      <w:r w:rsidRPr="00762252">
        <w:rPr>
          <w:szCs w:val="22"/>
        </w:rPr>
        <w:t xml:space="preserve">Medizinisches Marihuana </w:t>
      </w:r>
      <w:r w:rsidR="00EF04E4">
        <w:rPr>
          <w:szCs w:val="22"/>
        </w:rPr>
        <w:t>ist</w:t>
      </w:r>
      <w:r w:rsidRPr="00762252">
        <w:rPr>
          <w:szCs w:val="22"/>
        </w:rPr>
        <w:t xml:space="preserve"> über </w:t>
      </w:r>
      <w:r w:rsidR="000759B9">
        <w:rPr>
          <w:szCs w:val="22"/>
        </w:rPr>
        <w:t>eine „</w:t>
      </w:r>
      <w:r w:rsidRPr="00762252">
        <w:rPr>
          <w:szCs w:val="22"/>
        </w:rPr>
        <w:t>Dispensar</w:t>
      </w:r>
      <w:r w:rsidR="000759B9">
        <w:rPr>
          <w:szCs w:val="22"/>
        </w:rPr>
        <w:t>y“</w:t>
      </w:r>
      <w:r w:rsidR="00EF04E4">
        <w:rPr>
          <w:szCs w:val="22"/>
        </w:rPr>
        <w:t xml:space="preserve"> abzu</w:t>
      </w:r>
      <w:r w:rsidRPr="00762252">
        <w:rPr>
          <w:szCs w:val="22"/>
        </w:rPr>
        <w:t>geben. Allerdings ist nicht geregelt, was unter einer solchen Abgabestelle</w:t>
      </w:r>
      <w:r w:rsidR="00086CB5" w:rsidRPr="00762252">
        <w:rPr>
          <w:szCs w:val="22"/>
        </w:rPr>
        <w:t xml:space="preserve"> verstanden werden soll und wer diese betreiben darf. E</w:t>
      </w:r>
      <w:r w:rsidR="00086CB5" w:rsidRPr="00762252">
        <w:rPr>
          <w:szCs w:val="22"/>
        </w:rPr>
        <w:t>i</w:t>
      </w:r>
      <w:r w:rsidR="00086CB5" w:rsidRPr="00762252">
        <w:rPr>
          <w:szCs w:val="22"/>
        </w:rPr>
        <w:t>nige Städte haben eigene Regelungen dafür gefunden (Oakland z. B. vergibt Lizenz</w:t>
      </w:r>
      <w:r w:rsidR="00BA14B2">
        <w:rPr>
          <w:szCs w:val="22"/>
        </w:rPr>
        <w:t>en</w:t>
      </w:r>
      <w:r w:rsidR="00086CB5" w:rsidRPr="00762252">
        <w:rPr>
          <w:szCs w:val="22"/>
        </w:rPr>
        <w:t xml:space="preserve"> für das Betreiben einer Dispensa</w:t>
      </w:r>
      <w:r w:rsidR="000759B9">
        <w:rPr>
          <w:szCs w:val="22"/>
        </w:rPr>
        <w:t>ry</w:t>
      </w:r>
      <w:r w:rsidR="00C12328">
        <w:rPr>
          <w:szCs w:val="22"/>
        </w:rPr>
        <w:t>, Los Angele</w:t>
      </w:r>
      <w:r w:rsidR="00086CB5" w:rsidRPr="00762252">
        <w:rPr>
          <w:szCs w:val="22"/>
        </w:rPr>
        <w:t>s nicht)</w:t>
      </w:r>
      <w:r w:rsidR="00F364F0" w:rsidRPr="00762252">
        <w:rPr>
          <w:szCs w:val="22"/>
        </w:rPr>
        <w:t>. Uneinheitlich ist auch die Praxis, ob und wie das angebotene medizinische Marihuana</w:t>
      </w:r>
      <w:r w:rsidR="00086CB5" w:rsidRPr="00762252">
        <w:rPr>
          <w:szCs w:val="22"/>
        </w:rPr>
        <w:t xml:space="preserve"> </w:t>
      </w:r>
      <w:r w:rsidR="00F364F0" w:rsidRPr="00762252">
        <w:rPr>
          <w:szCs w:val="22"/>
        </w:rPr>
        <w:t>auf seine Inhaltsstoffe geprüft wird und welche Normen diesbezüglich gelten sollen.</w:t>
      </w:r>
      <w:r w:rsidR="00086CB5" w:rsidRPr="00762252">
        <w:rPr>
          <w:szCs w:val="22"/>
        </w:rPr>
        <w:t xml:space="preserve"> </w:t>
      </w:r>
    </w:p>
    <w:p w14:paraId="2225755E" w14:textId="21A8BEB1" w:rsidR="0090385B" w:rsidRPr="00762252" w:rsidRDefault="00BB75AC" w:rsidP="00C51DDC">
      <w:pPr>
        <w:pStyle w:val="berschrift3"/>
        <w:spacing w:line="276" w:lineRule="auto"/>
        <w:jc w:val="both"/>
      </w:pPr>
      <w:bookmarkStart w:id="15" w:name="_Toc349300344"/>
      <w:r w:rsidRPr="00762252">
        <w:t xml:space="preserve">Kaliforniens </w:t>
      </w:r>
      <w:r w:rsidR="00D01097">
        <w:t>Regulierung</w:t>
      </w:r>
      <w:r w:rsidRPr="00762252">
        <w:t>smodell</w:t>
      </w:r>
      <w:bookmarkEnd w:id="15"/>
    </w:p>
    <w:p w14:paraId="7804514D" w14:textId="4A77062F" w:rsidR="0076259F" w:rsidRDefault="004B7E24" w:rsidP="00C51DDC">
      <w:pPr>
        <w:spacing w:line="276" w:lineRule="auto"/>
        <w:jc w:val="both"/>
        <w:rPr>
          <w:rFonts w:cs="Times New Roman"/>
          <w:szCs w:val="22"/>
        </w:rPr>
      </w:pPr>
      <w:r>
        <w:rPr>
          <w:szCs w:val="22"/>
        </w:rPr>
        <w:t>Unabhängig vom Vorgehen einzelner Bundesstaaten ist bis heute jegl</w:t>
      </w:r>
      <w:r w:rsidR="00C51DDC">
        <w:rPr>
          <w:szCs w:val="22"/>
        </w:rPr>
        <w:t>icher Anbau, Produktion, Handel</w:t>
      </w:r>
      <w:r>
        <w:rPr>
          <w:szCs w:val="22"/>
        </w:rPr>
        <w:t xml:space="preserve">, Verkauf und auch der Konsum von Marihuana </w:t>
      </w:r>
      <w:r w:rsidR="00F4066D">
        <w:rPr>
          <w:szCs w:val="22"/>
        </w:rPr>
        <w:t xml:space="preserve">auf föderaler Ebene </w:t>
      </w:r>
      <w:r>
        <w:rPr>
          <w:szCs w:val="22"/>
        </w:rPr>
        <w:t>weiterhin illegal</w:t>
      </w:r>
      <w:r>
        <w:rPr>
          <w:szCs w:val="22"/>
        </w:rPr>
        <w:t>i</w:t>
      </w:r>
      <w:r>
        <w:rPr>
          <w:szCs w:val="22"/>
        </w:rPr>
        <w:t>siert. Diese rechtliche Regelung sorgt für kaum überbrück</w:t>
      </w:r>
      <w:r w:rsidR="00F4066D">
        <w:rPr>
          <w:szCs w:val="22"/>
        </w:rPr>
        <w:t xml:space="preserve">bare </w:t>
      </w:r>
      <w:r w:rsidR="00976F60">
        <w:rPr>
          <w:szCs w:val="22"/>
        </w:rPr>
        <w:t>Konflikte zwischen föderaler und bundesstaatlicher Gesetzgebung.</w:t>
      </w:r>
      <w:r>
        <w:rPr>
          <w:szCs w:val="22"/>
        </w:rPr>
        <w:t xml:space="preserve"> Diese wurden </w:t>
      </w:r>
      <w:r w:rsidR="00FA482B">
        <w:rPr>
          <w:szCs w:val="22"/>
        </w:rPr>
        <w:t xml:space="preserve">unter </w:t>
      </w:r>
      <w:r w:rsidR="00976F60">
        <w:rPr>
          <w:szCs w:val="22"/>
        </w:rPr>
        <w:t xml:space="preserve">der </w:t>
      </w:r>
      <w:r w:rsidR="00FA482B">
        <w:rPr>
          <w:szCs w:val="22"/>
        </w:rPr>
        <w:t xml:space="preserve">Präsidentschaft von </w:t>
      </w:r>
      <w:r w:rsidR="00976F60">
        <w:rPr>
          <w:szCs w:val="22"/>
        </w:rPr>
        <w:t>Obama</w:t>
      </w:r>
      <w:r>
        <w:rPr>
          <w:szCs w:val="22"/>
        </w:rPr>
        <w:t xml:space="preserve"> ge</w:t>
      </w:r>
      <w:r w:rsidR="00236F19">
        <w:rPr>
          <w:szCs w:val="22"/>
        </w:rPr>
        <w:t>mildert</w:t>
      </w:r>
      <w:r>
        <w:rPr>
          <w:szCs w:val="22"/>
        </w:rPr>
        <w:t xml:space="preserve">, indem </w:t>
      </w:r>
      <w:r w:rsidR="00FA482B">
        <w:rPr>
          <w:szCs w:val="22"/>
        </w:rPr>
        <w:t>von</w:t>
      </w:r>
      <w:r>
        <w:rPr>
          <w:szCs w:val="22"/>
        </w:rPr>
        <w:t xml:space="preserve"> föderaler Ebene </w:t>
      </w:r>
      <w:r w:rsidR="00FA482B">
        <w:rPr>
          <w:szCs w:val="22"/>
        </w:rPr>
        <w:t xml:space="preserve">auf Interventionen </w:t>
      </w:r>
      <w:r w:rsidR="00976F60">
        <w:rPr>
          <w:szCs w:val="22"/>
        </w:rPr>
        <w:t xml:space="preserve">weitgehend </w:t>
      </w:r>
      <w:r w:rsidR="00FA482B">
        <w:rPr>
          <w:szCs w:val="22"/>
        </w:rPr>
        <w:t xml:space="preserve">verzichtet wurde. </w:t>
      </w:r>
      <w:r w:rsidR="00976F60">
        <w:rPr>
          <w:szCs w:val="22"/>
        </w:rPr>
        <w:t>Allerdings wurde d</w:t>
      </w:r>
      <w:r w:rsidR="00FA482B">
        <w:rPr>
          <w:szCs w:val="22"/>
        </w:rPr>
        <w:t>iese „Politik des Stillhaltens“</w:t>
      </w:r>
      <w:r w:rsidR="00976F60">
        <w:rPr>
          <w:szCs w:val="22"/>
        </w:rPr>
        <w:t xml:space="preserve"> </w:t>
      </w:r>
      <w:r w:rsidR="00FA482B">
        <w:rPr>
          <w:szCs w:val="22"/>
        </w:rPr>
        <w:t>an Forderungen gebunden, die</w:t>
      </w:r>
      <w:r>
        <w:rPr>
          <w:szCs w:val="22"/>
        </w:rPr>
        <w:t xml:space="preserve"> </w:t>
      </w:r>
      <w:r w:rsidR="0076259F">
        <w:rPr>
          <w:szCs w:val="22"/>
        </w:rPr>
        <w:t xml:space="preserve">vom </w:t>
      </w:r>
      <w:r w:rsidR="0076259F" w:rsidRPr="00762252">
        <w:rPr>
          <w:rFonts w:cs="Times New Roman"/>
          <w:szCs w:val="22"/>
        </w:rPr>
        <w:t xml:space="preserve">Department of Justice’s Office </w:t>
      </w:r>
      <w:r w:rsidR="0076259F">
        <w:rPr>
          <w:rFonts w:cs="Times New Roman"/>
          <w:szCs w:val="22"/>
        </w:rPr>
        <w:t>der Vereinigten Staaten</w:t>
      </w:r>
      <w:r w:rsidR="0076259F" w:rsidRPr="00762252">
        <w:rPr>
          <w:rFonts w:cs="Times New Roman"/>
          <w:szCs w:val="22"/>
        </w:rPr>
        <w:t xml:space="preserve"> </w:t>
      </w:r>
      <w:r w:rsidR="0076259F">
        <w:rPr>
          <w:rFonts w:cs="Times New Roman"/>
          <w:szCs w:val="22"/>
        </w:rPr>
        <w:t xml:space="preserve">im Jahr </w:t>
      </w:r>
      <w:r w:rsidR="0076259F" w:rsidRPr="00762252">
        <w:rPr>
          <w:rFonts w:cs="Times New Roman"/>
          <w:szCs w:val="22"/>
        </w:rPr>
        <w:t>2013</w:t>
      </w:r>
      <w:r w:rsidR="0076259F">
        <w:rPr>
          <w:rStyle w:val="Funotenzeichen"/>
          <w:rFonts w:cs="Times New Roman"/>
          <w:szCs w:val="22"/>
        </w:rPr>
        <w:footnoteReference w:id="12"/>
      </w:r>
      <w:r w:rsidR="0076259F">
        <w:rPr>
          <w:rFonts w:cs="Times New Roman"/>
          <w:szCs w:val="22"/>
        </w:rPr>
        <w:t xml:space="preserve"> formuliert</w:t>
      </w:r>
      <w:r w:rsidR="00FA482B">
        <w:rPr>
          <w:rFonts w:cs="Times New Roman"/>
          <w:szCs w:val="22"/>
        </w:rPr>
        <w:t xml:space="preserve"> </w:t>
      </w:r>
      <w:r w:rsidR="007B4935">
        <w:rPr>
          <w:rFonts w:cs="Times New Roman"/>
          <w:szCs w:val="22"/>
        </w:rPr>
        <w:t xml:space="preserve">wurden </w:t>
      </w:r>
      <w:r w:rsidR="00976F60">
        <w:rPr>
          <w:rFonts w:cs="Times New Roman"/>
          <w:szCs w:val="22"/>
        </w:rPr>
        <w:t>und von allen Bundesstaaten bei e</w:t>
      </w:r>
      <w:r w:rsidR="00976F60">
        <w:rPr>
          <w:rFonts w:cs="Times New Roman"/>
          <w:szCs w:val="22"/>
        </w:rPr>
        <w:t>i</w:t>
      </w:r>
      <w:r w:rsidR="00976F60">
        <w:rPr>
          <w:rFonts w:cs="Times New Roman"/>
          <w:szCs w:val="22"/>
        </w:rPr>
        <w:t>ner Änderung ihrer Drogenp</w:t>
      </w:r>
      <w:r w:rsidR="007B4935">
        <w:rPr>
          <w:rFonts w:cs="Times New Roman"/>
          <w:szCs w:val="22"/>
        </w:rPr>
        <w:t>olitik respektiert werden müsse.</w:t>
      </w:r>
      <w:r w:rsidR="00976F60">
        <w:rPr>
          <w:rFonts w:cs="Times New Roman"/>
          <w:szCs w:val="22"/>
        </w:rPr>
        <w:t xml:space="preserve"> </w:t>
      </w:r>
      <w:r w:rsidR="00FA482B">
        <w:rPr>
          <w:rFonts w:cs="Times New Roman"/>
          <w:szCs w:val="22"/>
        </w:rPr>
        <w:t xml:space="preserve">Verstöße dagegen </w:t>
      </w:r>
      <w:r w:rsidR="0076259F">
        <w:rPr>
          <w:rFonts w:cs="Times New Roman"/>
          <w:szCs w:val="22"/>
        </w:rPr>
        <w:t xml:space="preserve">werden von den föderalen Verfolgungsbehörden auch weiterhin geprüft und ggf. </w:t>
      </w:r>
      <w:r w:rsidR="009F5278">
        <w:rPr>
          <w:rFonts w:cs="Times New Roman"/>
          <w:szCs w:val="22"/>
        </w:rPr>
        <w:t xml:space="preserve">auch </w:t>
      </w:r>
      <w:r w:rsidR="007B4935">
        <w:rPr>
          <w:rFonts w:cs="Times New Roman"/>
          <w:szCs w:val="22"/>
        </w:rPr>
        <w:t>s</w:t>
      </w:r>
      <w:r w:rsidR="0076259F">
        <w:rPr>
          <w:rFonts w:cs="Times New Roman"/>
          <w:szCs w:val="22"/>
        </w:rPr>
        <w:t>traf</w:t>
      </w:r>
      <w:r w:rsidR="007B4935">
        <w:rPr>
          <w:rFonts w:cs="Times New Roman"/>
          <w:szCs w:val="22"/>
        </w:rPr>
        <w:t>rechtlich</w:t>
      </w:r>
      <w:r w:rsidR="009F5278">
        <w:rPr>
          <w:rFonts w:cs="Times New Roman"/>
          <w:szCs w:val="22"/>
        </w:rPr>
        <w:t xml:space="preserve"> (nicht als Ordnungs</w:t>
      </w:r>
      <w:r w:rsidR="00236F19">
        <w:rPr>
          <w:rFonts w:cs="Times New Roman"/>
          <w:szCs w:val="22"/>
        </w:rPr>
        <w:t>widrigkeit</w:t>
      </w:r>
      <w:r w:rsidR="009F5278">
        <w:rPr>
          <w:rFonts w:cs="Times New Roman"/>
          <w:szCs w:val="22"/>
        </w:rPr>
        <w:t xml:space="preserve">) </w:t>
      </w:r>
      <w:r w:rsidR="0076259F">
        <w:rPr>
          <w:rFonts w:cs="Times New Roman"/>
          <w:szCs w:val="22"/>
        </w:rPr>
        <w:t xml:space="preserve">verfolgt. </w:t>
      </w:r>
    </w:p>
    <w:p w14:paraId="716E8B73" w14:textId="77777777" w:rsidR="00D4766F" w:rsidRDefault="00D4766F" w:rsidP="00C51DDC">
      <w:pPr>
        <w:spacing w:line="276" w:lineRule="auto"/>
        <w:jc w:val="both"/>
        <w:rPr>
          <w:rFonts w:cs="Times New Roman"/>
          <w:szCs w:val="22"/>
        </w:rPr>
      </w:pPr>
    </w:p>
    <w:p w14:paraId="6E59E2C1" w14:textId="4929F9AE" w:rsidR="0076259F" w:rsidRPr="009703BF" w:rsidRDefault="00F4066D" w:rsidP="00C51DDC">
      <w:pPr>
        <w:spacing w:line="276" w:lineRule="auto"/>
        <w:jc w:val="both"/>
        <w:rPr>
          <w:rFonts w:cs="Times New Roman"/>
          <w:szCs w:val="22"/>
        </w:rPr>
      </w:pPr>
      <w:r>
        <w:rPr>
          <w:rFonts w:cs="Times New Roman"/>
          <w:szCs w:val="22"/>
        </w:rPr>
        <w:t>In diesem Zusammenhang haben d</w:t>
      </w:r>
      <w:r w:rsidR="0076259F">
        <w:rPr>
          <w:rFonts w:cs="Times New Roman"/>
          <w:szCs w:val="22"/>
        </w:rPr>
        <w:t>ie</w:t>
      </w:r>
      <w:r w:rsidR="00FA482B">
        <w:rPr>
          <w:rFonts w:cs="Times New Roman"/>
          <w:szCs w:val="22"/>
        </w:rPr>
        <w:t xml:space="preserve"> </w:t>
      </w:r>
      <w:r>
        <w:rPr>
          <w:rFonts w:cs="Times New Roman"/>
          <w:szCs w:val="22"/>
        </w:rPr>
        <w:t xml:space="preserve">einzelnen </w:t>
      </w:r>
      <w:r w:rsidR="0076259F">
        <w:rPr>
          <w:rFonts w:cs="Times New Roman"/>
          <w:szCs w:val="22"/>
        </w:rPr>
        <w:t xml:space="preserve">Bundesstaaten unter Androhung von Strafe </w:t>
      </w:r>
      <w:r w:rsidR="00FA482B">
        <w:rPr>
          <w:rFonts w:cs="Times New Roman"/>
          <w:szCs w:val="22"/>
        </w:rPr>
        <w:t>fo</w:t>
      </w:r>
      <w:r w:rsidR="00FA482B">
        <w:rPr>
          <w:rFonts w:cs="Times New Roman"/>
          <w:szCs w:val="22"/>
        </w:rPr>
        <w:t>l</w:t>
      </w:r>
      <w:r w:rsidR="00FA482B">
        <w:rPr>
          <w:rFonts w:cs="Times New Roman"/>
          <w:szCs w:val="22"/>
        </w:rPr>
        <w:t xml:space="preserve">gende acht Grundforderungen </w:t>
      </w:r>
      <w:r w:rsidR="0076259F">
        <w:rPr>
          <w:rFonts w:cs="Times New Roman"/>
          <w:szCs w:val="22"/>
        </w:rPr>
        <w:t xml:space="preserve">zu </w:t>
      </w:r>
      <w:r w:rsidR="0076259F" w:rsidRPr="009703BF">
        <w:rPr>
          <w:rFonts w:cs="Times New Roman"/>
          <w:szCs w:val="22"/>
        </w:rPr>
        <w:t>respektieren</w:t>
      </w:r>
      <w:r w:rsidRPr="009703BF">
        <w:rPr>
          <w:rFonts w:cs="Times New Roman"/>
          <w:szCs w:val="22"/>
        </w:rPr>
        <w:t xml:space="preserve"> (vgl. </w:t>
      </w:r>
      <w:r w:rsidR="009703BF" w:rsidRPr="009703BF">
        <w:rPr>
          <w:rFonts w:cs="Times New Roman"/>
          <w:szCs w:val="22"/>
        </w:rPr>
        <w:t>U.S. Department of Justice, Office of the d</w:t>
      </w:r>
      <w:r w:rsidR="009703BF" w:rsidRPr="009703BF">
        <w:rPr>
          <w:rFonts w:cs="Times New Roman"/>
          <w:szCs w:val="22"/>
        </w:rPr>
        <w:t>e</w:t>
      </w:r>
      <w:r w:rsidR="009703BF" w:rsidRPr="009703BF">
        <w:rPr>
          <w:rFonts w:cs="Times New Roman"/>
          <w:szCs w:val="22"/>
        </w:rPr>
        <w:t>puty</w:t>
      </w:r>
      <w:r w:rsidR="009703BF">
        <w:rPr>
          <w:rFonts w:cs="Times New Roman"/>
          <w:szCs w:val="22"/>
        </w:rPr>
        <w:t>  2014</w:t>
      </w:r>
      <w:r w:rsidR="00BA3726" w:rsidRPr="009703BF">
        <w:rPr>
          <w:rFonts w:cs="Times New Roman"/>
          <w:szCs w:val="22"/>
        </w:rPr>
        <w:t>)</w:t>
      </w:r>
      <w:r w:rsidR="0076259F" w:rsidRPr="009703BF">
        <w:rPr>
          <w:rFonts w:cs="Times New Roman"/>
          <w:szCs w:val="22"/>
        </w:rPr>
        <w:t>:</w:t>
      </w:r>
    </w:p>
    <w:p w14:paraId="095CEA25" w14:textId="77777777" w:rsidR="0076259F" w:rsidRPr="008D490E" w:rsidRDefault="0076259F" w:rsidP="00F67143">
      <w:pPr>
        <w:pStyle w:val="Listenabsatz"/>
        <w:numPr>
          <w:ilvl w:val="0"/>
          <w:numId w:val="7"/>
        </w:numPr>
        <w:spacing w:line="276" w:lineRule="auto"/>
        <w:jc w:val="both"/>
        <w:rPr>
          <w:rFonts w:cs="Arial"/>
          <w:szCs w:val="22"/>
        </w:rPr>
      </w:pPr>
      <w:r w:rsidRPr="008D490E">
        <w:rPr>
          <w:rFonts w:cs="Arial"/>
          <w:szCs w:val="22"/>
        </w:rPr>
        <w:t>Verhinderung der Weitergabe von Marihuana an Minderjährige</w:t>
      </w:r>
      <w:r>
        <w:rPr>
          <w:rFonts w:cs="Arial"/>
          <w:szCs w:val="22"/>
        </w:rPr>
        <w:t>,</w:t>
      </w:r>
    </w:p>
    <w:p w14:paraId="4C8F53CC" w14:textId="19A0868C" w:rsidR="0076259F" w:rsidRPr="008D490E" w:rsidRDefault="0076259F" w:rsidP="00F67143">
      <w:pPr>
        <w:pStyle w:val="Listenabsatz"/>
        <w:numPr>
          <w:ilvl w:val="0"/>
          <w:numId w:val="7"/>
        </w:numPr>
        <w:spacing w:line="276" w:lineRule="auto"/>
        <w:jc w:val="both"/>
        <w:rPr>
          <w:rFonts w:cs="Arial"/>
          <w:szCs w:val="22"/>
        </w:rPr>
      </w:pPr>
      <w:r w:rsidRPr="008D490E">
        <w:rPr>
          <w:rFonts w:cs="Arial"/>
          <w:szCs w:val="22"/>
        </w:rPr>
        <w:t xml:space="preserve">Verhinderung eines Transfers von Geld aus dem Verkauf von Marihuana </w:t>
      </w:r>
      <w:r w:rsidR="00976F60">
        <w:rPr>
          <w:rFonts w:cs="Arial"/>
          <w:szCs w:val="22"/>
        </w:rPr>
        <w:t>in</w:t>
      </w:r>
      <w:r w:rsidRPr="008D490E">
        <w:rPr>
          <w:rFonts w:cs="Arial"/>
          <w:szCs w:val="22"/>
        </w:rPr>
        <w:t xml:space="preserve"> kriminelle Geschäfte, Banden und Kartelle</w:t>
      </w:r>
      <w:r>
        <w:rPr>
          <w:rFonts w:cs="Arial"/>
          <w:szCs w:val="22"/>
        </w:rPr>
        <w:t>,</w:t>
      </w:r>
    </w:p>
    <w:p w14:paraId="318EA874" w14:textId="77777777" w:rsidR="0076259F" w:rsidRPr="008D490E" w:rsidRDefault="0076259F" w:rsidP="00F67143">
      <w:pPr>
        <w:pStyle w:val="Listenabsatz"/>
        <w:numPr>
          <w:ilvl w:val="0"/>
          <w:numId w:val="7"/>
        </w:numPr>
        <w:spacing w:line="276" w:lineRule="auto"/>
        <w:jc w:val="both"/>
        <w:rPr>
          <w:rFonts w:cs="Arial"/>
          <w:szCs w:val="22"/>
        </w:rPr>
      </w:pPr>
      <w:r w:rsidRPr="008D490E">
        <w:rPr>
          <w:rFonts w:cs="Arial"/>
          <w:szCs w:val="22"/>
        </w:rPr>
        <w:t xml:space="preserve">Verhinderung des Transfers von Marihuana aus Bundesstaaten, in denen es legal ist, in andere Bundesstaaten, </w:t>
      </w:r>
    </w:p>
    <w:p w14:paraId="48E140D5" w14:textId="37878123" w:rsidR="0076259F" w:rsidRPr="008D490E" w:rsidRDefault="0076259F" w:rsidP="00F67143">
      <w:pPr>
        <w:pStyle w:val="Listenabsatz"/>
        <w:numPr>
          <w:ilvl w:val="0"/>
          <w:numId w:val="7"/>
        </w:numPr>
        <w:spacing w:line="276" w:lineRule="auto"/>
        <w:jc w:val="both"/>
        <w:rPr>
          <w:rFonts w:cs="Arial"/>
          <w:szCs w:val="22"/>
        </w:rPr>
      </w:pPr>
      <w:r w:rsidRPr="008D490E">
        <w:rPr>
          <w:rFonts w:cs="Arial"/>
          <w:szCs w:val="22"/>
        </w:rPr>
        <w:t>Verhinderung</w:t>
      </w:r>
      <w:r w:rsidR="00551306">
        <w:rPr>
          <w:rFonts w:cs="Arial"/>
          <w:szCs w:val="22"/>
        </w:rPr>
        <w:t xml:space="preserve"> der Nutzung </w:t>
      </w:r>
      <w:r w:rsidRPr="008D490E">
        <w:rPr>
          <w:rFonts w:cs="Arial"/>
          <w:szCs w:val="22"/>
        </w:rPr>
        <w:t>bundesstaatlich zugelassene</w:t>
      </w:r>
      <w:r w:rsidR="00551306">
        <w:rPr>
          <w:rFonts w:cs="Arial"/>
          <w:szCs w:val="22"/>
        </w:rPr>
        <w:t>r</w:t>
      </w:r>
      <w:r w:rsidRPr="008D490E">
        <w:rPr>
          <w:rFonts w:cs="Arial"/>
          <w:szCs w:val="22"/>
        </w:rPr>
        <w:t xml:space="preserve"> Aktivitäten rund um Marihu</w:t>
      </w:r>
      <w:r w:rsidRPr="008D490E">
        <w:rPr>
          <w:rFonts w:cs="Arial"/>
          <w:szCs w:val="22"/>
        </w:rPr>
        <w:t>a</w:t>
      </w:r>
      <w:r w:rsidRPr="008D490E">
        <w:rPr>
          <w:rFonts w:cs="Arial"/>
          <w:szCs w:val="22"/>
        </w:rPr>
        <w:t>na, um andere illegalisierte Drogen oder andere illegale Aktivitä</w:t>
      </w:r>
      <w:r>
        <w:rPr>
          <w:rFonts w:cs="Arial"/>
          <w:szCs w:val="22"/>
        </w:rPr>
        <w:t>ten zu tarnen,</w:t>
      </w:r>
    </w:p>
    <w:p w14:paraId="04810B4B" w14:textId="51439B3F" w:rsidR="0076259F" w:rsidRPr="008D490E" w:rsidRDefault="0076259F" w:rsidP="00F67143">
      <w:pPr>
        <w:pStyle w:val="Listenabsatz"/>
        <w:numPr>
          <w:ilvl w:val="0"/>
          <w:numId w:val="7"/>
        </w:numPr>
        <w:spacing w:line="276" w:lineRule="auto"/>
        <w:jc w:val="both"/>
        <w:rPr>
          <w:rFonts w:cs="Arial"/>
          <w:szCs w:val="22"/>
        </w:rPr>
      </w:pPr>
      <w:r w:rsidRPr="008D490E">
        <w:rPr>
          <w:rFonts w:cs="Arial"/>
          <w:szCs w:val="22"/>
        </w:rPr>
        <w:t>Verhinderung des Einsatzes von Gewalt und Schusswaffen im Rahmen der Kultivierung und</w:t>
      </w:r>
      <w:r>
        <w:rPr>
          <w:rFonts w:cs="Arial"/>
          <w:szCs w:val="22"/>
        </w:rPr>
        <w:t xml:space="preserve"> Distribution von Marihuana,</w:t>
      </w:r>
    </w:p>
    <w:p w14:paraId="659ADC8A" w14:textId="77777777" w:rsidR="0076259F" w:rsidRPr="008D490E" w:rsidRDefault="0076259F" w:rsidP="00F67143">
      <w:pPr>
        <w:pStyle w:val="Listenabsatz"/>
        <w:numPr>
          <w:ilvl w:val="0"/>
          <w:numId w:val="7"/>
        </w:numPr>
        <w:spacing w:line="276" w:lineRule="auto"/>
        <w:jc w:val="both"/>
        <w:rPr>
          <w:rFonts w:cs="Arial"/>
          <w:szCs w:val="22"/>
        </w:rPr>
      </w:pPr>
      <w:r w:rsidRPr="008D490E">
        <w:rPr>
          <w:rFonts w:cs="Arial"/>
          <w:szCs w:val="22"/>
        </w:rPr>
        <w:t>Verhinderung des Fahrens unter Drogeneinfluss und einer Verschlechterung in der ö</w:t>
      </w:r>
      <w:r w:rsidRPr="008D490E">
        <w:rPr>
          <w:rFonts w:cs="Arial"/>
          <w:szCs w:val="22"/>
        </w:rPr>
        <w:t>f</w:t>
      </w:r>
      <w:r w:rsidRPr="008D490E">
        <w:rPr>
          <w:rFonts w:cs="Arial"/>
          <w:szCs w:val="22"/>
        </w:rPr>
        <w:t xml:space="preserve">fentlichen Gesundheit, </w:t>
      </w:r>
      <w:r>
        <w:rPr>
          <w:rFonts w:cs="Arial"/>
          <w:szCs w:val="22"/>
        </w:rPr>
        <w:t xml:space="preserve">soweit </w:t>
      </w:r>
      <w:r w:rsidRPr="008D490E">
        <w:rPr>
          <w:rFonts w:cs="Arial"/>
          <w:szCs w:val="22"/>
        </w:rPr>
        <w:t>die</w:t>
      </w:r>
      <w:r>
        <w:rPr>
          <w:rFonts w:cs="Arial"/>
          <w:szCs w:val="22"/>
        </w:rPr>
        <w:t>se</w:t>
      </w:r>
      <w:r w:rsidRPr="008D490E">
        <w:rPr>
          <w:rFonts w:cs="Arial"/>
          <w:szCs w:val="22"/>
        </w:rPr>
        <w:t xml:space="preserve"> mit dem Marihuana-Konsum in Verbindung gebracht wer</w:t>
      </w:r>
      <w:r>
        <w:rPr>
          <w:rFonts w:cs="Arial"/>
          <w:szCs w:val="22"/>
        </w:rPr>
        <w:t>den kann,</w:t>
      </w:r>
    </w:p>
    <w:p w14:paraId="010B7EFE" w14:textId="77777777" w:rsidR="0076259F" w:rsidRPr="008D490E" w:rsidRDefault="0076259F" w:rsidP="00F67143">
      <w:pPr>
        <w:pStyle w:val="Listenabsatz"/>
        <w:numPr>
          <w:ilvl w:val="0"/>
          <w:numId w:val="7"/>
        </w:numPr>
        <w:spacing w:line="276" w:lineRule="auto"/>
        <w:jc w:val="both"/>
        <w:rPr>
          <w:rFonts w:cs="Arial"/>
          <w:szCs w:val="22"/>
        </w:rPr>
      </w:pPr>
      <w:r w:rsidRPr="008D490E">
        <w:rPr>
          <w:rFonts w:cs="Arial"/>
          <w:szCs w:val="22"/>
        </w:rPr>
        <w:t xml:space="preserve">Verhinderung des Anbaus und der Produktion von Marihuana auf öffentlichen Plätzen und Anlagen und </w:t>
      </w:r>
      <w:r>
        <w:rPr>
          <w:rFonts w:cs="Arial"/>
          <w:szCs w:val="22"/>
        </w:rPr>
        <w:t>das</w:t>
      </w:r>
      <w:r w:rsidRPr="008D490E">
        <w:rPr>
          <w:rFonts w:cs="Arial"/>
          <w:szCs w:val="22"/>
        </w:rPr>
        <w:t xml:space="preserve"> Unterbinden damit verbundener Gefahren für die öffentlichen S</w:t>
      </w:r>
      <w:r w:rsidRPr="008D490E">
        <w:rPr>
          <w:rFonts w:cs="Arial"/>
          <w:szCs w:val="22"/>
        </w:rPr>
        <w:t>i</w:t>
      </w:r>
      <w:r w:rsidRPr="008D490E">
        <w:rPr>
          <w:rFonts w:cs="Arial"/>
          <w:szCs w:val="22"/>
        </w:rPr>
        <w:t>cherheit und die Umwelt</w:t>
      </w:r>
      <w:r>
        <w:rPr>
          <w:rFonts w:cs="Arial"/>
          <w:szCs w:val="22"/>
        </w:rPr>
        <w:t>,</w:t>
      </w:r>
      <w:r w:rsidRPr="008D490E">
        <w:rPr>
          <w:rFonts w:cs="Arial"/>
          <w:szCs w:val="22"/>
        </w:rPr>
        <w:t xml:space="preserve"> </w:t>
      </w:r>
    </w:p>
    <w:p w14:paraId="3113761F" w14:textId="77777777" w:rsidR="0076259F" w:rsidRPr="008D490E" w:rsidRDefault="0076259F" w:rsidP="00F67143">
      <w:pPr>
        <w:pStyle w:val="Listenabsatz"/>
        <w:numPr>
          <w:ilvl w:val="0"/>
          <w:numId w:val="7"/>
        </w:numPr>
        <w:spacing w:line="276" w:lineRule="auto"/>
        <w:jc w:val="both"/>
        <w:rPr>
          <w:rFonts w:cs="Arial"/>
          <w:szCs w:val="22"/>
        </w:rPr>
      </w:pPr>
      <w:r w:rsidRPr="008D490E">
        <w:rPr>
          <w:rFonts w:cs="Arial"/>
          <w:szCs w:val="22"/>
        </w:rPr>
        <w:t>Verhinderung von Marihuana-Besitz und Konsum in oder auf nationalem Eigentum</w:t>
      </w:r>
      <w:r>
        <w:rPr>
          <w:rFonts w:cs="Arial"/>
          <w:szCs w:val="22"/>
        </w:rPr>
        <w:t>.</w:t>
      </w:r>
    </w:p>
    <w:p w14:paraId="6471F900" w14:textId="77777777" w:rsidR="00551306" w:rsidRDefault="00551306" w:rsidP="00C51DDC">
      <w:pPr>
        <w:pStyle w:val="KeinLeerraum"/>
        <w:jc w:val="both"/>
      </w:pPr>
    </w:p>
    <w:p w14:paraId="78FB14E1" w14:textId="57A535C5" w:rsidR="0076259F" w:rsidRDefault="00FA482B" w:rsidP="00C51DDC">
      <w:pPr>
        <w:widowControl w:val="0"/>
        <w:autoSpaceDE w:val="0"/>
        <w:autoSpaceDN w:val="0"/>
        <w:adjustRightInd w:val="0"/>
        <w:spacing w:after="240" w:line="276" w:lineRule="auto"/>
        <w:jc w:val="both"/>
        <w:rPr>
          <w:rFonts w:cs="Times"/>
          <w:szCs w:val="22"/>
        </w:rPr>
      </w:pPr>
      <w:r>
        <w:rPr>
          <w:rFonts w:cs="Times"/>
          <w:szCs w:val="22"/>
        </w:rPr>
        <w:t>M</w:t>
      </w:r>
      <w:r w:rsidR="0076259F">
        <w:rPr>
          <w:rFonts w:cs="Times"/>
          <w:szCs w:val="22"/>
        </w:rPr>
        <w:t xml:space="preserve">it </w:t>
      </w:r>
      <w:r>
        <w:rPr>
          <w:rFonts w:cs="Times"/>
          <w:szCs w:val="22"/>
        </w:rPr>
        <w:t xml:space="preserve">diesem Forderungskatalog </w:t>
      </w:r>
      <w:r w:rsidR="0076259F">
        <w:rPr>
          <w:rFonts w:cs="Times"/>
          <w:szCs w:val="22"/>
        </w:rPr>
        <w:t xml:space="preserve">sind den einzelnen Bundesstaaten wichtige Vorgaben für die Formulierung </w:t>
      </w:r>
      <w:r w:rsidR="00BA3726">
        <w:rPr>
          <w:rFonts w:cs="Times"/>
          <w:szCs w:val="22"/>
        </w:rPr>
        <w:t xml:space="preserve">sowohl </w:t>
      </w:r>
      <w:r w:rsidR="0076259F">
        <w:rPr>
          <w:rFonts w:cs="Times"/>
          <w:szCs w:val="22"/>
        </w:rPr>
        <w:t xml:space="preserve">ihrer </w:t>
      </w:r>
      <w:r w:rsidR="00BA3726">
        <w:rPr>
          <w:rFonts w:cs="Times"/>
          <w:szCs w:val="22"/>
        </w:rPr>
        <w:t xml:space="preserve">eigenen </w:t>
      </w:r>
      <w:r w:rsidR="0076259F">
        <w:rPr>
          <w:rFonts w:cs="Times"/>
          <w:szCs w:val="22"/>
        </w:rPr>
        <w:t xml:space="preserve">drogenpolitischen Regeln als auch für </w:t>
      </w:r>
      <w:r w:rsidR="00F60A6E">
        <w:rPr>
          <w:rFonts w:cs="Times"/>
          <w:szCs w:val="22"/>
        </w:rPr>
        <w:t xml:space="preserve">die </w:t>
      </w:r>
      <w:r w:rsidR="0076259F">
        <w:rPr>
          <w:rFonts w:cs="Times"/>
          <w:szCs w:val="22"/>
        </w:rPr>
        <w:t>zu erbringende</w:t>
      </w:r>
      <w:r w:rsidR="00F60A6E">
        <w:rPr>
          <w:rFonts w:cs="Times"/>
          <w:szCs w:val="22"/>
        </w:rPr>
        <w:t>n</w:t>
      </w:r>
      <w:r w:rsidR="0076259F">
        <w:rPr>
          <w:rFonts w:cs="Times"/>
          <w:szCs w:val="22"/>
        </w:rPr>
        <w:t xml:space="preserve"> Nachweise, ob und wie diese Vorgaben eingehalten werden</w:t>
      </w:r>
      <w:r w:rsidR="007B4935">
        <w:rPr>
          <w:rFonts w:cs="Times"/>
          <w:szCs w:val="22"/>
        </w:rPr>
        <w:t>,</w:t>
      </w:r>
      <w:r w:rsidR="007B4935" w:rsidRPr="007B4935">
        <w:rPr>
          <w:rFonts w:cs="Times"/>
          <w:szCs w:val="22"/>
        </w:rPr>
        <w:t xml:space="preserve"> </w:t>
      </w:r>
      <w:r w:rsidR="007B4935">
        <w:rPr>
          <w:rFonts w:cs="Times"/>
          <w:szCs w:val="22"/>
        </w:rPr>
        <w:t>auferlegt</w:t>
      </w:r>
      <w:r w:rsidR="0076259F">
        <w:rPr>
          <w:rFonts w:cs="Times"/>
          <w:szCs w:val="22"/>
        </w:rPr>
        <w:t xml:space="preserve">. </w:t>
      </w:r>
      <w:r w:rsidR="00F60A6E">
        <w:rPr>
          <w:rFonts w:cs="Times"/>
          <w:szCs w:val="22"/>
        </w:rPr>
        <w:t>Indem d</w:t>
      </w:r>
      <w:r w:rsidR="00614CDF">
        <w:rPr>
          <w:rFonts w:cs="Times"/>
          <w:szCs w:val="22"/>
        </w:rPr>
        <w:t xml:space="preserve">iese </w:t>
      </w:r>
      <w:r w:rsidR="00F60A6E">
        <w:rPr>
          <w:rFonts w:cs="Times"/>
          <w:szCs w:val="22"/>
        </w:rPr>
        <w:t xml:space="preserve">Forderungen unübersehbar auf hypothetische Annahmen zu den Effekten der </w:t>
      </w:r>
      <w:r w:rsidR="00D01097">
        <w:rPr>
          <w:rFonts w:cs="Times"/>
          <w:szCs w:val="22"/>
        </w:rPr>
        <w:t>Regulierung</w:t>
      </w:r>
      <w:r w:rsidR="00F60A6E">
        <w:rPr>
          <w:rFonts w:cs="Times"/>
          <w:szCs w:val="22"/>
        </w:rPr>
        <w:t xml:space="preserve"> Bezug nehmen, </w:t>
      </w:r>
      <w:r w:rsidR="00614CDF">
        <w:rPr>
          <w:rFonts w:cs="Times"/>
          <w:szCs w:val="22"/>
        </w:rPr>
        <w:t xml:space="preserve">beeinflussen </w:t>
      </w:r>
      <w:r w:rsidR="00F60A6E">
        <w:rPr>
          <w:rFonts w:cs="Times"/>
          <w:szCs w:val="22"/>
        </w:rPr>
        <w:t xml:space="preserve">sie </w:t>
      </w:r>
      <w:r w:rsidR="00614CDF">
        <w:rPr>
          <w:rFonts w:cs="Times"/>
          <w:szCs w:val="22"/>
        </w:rPr>
        <w:t>ohne Zweifel auch</w:t>
      </w:r>
      <w:r w:rsidR="00F60A6E">
        <w:rPr>
          <w:rFonts w:cs="Times"/>
          <w:szCs w:val="22"/>
        </w:rPr>
        <w:t>, was und wie ein Monitoring des drogenpolitischen Shifts</w:t>
      </w:r>
      <w:r w:rsidR="00614CDF">
        <w:rPr>
          <w:rFonts w:cs="Times"/>
          <w:szCs w:val="22"/>
        </w:rPr>
        <w:t xml:space="preserve"> </w:t>
      </w:r>
      <w:r w:rsidR="00F60A6E">
        <w:rPr>
          <w:rFonts w:cs="Times"/>
          <w:szCs w:val="22"/>
        </w:rPr>
        <w:t>auszusehen hat</w:t>
      </w:r>
      <w:r w:rsidR="00614CDF">
        <w:rPr>
          <w:rFonts w:cs="Times"/>
          <w:szCs w:val="22"/>
        </w:rPr>
        <w:t xml:space="preserve">. </w:t>
      </w:r>
      <w:r w:rsidR="00F60A6E">
        <w:rPr>
          <w:rFonts w:cs="Times"/>
          <w:szCs w:val="22"/>
        </w:rPr>
        <w:t>Die Notwendigkeit einer wissenschaftlichen Begleitung, die offen für verschi</w:t>
      </w:r>
      <w:r w:rsidR="00F60A6E">
        <w:rPr>
          <w:rFonts w:cs="Times"/>
          <w:szCs w:val="22"/>
        </w:rPr>
        <w:t>e</w:t>
      </w:r>
      <w:r w:rsidR="00F60A6E">
        <w:rPr>
          <w:rFonts w:cs="Times"/>
          <w:szCs w:val="22"/>
        </w:rPr>
        <w:t xml:space="preserve">dene Facetten dieses Politikwechsels und die damit verbundenen sozialen Prozesse </w:t>
      </w:r>
      <w:r w:rsidR="00D4766F">
        <w:rPr>
          <w:rFonts w:cs="Times"/>
          <w:szCs w:val="22"/>
        </w:rPr>
        <w:t xml:space="preserve">ist, </w:t>
      </w:r>
      <w:r w:rsidR="007B4935">
        <w:rPr>
          <w:rFonts w:cs="Times"/>
          <w:szCs w:val="22"/>
        </w:rPr>
        <w:t>ist</w:t>
      </w:r>
      <w:r w:rsidR="00D4766F">
        <w:rPr>
          <w:rFonts w:cs="Times"/>
          <w:szCs w:val="22"/>
        </w:rPr>
        <w:t xml:space="preserve"> </w:t>
      </w:r>
      <w:r w:rsidR="007B4935">
        <w:rPr>
          <w:rFonts w:cs="Times"/>
          <w:szCs w:val="22"/>
        </w:rPr>
        <w:t>aber</w:t>
      </w:r>
      <w:r w:rsidR="00D4766F">
        <w:rPr>
          <w:rFonts w:cs="Times"/>
          <w:szCs w:val="22"/>
        </w:rPr>
        <w:t xml:space="preserve"> unübersehbar. </w:t>
      </w:r>
    </w:p>
    <w:p w14:paraId="29A79921" w14:textId="6862FF76" w:rsidR="00236F19" w:rsidRDefault="00D4766F" w:rsidP="002E7129">
      <w:pPr>
        <w:pStyle w:val="KeinLeerraum"/>
        <w:spacing w:line="276" w:lineRule="auto"/>
        <w:jc w:val="both"/>
      </w:pPr>
      <w:r w:rsidRPr="00D4766F">
        <w:t xml:space="preserve">Die Bürger Kaliforniens haben am 08. November 2016 der Gesetzinitiative </w:t>
      </w:r>
      <w:r w:rsidR="009703BF">
        <w:t>„T</w:t>
      </w:r>
      <w:r w:rsidRPr="00D4766F">
        <w:rPr>
          <w:color w:val="000000"/>
        </w:rPr>
        <w:t>he Control, Regul</w:t>
      </w:r>
      <w:r w:rsidRPr="00D4766F">
        <w:rPr>
          <w:color w:val="000000"/>
        </w:rPr>
        <w:t>a</w:t>
      </w:r>
      <w:r w:rsidRPr="00D4766F">
        <w:rPr>
          <w:color w:val="000000"/>
        </w:rPr>
        <w:t>te and Tax Adult Use of Mari</w:t>
      </w:r>
      <w:r w:rsidR="00551306">
        <w:rPr>
          <w:color w:val="000000"/>
        </w:rPr>
        <w:t>juana Act</w:t>
      </w:r>
      <w:r w:rsidR="009703BF">
        <w:rPr>
          <w:color w:val="000000"/>
        </w:rPr>
        <w:t>“</w:t>
      </w:r>
      <w:r w:rsidR="00551306">
        <w:rPr>
          <w:color w:val="000000"/>
        </w:rPr>
        <w:t xml:space="preserve"> („T</w:t>
      </w:r>
      <w:r w:rsidRPr="00D4766F">
        <w:rPr>
          <w:color w:val="000000"/>
        </w:rPr>
        <w:t xml:space="preserve">he Adult Use of Marijuana Act") </w:t>
      </w:r>
      <w:r w:rsidRPr="00D4766F">
        <w:t>zugestimmt; ein G</w:t>
      </w:r>
      <w:r w:rsidRPr="00D4766F">
        <w:t>e</w:t>
      </w:r>
      <w:r w:rsidRPr="00D4766F">
        <w:t xml:space="preserve">setzestext, der über 65 Seiten darstellt, </w:t>
      </w:r>
      <w:r>
        <w:t>nach welchen R</w:t>
      </w:r>
      <w:r w:rsidRPr="00D4766F">
        <w:t xml:space="preserve">egeln zukünftig die </w:t>
      </w:r>
      <w:r w:rsidR="00D01097">
        <w:t>Regulierung</w:t>
      </w:r>
      <w:r w:rsidRPr="00D4766F">
        <w:t xml:space="preserve"> von M</w:t>
      </w:r>
      <w:r w:rsidRPr="00D4766F">
        <w:t>a</w:t>
      </w:r>
      <w:r w:rsidRPr="00D4766F">
        <w:t xml:space="preserve">rihuana umgesetzt werden soll. </w:t>
      </w:r>
    </w:p>
    <w:p w14:paraId="02D9AC60" w14:textId="7F9745CD" w:rsidR="003869D2" w:rsidRDefault="00D4766F" w:rsidP="00C51DDC">
      <w:pPr>
        <w:pStyle w:val="KeinLeerraum"/>
        <w:spacing w:line="276" w:lineRule="auto"/>
        <w:jc w:val="both"/>
      </w:pPr>
      <w:r>
        <w:t>In diesem Text werden in einzelnen Abschnitten Regeln für jeweils unterschiedliche Bereiche formuliert. Dazu gehören</w:t>
      </w:r>
      <w:r w:rsidR="00C669F6">
        <w:t xml:space="preserve"> genaue Regeln zum persönlichen Kon</w:t>
      </w:r>
      <w:r w:rsidR="008D455D">
        <w:t>sum (wer, wo, wie);</w:t>
      </w:r>
      <w:r w:rsidR="00C669F6">
        <w:t xml:space="preserve"> wie der A</w:t>
      </w:r>
      <w:r w:rsidR="00C669F6">
        <w:t>n</w:t>
      </w:r>
      <w:r w:rsidR="00C669F6">
        <w:t>bau, die Ern</w:t>
      </w:r>
      <w:r w:rsidR="008D455D">
        <w:t>te und Lagerung zu erfolgen hat;</w:t>
      </w:r>
      <w:r w:rsidR="00C669F6">
        <w:t xml:space="preserve"> </w:t>
      </w:r>
      <w:r w:rsidR="008D455D">
        <w:t>welche</w:t>
      </w:r>
      <w:r w:rsidR="00551306">
        <w:t>n</w:t>
      </w:r>
      <w:r w:rsidR="008D455D">
        <w:t xml:space="preserve"> Qualitätsstan</w:t>
      </w:r>
      <w:r w:rsidR="008D455D" w:rsidRPr="008D455D">
        <w:t>dards das geerntete Mar</w:t>
      </w:r>
      <w:r w:rsidR="008D455D" w:rsidRPr="008D455D">
        <w:t>i</w:t>
      </w:r>
      <w:r w:rsidR="008D455D" w:rsidRPr="008D455D">
        <w:t xml:space="preserve">huana </w:t>
      </w:r>
      <w:r w:rsidR="00551306">
        <w:t>entsprechen</w:t>
      </w:r>
      <w:r w:rsidR="008D455D" w:rsidRPr="008D455D">
        <w:t xml:space="preserve"> muss und wie es diesbezüglich </w:t>
      </w:r>
      <w:r w:rsidR="008D455D">
        <w:t xml:space="preserve">zu </w:t>
      </w:r>
      <w:r w:rsidR="008D455D" w:rsidRPr="008D455D">
        <w:t>teste</w:t>
      </w:r>
      <w:r w:rsidR="008D455D">
        <w:t xml:space="preserve">n </w:t>
      </w:r>
      <w:r w:rsidR="00F53EBA">
        <w:t>ist;</w:t>
      </w:r>
      <w:r w:rsidR="008D455D">
        <w:t xml:space="preserve"> </w:t>
      </w:r>
      <w:r w:rsidR="00C669F6" w:rsidRPr="008D455D">
        <w:t>wie das Marihuana aufbereitet und anderen Produkten beigegeben werden darf (z. B. als Zusätze in Keksen, Süßigkeiten, ve</w:t>
      </w:r>
      <w:r w:rsidR="00C669F6" w:rsidRPr="008D455D">
        <w:t>r</w:t>
      </w:r>
      <w:r w:rsidR="00C669F6" w:rsidRPr="008D455D">
        <w:t>dampf</w:t>
      </w:r>
      <w:r w:rsidR="00F53EBA">
        <w:t>baren Ölen, als Setzlinge usw.);</w:t>
      </w:r>
      <w:r w:rsidR="00C669F6" w:rsidRPr="008D455D">
        <w:t xml:space="preserve"> Strafen für Erwachsene, die sich nicht an</w:t>
      </w:r>
      <w:r w:rsidR="00F53EBA">
        <w:t xml:space="preserve"> die vorgegeb</w:t>
      </w:r>
      <w:r w:rsidR="00F53EBA">
        <w:t>e</w:t>
      </w:r>
      <w:r w:rsidR="00F53EBA">
        <w:t>nen Regeln halten;</w:t>
      </w:r>
      <w:r w:rsidR="00C669F6" w:rsidRPr="008D455D">
        <w:t xml:space="preserve"> Regeln zum medizin</w:t>
      </w:r>
      <w:r w:rsidR="00F53EBA">
        <w:t>ischen Konsum;</w:t>
      </w:r>
      <w:r w:rsidR="00C669F6" w:rsidRPr="008D455D">
        <w:t xml:space="preserve"> Vorgaben für Händler und Verkäufer von Marihuana bis hin zur Art und Weise, wie die Produkte zu deklarieren und </w:t>
      </w:r>
      <w:r w:rsidR="008D455D">
        <w:t>k</w:t>
      </w:r>
      <w:r w:rsidR="00C669F6" w:rsidRPr="008D455D">
        <w:t>indersicher</w:t>
      </w:r>
      <w:r w:rsidR="008D455D">
        <w:t xml:space="preserve"> zu v</w:t>
      </w:r>
      <w:r w:rsidR="00C669F6" w:rsidRPr="008D455D">
        <w:t>erpack</w:t>
      </w:r>
      <w:r w:rsidR="008D455D">
        <w:t>en sind;</w:t>
      </w:r>
      <w:r w:rsidR="00C669F6" w:rsidRPr="008D455D">
        <w:t xml:space="preserve"> </w:t>
      </w:r>
      <w:r w:rsidR="00551306">
        <w:t>Regeln, wie der Anbau von Ma</w:t>
      </w:r>
      <w:r w:rsidR="007B4935">
        <w:t>rihuana durch dafür lizensierte Farmer</w:t>
      </w:r>
      <w:r w:rsidR="00551306">
        <w:t xml:space="preserve"> auszus</w:t>
      </w:r>
      <w:r w:rsidR="00551306">
        <w:t>e</w:t>
      </w:r>
      <w:r w:rsidR="00551306">
        <w:t>hen hat (u. a. Umgang mit den Ressourcen Wasser, Strom, Beseiti</w:t>
      </w:r>
      <w:r w:rsidR="00F53EBA">
        <w:t>gung von Abfällen);</w:t>
      </w:r>
      <w:r w:rsidR="00551306">
        <w:t xml:space="preserve"> eine Aufli</w:t>
      </w:r>
      <w:r w:rsidR="00551306">
        <w:t>s</w:t>
      </w:r>
      <w:r w:rsidR="00551306">
        <w:t>tung aller Lizenzen, die für den Anbau von Marihuana vergeben werden können (</w:t>
      </w:r>
      <w:r w:rsidR="00F53EBA">
        <w:t>differenziert</w:t>
      </w:r>
      <w:r w:rsidR="00551306">
        <w:t xml:space="preserve"> nach Größe und in Abhängigkeit von In- oder Out-door-Anbau), deren Preise und mit welchen Gründen diese wieder entzogen werden können; wer wie ein Antrag </w:t>
      </w:r>
      <w:r w:rsidR="00F53EBA">
        <w:t>auf eine Lizenz beantragen kann;</w:t>
      </w:r>
      <w:r w:rsidR="00551306">
        <w:t xml:space="preserve"> durch welche Maßnahmen gesichert werden soll, dass Marihuana nicht in</w:t>
      </w:r>
      <w:r w:rsidR="00F53EBA">
        <w:t xml:space="preserve"> die Hände J</w:t>
      </w:r>
      <w:r w:rsidR="00F53EBA">
        <w:t>u</w:t>
      </w:r>
      <w:r w:rsidR="00F53EBA">
        <w:t>gendlicher gelangt;</w:t>
      </w:r>
      <w:r w:rsidR="00551306">
        <w:t xml:space="preserve"> Beschränkungen für Marketing und Werbung; einzuführende Protokolle und Dokumentationen für </w:t>
      </w:r>
      <w:r w:rsidR="00F53EBA">
        <w:t xml:space="preserve">die Arbeit der </w:t>
      </w:r>
      <w:r w:rsidR="00551306">
        <w:t xml:space="preserve">Farmer, Produzenten, Händler und Verkäufer; Vorgaben </w:t>
      </w:r>
      <w:r w:rsidR="003C279A">
        <w:t>für die lokale</w:t>
      </w:r>
      <w:r w:rsidR="00551306">
        <w:t xml:space="preserve"> Kontrolle der Regeln und zu einem jährlichen Be</w:t>
      </w:r>
      <w:r w:rsidR="00F53EBA">
        <w:t>richtswesen;</w:t>
      </w:r>
      <w:r w:rsidR="00551306">
        <w:t xml:space="preserve"> Steuersätze, die bei den Farmern, Zwischenhändlern, Produzenten und Händlern zu erheben sind und welche Instituti</w:t>
      </w:r>
      <w:r w:rsidR="00551306">
        <w:t>o</w:t>
      </w:r>
      <w:r w:rsidR="00551306">
        <w:t>nen daraus welchen Anteil für ihre Ar</w:t>
      </w:r>
      <w:r w:rsidR="00F53EBA">
        <w:t>beit erhalten;</w:t>
      </w:r>
      <w:r w:rsidR="00551306">
        <w:t xml:space="preserve"> mit welchen Methoden mit Jugendlichen und Familien mit Marihuana-Problemen gearbeitet werden soll; wie Jugendliche zu bestrafen sind, die trotz Verbot Marihuana konsumieren</w:t>
      </w:r>
      <w:r w:rsidR="00551306">
        <w:rPr>
          <w:rStyle w:val="Funotenzeichen"/>
          <w:rFonts w:cs="Times"/>
          <w:szCs w:val="22"/>
        </w:rPr>
        <w:footnoteReference w:id="13"/>
      </w:r>
      <w:r w:rsidR="00F53EBA">
        <w:t>; R</w:t>
      </w:r>
      <w:r w:rsidR="00551306">
        <w:t>egeln zu Anbau, Produktion und Transport von Nutzhanf</w:t>
      </w:r>
      <w:r w:rsidR="00F53EBA">
        <w:t xml:space="preserve">; Anweisungen zum </w:t>
      </w:r>
      <w:r w:rsidR="008D455D" w:rsidRPr="008D455D">
        <w:t>Schaff</w:t>
      </w:r>
      <w:r w:rsidR="00F53EBA">
        <w:t xml:space="preserve">en </w:t>
      </w:r>
      <w:r w:rsidR="008D455D" w:rsidRPr="008D455D">
        <w:t>einer Behörde (</w:t>
      </w:r>
      <w:r w:rsidR="008D455D" w:rsidRPr="008D455D">
        <w:rPr>
          <w:iCs/>
          <w:color w:val="000000"/>
        </w:rPr>
        <w:t>Bureau of</w:t>
      </w:r>
      <w:r w:rsidR="00551306">
        <w:rPr>
          <w:iCs/>
          <w:color w:val="000000"/>
        </w:rPr>
        <w:t xml:space="preserve"> </w:t>
      </w:r>
      <w:r w:rsidR="008D455D" w:rsidRPr="008D455D">
        <w:rPr>
          <w:iCs/>
          <w:color w:val="000000"/>
        </w:rPr>
        <w:t>Marijuana Control)</w:t>
      </w:r>
      <w:r w:rsidR="008D455D" w:rsidRPr="008D455D">
        <w:t>, die zukün</w:t>
      </w:r>
      <w:r w:rsidR="008D455D" w:rsidRPr="008D455D">
        <w:t>f</w:t>
      </w:r>
      <w:r w:rsidR="008D455D" w:rsidRPr="008D455D">
        <w:t>tig alle Genehmigungsverfahren durchführt, kontrolliert und sanktioniert</w:t>
      </w:r>
      <w:r w:rsidR="008D455D">
        <w:t xml:space="preserve">, den gesamten Prozess der politischen Umsetzung der </w:t>
      </w:r>
      <w:r w:rsidR="00D01097">
        <w:t>Regulierung</w:t>
      </w:r>
      <w:r w:rsidR="008D455D">
        <w:t xml:space="preserve"> </w:t>
      </w:r>
      <w:r w:rsidR="00600056">
        <w:t>über</w:t>
      </w:r>
      <w:r w:rsidR="008D455D">
        <w:t xml:space="preserve"> verschiede</w:t>
      </w:r>
      <w:r w:rsidR="00600056">
        <w:t>ne</w:t>
      </w:r>
      <w:r w:rsidR="008D455D">
        <w:t xml:space="preserve"> Maßnahmen anleitet, koordiniert und dazu auch Expertenrat einholt</w:t>
      </w:r>
      <w:r w:rsidR="008D455D" w:rsidRPr="008D455D">
        <w:t xml:space="preserve"> </w:t>
      </w:r>
      <w:r w:rsidR="00AF283E">
        <w:t xml:space="preserve">(vgl. </w:t>
      </w:r>
      <w:r w:rsidR="007B4935">
        <w:t>T</w:t>
      </w:r>
      <w:r w:rsidR="007B4935" w:rsidRPr="00D4766F">
        <w:rPr>
          <w:color w:val="000000"/>
        </w:rPr>
        <w:t>he Control, Regulate and Tax Adult Use of Mari</w:t>
      </w:r>
      <w:r w:rsidR="007B4935">
        <w:rPr>
          <w:color w:val="000000"/>
        </w:rPr>
        <w:t>juana Act</w:t>
      </w:r>
      <w:r w:rsidR="00AF283E">
        <w:t xml:space="preserve">). </w:t>
      </w:r>
    </w:p>
    <w:p w14:paraId="480AD5E6" w14:textId="7B56E6E5" w:rsidR="007B4935" w:rsidRDefault="00AF283E" w:rsidP="00C51DDC">
      <w:pPr>
        <w:pStyle w:val="KeinLeerraum"/>
        <w:spacing w:line="276" w:lineRule="auto"/>
        <w:jc w:val="both"/>
        <w:rPr>
          <w:rFonts w:cs="Arial"/>
        </w:rPr>
      </w:pPr>
      <w:r>
        <w:t xml:space="preserve">Deutlich wird, dass nach einer Zeit relativ geringer Vorgaben </w:t>
      </w:r>
      <w:r w:rsidR="00F53EBA">
        <w:t>für die Praxis</w:t>
      </w:r>
      <w:r>
        <w:t xml:space="preserve"> </w:t>
      </w:r>
      <w:r w:rsidR="00DF773E">
        <w:t xml:space="preserve">der Vergabe </w:t>
      </w:r>
      <w:r>
        <w:t>mediz</w:t>
      </w:r>
      <w:r>
        <w:t>i</w:t>
      </w:r>
      <w:r>
        <w:t>nische</w:t>
      </w:r>
      <w:r w:rsidR="00DF773E">
        <w:t>n</w:t>
      </w:r>
      <w:r>
        <w:t xml:space="preserve"> Marihuana</w:t>
      </w:r>
      <w:r w:rsidR="00DF773E">
        <w:t>s</w:t>
      </w:r>
      <w:r>
        <w:t>, das seit November 2016 gültige Gesetz Tendenz</w:t>
      </w:r>
      <w:r w:rsidR="00F53EBA">
        <w:t>en</w:t>
      </w:r>
      <w:r>
        <w:t xml:space="preserve"> einer Überregulie</w:t>
      </w:r>
      <w:r w:rsidR="003869D2">
        <w:t>rung hat. Kritisiert werden i</w:t>
      </w:r>
      <w:r>
        <w:t>nsbesondere Vorgaben</w:t>
      </w:r>
      <w:r w:rsidR="00236F19">
        <w:t xml:space="preserve">, </w:t>
      </w:r>
      <w:r>
        <w:t xml:space="preserve">dass </w:t>
      </w:r>
      <w:r w:rsidR="00236F19">
        <w:t xml:space="preserve">z. B. </w:t>
      </w:r>
      <w:r>
        <w:t xml:space="preserve">jeder Samen und jede Pflanze mit einem Bar-Code versehen werden </w:t>
      </w:r>
      <w:r w:rsidR="00DF773E">
        <w:t>muss</w:t>
      </w:r>
      <w:r>
        <w:t xml:space="preserve">, </w:t>
      </w:r>
      <w:r w:rsidR="003869D2">
        <w:t>um</w:t>
      </w:r>
      <w:r>
        <w:t xml:space="preserve"> die Dokumentation </w:t>
      </w:r>
      <w:r w:rsidR="00F53EBA">
        <w:t xml:space="preserve">des Gesamtprozesses </w:t>
      </w:r>
      <w:r w:rsidR="00236F19">
        <w:t>vom</w:t>
      </w:r>
      <w:r>
        <w:t xml:space="preserve"> Anbau, </w:t>
      </w:r>
      <w:r w:rsidR="003C279A">
        <w:t xml:space="preserve">über </w:t>
      </w:r>
      <w:r>
        <w:t xml:space="preserve">Produktion </w:t>
      </w:r>
      <w:r w:rsidR="00236F19">
        <w:t>bis zum Handel</w:t>
      </w:r>
      <w:r>
        <w:t xml:space="preserve"> kontrollier</w:t>
      </w:r>
      <w:r w:rsidR="003869D2">
        <w:t xml:space="preserve">en zu können </w:t>
      </w:r>
      <w:r>
        <w:t xml:space="preserve">(vgl. </w:t>
      </w:r>
      <w:r w:rsidRPr="00762252">
        <w:rPr>
          <w:rFonts w:cs="Arial"/>
        </w:rPr>
        <w:t xml:space="preserve">“Marijuana and the Environment,” Eureka, California, </w:t>
      </w:r>
      <w:r w:rsidR="00F53EBA">
        <w:rPr>
          <w:rFonts w:cs="Arial"/>
        </w:rPr>
        <w:t>vom 15. April 20</w:t>
      </w:r>
      <w:r w:rsidRPr="00762252">
        <w:rPr>
          <w:rFonts w:cs="Arial"/>
        </w:rPr>
        <w:t>15</w:t>
      </w:r>
      <w:r>
        <w:rPr>
          <w:rFonts w:cs="Arial"/>
        </w:rPr>
        <w:t xml:space="preserve">); dass </w:t>
      </w:r>
      <w:r w:rsidR="003869D2">
        <w:rPr>
          <w:rFonts w:cs="Arial"/>
        </w:rPr>
        <w:t xml:space="preserve">weiterhin </w:t>
      </w:r>
      <w:r>
        <w:rPr>
          <w:rFonts w:cs="Arial"/>
        </w:rPr>
        <w:t>kein Kredit</w:t>
      </w:r>
      <w:r w:rsidR="00F53EBA">
        <w:rPr>
          <w:rFonts w:cs="Arial"/>
        </w:rPr>
        <w:t>- und Bankservice</w:t>
      </w:r>
      <w:r>
        <w:rPr>
          <w:rFonts w:cs="Arial"/>
        </w:rPr>
        <w:t>system geschaffen wird, um auch Kleinfarmer</w:t>
      </w:r>
      <w:r w:rsidR="00F53EBA">
        <w:rPr>
          <w:rFonts w:cs="Arial"/>
        </w:rPr>
        <w:t>n</w:t>
      </w:r>
      <w:r>
        <w:rPr>
          <w:rFonts w:cs="Arial"/>
        </w:rPr>
        <w:t xml:space="preserve"> und </w:t>
      </w:r>
      <w:r w:rsidR="003869D2">
        <w:rPr>
          <w:rFonts w:cs="Arial"/>
        </w:rPr>
        <w:t>-</w:t>
      </w:r>
      <w:r>
        <w:rPr>
          <w:rFonts w:cs="Arial"/>
        </w:rPr>
        <w:t>produzenten ohne Kapital einen Einstieg in diesen Wirtschaftsbereich zu ermöglichen</w:t>
      </w:r>
      <w:r w:rsidR="006475A7">
        <w:rPr>
          <w:rStyle w:val="Funotenzeichen"/>
          <w:rFonts w:cs="Arial"/>
          <w:szCs w:val="22"/>
        </w:rPr>
        <w:footnoteReference w:id="14"/>
      </w:r>
      <w:r w:rsidR="007B4935">
        <w:rPr>
          <w:rFonts w:cs="Arial"/>
        </w:rPr>
        <w:t>;</w:t>
      </w:r>
      <w:r>
        <w:rPr>
          <w:rFonts w:cs="Arial"/>
        </w:rPr>
        <w:t xml:space="preserve"> </w:t>
      </w:r>
      <w:r w:rsidR="007B4935">
        <w:rPr>
          <w:rFonts w:cs="Arial"/>
        </w:rPr>
        <w:t xml:space="preserve">dass </w:t>
      </w:r>
      <w:r>
        <w:rPr>
          <w:rFonts w:cs="Arial"/>
        </w:rPr>
        <w:t xml:space="preserve">die </w:t>
      </w:r>
      <w:r w:rsidR="007B4935">
        <w:rPr>
          <w:rFonts w:cs="Arial"/>
        </w:rPr>
        <w:t xml:space="preserve">geforderten </w:t>
      </w:r>
      <w:r w:rsidR="003869D2">
        <w:rPr>
          <w:rFonts w:cs="Arial"/>
        </w:rPr>
        <w:t xml:space="preserve">umfangreichen Vorgaben sowohl zur Dokumentation der Tätigkeit als auch </w:t>
      </w:r>
      <w:r w:rsidR="007B4935">
        <w:rPr>
          <w:rFonts w:cs="Arial"/>
        </w:rPr>
        <w:t>zur</w:t>
      </w:r>
      <w:r w:rsidR="003869D2">
        <w:rPr>
          <w:rFonts w:cs="Arial"/>
        </w:rPr>
        <w:t xml:space="preserve"> </w:t>
      </w:r>
      <w:r w:rsidR="006475A7">
        <w:rPr>
          <w:rFonts w:cs="Arial"/>
        </w:rPr>
        <w:t>profes</w:t>
      </w:r>
      <w:r w:rsidR="007B4935">
        <w:rPr>
          <w:rFonts w:cs="Arial"/>
        </w:rPr>
        <w:t>sionellen</w:t>
      </w:r>
      <w:r w:rsidR="006475A7">
        <w:rPr>
          <w:rFonts w:cs="Arial"/>
        </w:rPr>
        <w:t xml:space="preserve"> </w:t>
      </w:r>
      <w:r w:rsidR="007B4935">
        <w:t>Labortestung</w:t>
      </w:r>
      <w:r w:rsidR="00505A62" w:rsidRPr="00421494">
        <w:t xml:space="preserve"> </w:t>
      </w:r>
      <w:r w:rsidR="003869D2">
        <w:rPr>
          <w:rFonts w:cs="Arial"/>
        </w:rPr>
        <w:t>der Pflanzen</w:t>
      </w:r>
      <w:r w:rsidR="00505A62">
        <w:rPr>
          <w:rFonts w:cs="Arial"/>
        </w:rPr>
        <w:t xml:space="preserve"> auf </w:t>
      </w:r>
      <w:r w:rsidR="00505A62">
        <w:t xml:space="preserve">deren </w:t>
      </w:r>
      <w:r w:rsidR="00505A62" w:rsidRPr="00421494">
        <w:t>Wirk</w:t>
      </w:r>
      <w:r w:rsidR="00505A62">
        <w:t>- und Inhaltsstoffe (z. B. THC und CBD</w:t>
      </w:r>
      <w:r w:rsidR="00505A62" w:rsidRPr="00421494">
        <w:t>, Pestizide, Herbizide und synthetische Düngemittel</w:t>
      </w:r>
      <w:r w:rsidR="00505A62">
        <w:t>)</w:t>
      </w:r>
      <w:r w:rsidR="007B4935">
        <w:rPr>
          <w:rFonts w:cs="Arial"/>
        </w:rPr>
        <w:t xml:space="preserve"> </w:t>
      </w:r>
      <w:r w:rsidR="003869D2">
        <w:rPr>
          <w:rFonts w:cs="Arial"/>
        </w:rPr>
        <w:t>von den bisher in der Illegalität arbeitenden Kleinproduzenten weder umgehend in entspr</w:t>
      </w:r>
      <w:r w:rsidR="003869D2">
        <w:rPr>
          <w:rFonts w:cs="Arial"/>
        </w:rPr>
        <w:t>e</w:t>
      </w:r>
      <w:r w:rsidR="003869D2">
        <w:rPr>
          <w:rFonts w:cs="Arial"/>
        </w:rPr>
        <w:t>chende Routinen noch mit entsprechender Technik</w:t>
      </w:r>
      <w:r w:rsidR="00DF773E">
        <w:rPr>
          <w:rFonts w:cs="Arial"/>
        </w:rPr>
        <w:t xml:space="preserve"> umgesetzt werden</w:t>
      </w:r>
      <w:r w:rsidR="003869D2">
        <w:rPr>
          <w:rFonts w:cs="Arial"/>
        </w:rPr>
        <w:t xml:space="preserve"> können</w:t>
      </w:r>
      <w:r w:rsidR="006475A7">
        <w:rPr>
          <w:rStyle w:val="Funotenzeichen"/>
          <w:rFonts w:cs="Arial"/>
          <w:szCs w:val="22"/>
        </w:rPr>
        <w:footnoteReference w:id="15"/>
      </w:r>
      <w:r w:rsidR="007B4935">
        <w:rPr>
          <w:rFonts w:cs="Arial"/>
        </w:rPr>
        <w:t xml:space="preserve"> und dass </w:t>
      </w:r>
      <w:r w:rsidR="003869D2">
        <w:rPr>
          <w:rFonts w:cs="Arial"/>
        </w:rPr>
        <w:t>schließlich die hohen Anforderungen an Personen, die sich um eine</w:t>
      </w:r>
      <w:r w:rsidR="00F53EBA">
        <w:rPr>
          <w:rFonts w:cs="Arial"/>
        </w:rPr>
        <w:t>,</w:t>
      </w:r>
      <w:r w:rsidR="003869D2">
        <w:rPr>
          <w:rFonts w:cs="Arial"/>
        </w:rPr>
        <w:t xml:space="preserve"> wie auch immer geartete Lizenz für diesen Wirtschaftszweig bemühen</w:t>
      </w:r>
      <w:r w:rsidR="007B4935">
        <w:rPr>
          <w:rFonts w:cs="Arial"/>
        </w:rPr>
        <w:t>, viele bisher in diesem Bereich Tätige ausschli</w:t>
      </w:r>
      <w:r w:rsidR="007B4935">
        <w:rPr>
          <w:rFonts w:cs="Arial"/>
        </w:rPr>
        <w:t>e</w:t>
      </w:r>
      <w:r w:rsidR="007B4935">
        <w:rPr>
          <w:rFonts w:cs="Arial"/>
        </w:rPr>
        <w:t>ßen</w:t>
      </w:r>
      <w:r w:rsidR="00505A62">
        <w:rPr>
          <w:rStyle w:val="Funotenzeichen"/>
          <w:rFonts w:cs="Arial"/>
          <w:szCs w:val="22"/>
        </w:rPr>
        <w:footnoteReference w:id="16"/>
      </w:r>
      <w:r w:rsidR="00F53EBA">
        <w:rPr>
          <w:rFonts w:cs="Arial"/>
        </w:rPr>
        <w:t xml:space="preserve">. </w:t>
      </w:r>
    </w:p>
    <w:p w14:paraId="6AB9E97D" w14:textId="6DC75CCB" w:rsidR="0068598F" w:rsidRDefault="00F53EBA" w:rsidP="00C51DDC">
      <w:pPr>
        <w:pStyle w:val="KeinLeerraum"/>
        <w:spacing w:line="276" w:lineRule="auto"/>
        <w:jc w:val="both"/>
        <w:rPr>
          <w:rFonts w:cs="Arial"/>
          <w:iCs/>
        </w:rPr>
      </w:pPr>
      <w:r>
        <w:rPr>
          <w:rFonts w:cs="Arial"/>
        </w:rPr>
        <w:t>A</w:t>
      </w:r>
      <w:r w:rsidR="006475A7">
        <w:rPr>
          <w:rFonts w:cs="Arial"/>
        </w:rPr>
        <w:t>ll</w:t>
      </w:r>
      <w:r w:rsidR="009C7054">
        <w:rPr>
          <w:rFonts w:cs="Arial"/>
        </w:rPr>
        <w:t>e</w:t>
      </w:r>
      <w:r w:rsidR="006475A7">
        <w:rPr>
          <w:rFonts w:cs="Arial"/>
        </w:rPr>
        <w:t xml:space="preserve"> diese Vorgaben lassen sich </w:t>
      </w:r>
      <w:r w:rsidR="00E93A99">
        <w:rPr>
          <w:rFonts w:cs="Arial"/>
        </w:rPr>
        <w:t xml:space="preserve">auch </w:t>
      </w:r>
      <w:r w:rsidR="006475A7">
        <w:rPr>
          <w:rFonts w:cs="Arial"/>
        </w:rPr>
        <w:t xml:space="preserve">als </w:t>
      </w:r>
      <w:r w:rsidR="000759B9" w:rsidRPr="000759B9">
        <w:t xml:space="preserve">ein ideologisch </w:t>
      </w:r>
      <w:r w:rsidR="006475A7">
        <w:t>aufgeblasener Versuch</w:t>
      </w:r>
      <w:r w:rsidR="00E93A99">
        <w:t xml:space="preserve"> lesen</w:t>
      </w:r>
      <w:r w:rsidR="006475A7">
        <w:t>, bisher ill</w:t>
      </w:r>
      <w:r w:rsidR="006475A7">
        <w:t>e</w:t>
      </w:r>
      <w:r w:rsidR="006475A7">
        <w:t xml:space="preserve">galisierte Waren und deren Produzenten und Konsumenten auf eine Weise zu rehabilitieren, durch die </w:t>
      </w:r>
      <w:r w:rsidR="00E93A99">
        <w:t>„</w:t>
      </w:r>
      <w:r w:rsidR="000759B9" w:rsidRPr="000759B9">
        <w:t>... Cannabis wie Plutonium und die Akteure d</w:t>
      </w:r>
      <w:r w:rsidR="00E93A99">
        <w:t>ies</w:t>
      </w:r>
      <w:r w:rsidR="000759B9" w:rsidRPr="000759B9">
        <w:t xml:space="preserve">er </w:t>
      </w:r>
      <w:r w:rsidR="00505A62">
        <w:t>Wirtschaft</w:t>
      </w:r>
      <w:r w:rsidR="000759B9" w:rsidRPr="000759B9">
        <w:t xml:space="preserve"> wie potentielle Terr</w:t>
      </w:r>
      <w:r w:rsidR="000759B9" w:rsidRPr="000759B9">
        <w:t>o</w:t>
      </w:r>
      <w:r w:rsidR="000759B9" w:rsidRPr="000759B9">
        <w:t>risten behandelt</w:t>
      </w:r>
      <w:r w:rsidR="006475A7">
        <w:t xml:space="preserve"> werden</w:t>
      </w:r>
      <w:r w:rsidR="009C7054">
        <w:t>." (Kri</w:t>
      </w:r>
      <w:r w:rsidR="000759B9" w:rsidRPr="000759B9">
        <w:t>ssman 2015, S. 1)</w:t>
      </w:r>
      <w:r w:rsidR="00505A62">
        <w:t xml:space="preserve"> Auch die Tatsache, dass einzelne Gemeinden an der Prohibition festhalten oder ganz andere Regeln einführen können, das Totalverbot für J</w:t>
      </w:r>
      <w:r w:rsidR="00505A62">
        <w:t>u</w:t>
      </w:r>
      <w:r w:rsidR="00505A62">
        <w:t>gendliche unter 21 Jah</w:t>
      </w:r>
      <w:r w:rsidR="00A42B73">
        <w:t xml:space="preserve">ren und die völlig überzogenen Steuern, die </w:t>
      </w:r>
      <w:r w:rsidR="00E93A99">
        <w:t>doppelt (</w:t>
      </w:r>
      <w:r w:rsidR="00A42B73">
        <w:t>sowohl auf die L</w:t>
      </w:r>
      <w:r w:rsidR="00A42B73">
        <w:t>i</w:t>
      </w:r>
      <w:r w:rsidR="00A42B73">
        <w:t>zenzen als auch auf die Produkte</w:t>
      </w:r>
      <w:r w:rsidR="00E93A99">
        <w:t>)</w:t>
      </w:r>
      <w:r w:rsidR="00A42B73">
        <w:t xml:space="preserve"> erhoben werden, werden als höchst unproduktiv für eine</w:t>
      </w:r>
      <w:r w:rsidR="00AE096D">
        <w:t>n</w:t>
      </w:r>
      <w:r w:rsidR="00A42B73">
        <w:t xml:space="preserve"> gelingende</w:t>
      </w:r>
      <w:r w:rsidR="00AE096D">
        <w:t>n</w:t>
      </w:r>
      <w:r w:rsidR="00A42B73">
        <w:t xml:space="preserve"> </w:t>
      </w:r>
      <w:r w:rsidR="00D01097">
        <w:t>Regulierung</w:t>
      </w:r>
      <w:r w:rsidR="00AE096D">
        <w:t>sprozess</w:t>
      </w:r>
      <w:r w:rsidR="00A42B73">
        <w:t xml:space="preserve"> gesehen</w:t>
      </w:r>
      <w:r w:rsidR="003C279A">
        <w:t xml:space="preserve">. Hier werden schon jetzt </w:t>
      </w:r>
      <w:r w:rsidR="00A42B73">
        <w:t>Probleme und Einschrä</w:t>
      </w:r>
      <w:r w:rsidR="00A42B73">
        <w:t>n</w:t>
      </w:r>
      <w:r w:rsidR="00A42B73">
        <w:t>kungen in der Wirksamkeit d</w:t>
      </w:r>
      <w:r w:rsidR="007B4935">
        <w:t>er</w:t>
      </w:r>
      <w:r w:rsidR="00A42B73">
        <w:t xml:space="preserve"> drogenpoliti</w:t>
      </w:r>
      <w:r w:rsidR="00A42B73" w:rsidRPr="00976F60">
        <w:t xml:space="preserve">schen </w:t>
      </w:r>
      <w:r w:rsidR="007B4935">
        <w:t>Neuregelungen</w:t>
      </w:r>
      <w:r w:rsidR="00A42B73" w:rsidRPr="00976F60">
        <w:t xml:space="preserve"> </w:t>
      </w:r>
      <w:r w:rsidR="003C279A">
        <w:t>gesehen</w:t>
      </w:r>
      <w:r w:rsidR="00A42B73" w:rsidRPr="00976F60">
        <w:t xml:space="preserve">. </w:t>
      </w:r>
      <w:r w:rsidR="00E93A99">
        <w:t xml:space="preserve">Befürchtet wird, dass </w:t>
      </w:r>
      <w:r w:rsidR="007B4935">
        <w:t>die</w:t>
      </w:r>
      <w:r w:rsidR="00A42B73" w:rsidRPr="00976F60">
        <w:t xml:space="preserve"> extreme</w:t>
      </w:r>
      <w:r w:rsidR="007B4935">
        <w:t xml:space="preserve"> Regulierung</w:t>
      </w:r>
      <w:r w:rsidR="00A42B73" w:rsidRPr="00976F60">
        <w:t xml:space="preserve"> </w:t>
      </w:r>
      <w:r w:rsidR="007B4935">
        <w:rPr>
          <w:rFonts w:cs="Arial"/>
          <w:iCs/>
        </w:rPr>
        <w:t>von</w:t>
      </w:r>
      <w:r w:rsidR="00A42B73" w:rsidRPr="00976F60">
        <w:rPr>
          <w:rFonts w:cs="Arial"/>
          <w:iCs/>
        </w:rPr>
        <w:t xml:space="preserve"> Produktion, </w:t>
      </w:r>
      <w:r w:rsidR="007B4935">
        <w:rPr>
          <w:rFonts w:cs="Arial"/>
          <w:iCs/>
        </w:rPr>
        <w:t>Verkauf</w:t>
      </w:r>
      <w:r w:rsidR="00A42B73" w:rsidRPr="00976F60">
        <w:rPr>
          <w:rFonts w:cs="Arial"/>
          <w:iCs/>
        </w:rPr>
        <w:t xml:space="preserve"> und Konsum</w:t>
      </w:r>
      <w:r w:rsidR="007B4935">
        <w:rPr>
          <w:rFonts w:cs="Arial"/>
          <w:iCs/>
        </w:rPr>
        <w:t xml:space="preserve"> </w:t>
      </w:r>
      <w:r w:rsidR="00A42B73" w:rsidRPr="00976F60">
        <w:rPr>
          <w:rFonts w:cs="Arial"/>
          <w:iCs/>
        </w:rPr>
        <w:t>mit großer W</w:t>
      </w:r>
      <w:r w:rsidR="00421494" w:rsidRPr="00976F60">
        <w:rPr>
          <w:rFonts w:cs="Arial"/>
          <w:iCs/>
        </w:rPr>
        <w:t>ahrscheinlic</w:t>
      </w:r>
      <w:r w:rsidR="00421494" w:rsidRPr="00976F60">
        <w:rPr>
          <w:rFonts w:cs="Arial"/>
          <w:iCs/>
        </w:rPr>
        <w:t>h</w:t>
      </w:r>
      <w:r w:rsidR="00A42B73" w:rsidRPr="00976F60">
        <w:rPr>
          <w:rFonts w:cs="Arial"/>
          <w:iCs/>
        </w:rPr>
        <w:t>keit</w:t>
      </w:r>
      <w:r w:rsidR="00421494" w:rsidRPr="00976F60">
        <w:rPr>
          <w:rFonts w:cs="Arial"/>
          <w:iCs/>
        </w:rPr>
        <w:t xml:space="preserve"> die </w:t>
      </w:r>
      <w:r w:rsidR="00A42B73" w:rsidRPr="00976F60">
        <w:rPr>
          <w:rFonts w:cs="Arial"/>
          <w:iCs/>
        </w:rPr>
        <w:t xml:space="preserve">bisherige kleinteilige, familienartig organisierte </w:t>
      </w:r>
      <w:r w:rsidR="00421494" w:rsidRPr="00976F60">
        <w:rPr>
          <w:rFonts w:cs="Arial"/>
          <w:iCs/>
        </w:rPr>
        <w:t>Cannabis</w:t>
      </w:r>
      <w:r w:rsidR="00A42B73" w:rsidRPr="00976F60">
        <w:rPr>
          <w:rFonts w:cs="Arial"/>
          <w:iCs/>
        </w:rPr>
        <w:t>wirtschaft Kaliforniens ze</w:t>
      </w:r>
      <w:r w:rsidR="00A42B73" w:rsidRPr="00976F60">
        <w:rPr>
          <w:rFonts w:cs="Arial"/>
          <w:iCs/>
        </w:rPr>
        <w:t>r</w:t>
      </w:r>
      <w:r w:rsidR="00A42B73" w:rsidRPr="00976F60">
        <w:rPr>
          <w:rFonts w:cs="Arial"/>
          <w:iCs/>
        </w:rPr>
        <w:t xml:space="preserve">stört und </w:t>
      </w:r>
      <w:r w:rsidR="00E93A99">
        <w:rPr>
          <w:rFonts w:cs="Arial"/>
          <w:iCs/>
        </w:rPr>
        <w:t xml:space="preserve">diese </w:t>
      </w:r>
      <w:r w:rsidR="00A42B73" w:rsidRPr="00976F60">
        <w:rPr>
          <w:rFonts w:cs="Arial"/>
          <w:iCs/>
        </w:rPr>
        <w:t>in eine</w:t>
      </w:r>
      <w:r w:rsidR="00421494" w:rsidRPr="00976F60">
        <w:rPr>
          <w:rFonts w:cs="Arial"/>
          <w:iCs/>
        </w:rPr>
        <w:t xml:space="preserve"> industrielle </w:t>
      </w:r>
      <w:r w:rsidR="00236F19">
        <w:rPr>
          <w:rFonts w:cs="Arial"/>
          <w:iCs/>
        </w:rPr>
        <w:t>Großp</w:t>
      </w:r>
      <w:r w:rsidR="00976F60" w:rsidRPr="00976F60">
        <w:rPr>
          <w:rFonts w:cs="Arial"/>
          <w:iCs/>
        </w:rPr>
        <w:t>roduktion</w:t>
      </w:r>
      <w:r w:rsidR="00421494" w:rsidRPr="00976F60">
        <w:rPr>
          <w:rFonts w:cs="Arial"/>
          <w:iCs/>
        </w:rPr>
        <w:t xml:space="preserve"> umwandeln</w:t>
      </w:r>
      <w:r w:rsidR="00A42B73" w:rsidRPr="00976F60">
        <w:rPr>
          <w:rFonts w:cs="Arial"/>
          <w:iCs/>
        </w:rPr>
        <w:t xml:space="preserve"> wird </w:t>
      </w:r>
      <w:r w:rsidR="009C7054">
        <w:rPr>
          <w:rFonts w:cs="Arial"/>
          <w:iCs/>
        </w:rPr>
        <w:t>(vgl. Kri</w:t>
      </w:r>
      <w:r w:rsidR="00E93A99">
        <w:rPr>
          <w:rFonts w:cs="Arial"/>
          <w:iCs/>
        </w:rPr>
        <w:t>ssman 2015)</w:t>
      </w:r>
      <w:r w:rsidR="00421494" w:rsidRPr="00976F60">
        <w:rPr>
          <w:rFonts w:cs="Arial"/>
          <w:iCs/>
        </w:rPr>
        <w:t>.</w:t>
      </w:r>
    </w:p>
    <w:p w14:paraId="2C045CA0" w14:textId="619D3E98" w:rsidR="001C1EE3" w:rsidRPr="00762252" w:rsidRDefault="00BB6A65" w:rsidP="009D7629">
      <w:pPr>
        <w:pStyle w:val="berschrift2"/>
        <w:jc w:val="both"/>
      </w:pPr>
      <w:bookmarkStart w:id="16" w:name="_Toc349300345"/>
      <w:r w:rsidRPr="00762252">
        <w:t>Die Gemengelage zwischen Befürwortung und Bekämpfung einer Regulierung</w:t>
      </w:r>
      <w:bookmarkEnd w:id="16"/>
    </w:p>
    <w:p w14:paraId="179D1A7C" w14:textId="72308397" w:rsidR="0058142D" w:rsidRDefault="001C1EE3" w:rsidP="009D7629">
      <w:pPr>
        <w:spacing w:line="276" w:lineRule="auto"/>
        <w:jc w:val="both"/>
        <w:rPr>
          <w:szCs w:val="22"/>
        </w:rPr>
      </w:pPr>
      <w:r w:rsidRPr="00762252">
        <w:rPr>
          <w:szCs w:val="22"/>
        </w:rPr>
        <w:t xml:space="preserve">In Zusammenhang mit der Etablierung eines regulierten Marktes für Marihuana werden sehr unterschiedliche Erwartungen und Argumente </w:t>
      </w:r>
      <w:r w:rsidR="00DB211E" w:rsidRPr="00762252">
        <w:rPr>
          <w:szCs w:val="22"/>
        </w:rPr>
        <w:t xml:space="preserve">für und gegen drogenpolitische Veränderungen </w:t>
      </w:r>
      <w:r w:rsidRPr="00762252">
        <w:rPr>
          <w:szCs w:val="22"/>
        </w:rPr>
        <w:t>in die Diskussion gebracht</w:t>
      </w:r>
      <w:r w:rsidR="00DB211E" w:rsidRPr="00762252">
        <w:rPr>
          <w:szCs w:val="22"/>
        </w:rPr>
        <w:t>. Die Effekte einer drogenpolitischen Trendwende werden insbeso</w:t>
      </w:r>
      <w:r w:rsidR="00DB211E" w:rsidRPr="00762252">
        <w:rPr>
          <w:szCs w:val="22"/>
        </w:rPr>
        <w:t>n</w:t>
      </w:r>
      <w:r w:rsidR="00DB211E" w:rsidRPr="00762252">
        <w:rPr>
          <w:szCs w:val="22"/>
        </w:rPr>
        <w:t>dere in folgenden Politikbereichen erwartet</w:t>
      </w:r>
      <w:r w:rsidRPr="00762252">
        <w:rPr>
          <w:szCs w:val="22"/>
        </w:rPr>
        <w:t>:</w:t>
      </w:r>
      <w:r w:rsidR="00DB211E" w:rsidRPr="00762252">
        <w:rPr>
          <w:szCs w:val="22"/>
        </w:rPr>
        <w:t xml:space="preserve"> In </w:t>
      </w:r>
      <w:r w:rsidR="000A14C8">
        <w:rPr>
          <w:szCs w:val="22"/>
        </w:rPr>
        <w:t>der Verbreitung des Konsums in der Bevölk</w:t>
      </w:r>
      <w:r w:rsidR="000A14C8">
        <w:rPr>
          <w:szCs w:val="22"/>
        </w:rPr>
        <w:t>e</w:t>
      </w:r>
      <w:r w:rsidR="000A14C8">
        <w:rPr>
          <w:szCs w:val="22"/>
        </w:rPr>
        <w:t xml:space="preserve">rung insgesamt und </w:t>
      </w:r>
      <w:r w:rsidR="007B4935">
        <w:rPr>
          <w:szCs w:val="22"/>
        </w:rPr>
        <w:t xml:space="preserve">speziell </w:t>
      </w:r>
      <w:r w:rsidR="000A14C8">
        <w:rPr>
          <w:szCs w:val="22"/>
        </w:rPr>
        <w:t xml:space="preserve">unter Jugendlichen, mit Auswirkungen </w:t>
      </w:r>
      <w:r w:rsidR="003C279A">
        <w:rPr>
          <w:szCs w:val="22"/>
        </w:rPr>
        <w:t>für die öffentliche</w:t>
      </w:r>
      <w:r w:rsidR="00DB211E" w:rsidRPr="00762252">
        <w:rPr>
          <w:szCs w:val="22"/>
        </w:rPr>
        <w:t xml:space="preserve"> Gesun</w:t>
      </w:r>
      <w:r w:rsidR="00DB211E" w:rsidRPr="00762252">
        <w:rPr>
          <w:szCs w:val="22"/>
        </w:rPr>
        <w:t>d</w:t>
      </w:r>
      <w:r w:rsidR="00DB211E" w:rsidRPr="00762252">
        <w:rPr>
          <w:szCs w:val="22"/>
        </w:rPr>
        <w:t xml:space="preserve">heit, </w:t>
      </w:r>
      <w:r w:rsidR="000A14C8" w:rsidRPr="00762252">
        <w:rPr>
          <w:szCs w:val="22"/>
        </w:rPr>
        <w:t xml:space="preserve">Entwicklung </w:t>
      </w:r>
      <w:r w:rsidR="000A14C8">
        <w:rPr>
          <w:szCs w:val="22"/>
        </w:rPr>
        <w:t>der</w:t>
      </w:r>
      <w:r w:rsidR="000A14C8" w:rsidRPr="00762252">
        <w:rPr>
          <w:szCs w:val="22"/>
        </w:rPr>
        <w:t xml:space="preserve"> Kriminalität</w:t>
      </w:r>
      <w:r w:rsidR="003C279A">
        <w:rPr>
          <w:szCs w:val="22"/>
        </w:rPr>
        <w:t xml:space="preserve"> und </w:t>
      </w:r>
      <w:r w:rsidR="007B4935">
        <w:rPr>
          <w:szCs w:val="22"/>
        </w:rPr>
        <w:t>der</w:t>
      </w:r>
      <w:r w:rsidR="00DB211E" w:rsidRPr="00762252">
        <w:rPr>
          <w:szCs w:val="22"/>
        </w:rPr>
        <w:t xml:space="preserve"> öffentliche Ordnung und Sicherheit</w:t>
      </w:r>
      <w:r w:rsidR="003C279A">
        <w:rPr>
          <w:szCs w:val="22"/>
        </w:rPr>
        <w:t xml:space="preserve">; </w:t>
      </w:r>
      <w:r w:rsidR="000A14C8">
        <w:rPr>
          <w:szCs w:val="22"/>
        </w:rPr>
        <w:t xml:space="preserve">mit </w:t>
      </w:r>
      <w:r w:rsidR="00DB211E" w:rsidRPr="00762252">
        <w:rPr>
          <w:szCs w:val="22"/>
        </w:rPr>
        <w:t xml:space="preserve"> Auswirku</w:t>
      </w:r>
      <w:r w:rsidR="00DB211E" w:rsidRPr="00762252">
        <w:rPr>
          <w:szCs w:val="22"/>
        </w:rPr>
        <w:t>n</w:t>
      </w:r>
      <w:r w:rsidR="00DB211E" w:rsidRPr="00762252">
        <w:rPr>
          <w:szCs w:val="22"/>
        </w:rPr>
        <w:t xml:space="preserve">gen im Bereich </w:t>
      </w:r>
      <w:r w:rsidR="007B4935">
        <w:rPr>
          <w:szCs w:val="22"/>
        </w:rPr>
        <w:t>von</w:t>
      </w:r>
      <w:r w:rsidR="00DB211E" w:rsidRPr="00762252">
        <w:rPr>
          <w:szCs w:val="22"/>
        </w:rPr>
        <w:t xml:space="preserve"> Jugend</w:t>
      </w:r>
      <w:r w:rsidR="007B4935">
        <w:rPr>
          <w:szCs w:val="22"/>
        </w:rPr>
        <w:t>schutz</w:t>
      </w:r>
      <w:r w:rsidR="00FE7B6C" w:rsidRPr="00762252">
        <w:rPr>
          <w:szCs w:val="22"/>
        </w:rPr>
        <w:t xml:space="preserve"> und Bildung sowie ökonomische Effekte durch </w:t>
      </w:r>
      <w:r w:rsidR="00DB211E" w:rsidRPr="00762252">
        <w:rPr>
          <w:szCs w:val="22"/>
        </w:rPr>
        <w:t>das Entstehen eines neuen Wirtschaftsberei</w:t>
      </w:r>
      <w:r w:rsidR="00FE7B6C" w:rsidRPr="00762252">
        <w:rPr>
          <w:szCs w:val="22"/>
        </w:rPr>
        <w:t>ches.</w:t>
      </w:r>
      <w:r w:rsidR="000A14C8">
        <w:rPr>
          <w:szCs w:val="22"/>
        </w:rPr>
        <w:t xml:space="preserve"> In der Regel lassen sich zu allen prognostizierten Effekten jeweils gegenteilige Hypothesen formulieren, die nunmehr an Hand der </w:t>
      </w:r>
      <w:r w:rsidR="003C279A">
        <w:rPr>
          <w:szCs w:val="22"/>
        </w:rPr>
        <w:t xml:space="preserve">bisherigen </w:t>
      </w:r>
      <w:r w:rsidR="00D01097">
        <w:rPr>
          <w:szCs w:val="22"/>
        </w:rPr>
        <w:t>Reguli</w:t>
      </w:r>
      <w:r w:rsidR="00D01097">
        <w:rPr>
          <w:szCs w:val="22"/>
        </w:rPr>
        <w:t>e</w:t>
      </w:r>
      <w:r w:rsidR="00D01097">
        <w:rPr>
          <w:szCs w:val="22"/>
        </w:rPr>
        <w:t>rung</w:t>
      </w:r>
      <w:r w:rsidR="000A14C8">
        <w:rPr>
          <w:szCs w:val="22"/>
        </w:rPr>
        <w:t>spraxis möglichst id</w:t>
      </w:r>
      <w:r w:rsidR="00D96A90">
        <w:rPr>
          <w:szCs w:val="22"/>
        </w:rPr>
        <w:t>eologiefrei geprüft werden soll</w:t>
      </w:r>
      <w:r w:rsidR="000A14C8">
        <w:rPr>
          <w:szCs w:val="22"/>
        </w:rPr>
        <w:t xml:space="preserve">en. </w:t>
      </w:r>
    </w:p>
    <w:p w14:paraId="10AE156A" w14:textId="77777777" w:rsidR="00FD1D31" w:rsidRDefault="00FD1D31" w:rsidP="00B1292B">
      <w:pPr>
        <w:keepNext/>
        <w:spacing w:line="276" w:lineRule="auto"/>
        <w:jc w:val="both"/>
        <w:rPr>
          <w:b/>
          <w:sz w:val="18"/>
          <w:szCs w:val="18"/>
        </w:rPr>
      </w:pPr>
    </w:p>
    <w:p w14:paraId="276855B7" w14:textId="77777777" w:rsidR="00B1292B" w:rsidRDefault="00B1292B" w:rsidP="002E7129">
      <w:pPr>
        <w:keepNext/>
        <w:spacing w:line="276" w:lineRule="auto"/>
        <w:ind w:firstLine="567"/>
        <w:jc w:val="both"/>
        <w:rPr>
          <w:b/>
          <w:sz w:val="18"/>
          <w:szCs w:val="18"/>
        </w:rPr>
      </w:pPr>
      <w:r>
        <w:rPr>
          <w:noProof/>
          <w:szCs w:val="22"/>
        </w:rPr>
        <w:drawing>
          <wp:inline distT="0" distB="0" distL="0" distR="0" wp14:anchorId="324C45E3" wp14:editId="626EE117">
            <wp:extent cx="5121521" cy="4157212"/>
            <wp:effectExtent l="25400" t="25400" r="34925" b="3429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09 um 12.42.50.png"/>
                    <pic:cNvPicPr/>
                  </pic:nvPicPr>
                  <pic:blipFill>
                    <a:blip r:embed="rId19">
                      <a:extLst>
                        <a:ext uri="{28A0092B-C50C-407E-A947-70E740481C1C}">
                          <a14:useLocalDpi xmlns:a14="http://schemas.microsoft.com/office/drawing/2010/main" val="0"/>
                        </a:ext>
                      </a:extLst>
                    </a:blip>
                    <a:stretch>
                      <a:fillRect/>
                    </a:stretch>
                  </pic:blipFill>
                  <pic:spPr>
                    <a:xfrm>
                      <a:off x="0" y="0"/>
                      <a:ext cx="5121987" cy="4157590"/>
                    </a:xfrm>
                    <a:prstGeom prst="rect">
                      <a:avLst/>
                    </a:prstGeom>
                    <a:ln>
                      <a:solidFill>
                        <a:srgbClr val="000000"/>
                      </a:solidFill>
                    </a:ln>
                  </pic:spPr>
                </pic:pic>
              </a:graphicData>
            </a:graphic>
          </wp:inline>
        </w:drawing>
      </w:r>
    </w:p>
    <w:p w14:paraId="26F33417" w14:textId="5451F454" w:rsidR="00B1292B" w:rsidRDefault="00B1292B" w:rsidP="002E7129">
      <w:pPr>
        <w:keepNext/>
        <w:spacing w:line="276" w:lineRule="auto"/>
        <w:ind w:left="567"/>
        <w:jc w:val="both"/>
        <w:rPr>
          <w:b/>
          <w:sz w:val="18"/>
          <w:szCs w:val="18"/>
        </w:rPr>
      </w:pPr>
      <w:r w:rsidRPr="00B1292B">
        <w:rPr>
          <w:b/>
          <w:sz w:val="18"/>
          <w:szCs w:val="18"/>
        </w:rPr>
        <w:t xml:space="preserve">Abbildung </w:t>
      </w:r>
      <w:r w:rsidRPr="00B1292B">
        <w:rPr>
          <w:b/>
          <w:sz w:val="18"/>
          <w:szCs w:val="18"/>
        </w:rPr>
        <w:fldChar w:fldCharType="begin"/>
      </w:r>
      <w:r w:rsidRPr="00B1292B">
        <w:rPr>
          <w:b/>
          <w:sz w:val="18"/>
          <w:szCs w:val="18"/>
        </w:rPr>
        <w:instrText xml:space="preserve"> SEQ Abbildung \* ARABIC </w:instrText>
      </w:r>
      <w:r w:rsidRPr="00B1292B">
        <w:rPr>
          <w:b/>
          <w:sz w:val="18"/>
          <w:szCs w:val="18"/>
        </w:rPr>
        <w:fldChar w:fldCharType="separate"/>
      </w:r>
      <w:r w:rsidR="00B86830">
        <w:rPr>
          <w:b/>
          <w:noProof/>
          <w:sz w:val="18"/>
          <w:szCs w:val="18"/>
        </w:rPr>
        <w:t>3</w:t>
      </w:r>
      <w:r w:rsidRPr="00B1292B">
        <w:rPr>
          <w:b/>
          <w:sz w:val="18"/>
          <w:szCs w:val="18"/>
        </w:rPr>
        <w:fldChar w:fldCharType="end"/>
      </w:r>
      <w:r w:rsidRPr="00B1292B">
        <w:rPr>
          <w:b/>
          <w:sz w:val="18"/>
          <w:szCs w:val="18"/>
        </w:rPr>
        <w:t>:</w:t>
      </w:r>
      <w:r w:rsidRPr="00B1292B">
        <w:rPr>
          <w:sz w:val="18"/>
          <w:szCs w:val="18"/>
        </w:rPr>
        <w:t xml:space="preserve"> </w:t>
      </w:r>
      <w:r w:rsidRPr="00B1292B">
        <w:rPr>
          <w:b/>
          <w:sz w:val="18"/>
          <w:szCs w:val="18"/>
        </w:rPr>
        <w:t>Vergleiche zwischen den unter Jugendlichen ermittelten Prävalenzraten durch verschi</w:t>
      </w:r>
      <w:r w:rsidRPr="00B1292B">
        <w:rPr>
          <w:b/>
          <w:sz w:val="18"/>
          <w:szCs w:val="18"/>
        </w:rPr>
        <w:t>e</w:t>
      </w:r>
      <w:r w:rsidRPr="00B1292B">
        <w:rPr>
          <w:b/>
          <w:sz w:val="18"/>
          <w:szCs w:val="18"/>
        </w:rPr>
        <w:t xml:space="preserve">denen Surveys: </w:t>
      </w:r>
      <w:r w:rsidR="00236F19">
        <w:rPr>
          <w:b/>
          <w:sz w:val="18"/>
          <w:szCs w:val="18"/>
        </w:rPr>
        <w:t xml:space="preserve">NSDUH = </w:t>
      </w:r>
      <w:r w:rsidRPr="00B1292B">
        <w:rPr>
          <w:b/>
          <w:sz w:val="18"/>
          <w:szCs w:val="18"/>
        </w:rPr>
        <w:t>National Survey on Drug Use and Health; MTF = Monitori</w:t>
      </w:r>
      <w:r w:rsidR="00C12328">
        <w:rPr>
          <w:b/>
          <w:sz w:val="18"/>
          <w:szCs w:val="18"/>
        </w:rPr>
        <w:t>ng the Future und YRBS = Youth Risk B</w:t>
      </w:r>
      <w:r w:rsidRPr="00B1292B">
        <w:rPr>
          <w:b/>
          <w:sz w:val="18"/>
          <w:szCs w:val="18"/>
        </w:rPr>
        <w:t>eha</w:t>
      </w:r>
      <w:r>
        <w:rPr>
          <w:b/>
          <w:sz w:val="18"/>
          <w:szCs w:val="18"/>
        </w:rPr>
        <w:t>vior S</w:t>
      </w:r>
      <w:r w:rsidRPr="00B1292B">
        <w:rPr>
          <w:b/>
          <w:sz w:val="18"/>
          <w:szCs w:val="18"/>
        </w:rPr>
        <w:t>urvey (SAMHSA 2014</w:t>
      </w:r>
      <w:r w:rsidR="0059452E">
        <w:rPr>
          <w:b/>
          <w:sz w:val="18"/>
          <w:szCs w:val="18"/>
        </w:rPr>
        <w:t>, S. 107</w:t>
      </w:r>
      <w:r w:rsidRPr="00B1292B">
        <w:rPr>
          <w:b/>
          <w:sz w:val="18"/>
          <w:szCs w:val="18"/>
        </w:rPr>
        <w:t>)</w:t>
      </w:r>
      <w:r w:rsidR="00AF5540">
        <w:rPr>
          <w:rStyle w:val="Funotenzeichen"/>
          <w:b/>
          <w:sz w:val="18"/>
          <w:szCs w:val="18"/>
        </w:rPr>
        <w:footnoteReference w:id="17"/>
      </w:r>
    </w:p>
    <w:p w14:paraId="52BE0A51" w14:textId="77777777" w:rsidR="00AF5540" w:rsidRDefault="00AF5540" w:rsidP="00B1292B">
      <w:pPr>
        <w:keepNext/>
        <w:spacing w:line="276" w:lineRule="auto"/>
        <w:jc w:val="both"/>
      </w:pPr>
    </w:p>
    <w:p w14:paraId="16A04F9F" w14:textId="6F4DB46A" w:rsidR="00FD1D31" w:rsidRDefault="00236F19" w:rsidP="00FD1D31">
      <w:pPr>
        <w:spacing w:line="276" w:lineRule="auto"/>
        <w:jc w:val="both"/>
        <w:rPr>
          <w:szCs w:val="22"/>
        </w:rPr>
      </w:pPr>
      <w:r w:rsidRPr="009C7054">
        <w:rPr>
          <w:szCs w:val="22"/>
        </w:rPr>
        <w:t xml:space="preserve">Die Dringlichkeit dieser Forderung drängt sich </w:t>
      </w:r>
      <w:r>
        <w:rPr>
          <w:szCs w:val="22"/>
        </w:rPr>
        <w:t>bei</w:t>
      </w:r>
      <w:r w:rsidRPr="009C7054">
        <w:rPr>
          <w:szCs w:val="22"/>
        </w:rPr>
        <w:t xml:space="preserve"> der Auseinandersetzung mit den ersten „R</w:t>
      </w:r>
      <w:r w:rsidRPr="009C7054">
        <w:rPr>
          <w:szCs w:val="22"/>
        </w:rPr>
        <w:t>e</w:t>
      </w:r>
      <w:r w:rsidRPr="009C7054">
        <w:rPr>
          <w:szCs w:val="22"/>
        </w:rPr>
        <w:t>ports“ für Colorado</w:t>
      </w:r>
      <w:r w:rsidRPr="009C7054">
        <w:rPr>
          <w:rStyle w:val="Funotenzeichen"/>
          <w:szCs w:val="22"/>
        </w:rPr>
        <w:footnoteReference w:id="18"/>
      </w:r>
      <w:r w:rsidRPr="009C7054">
        <w:rPr>
          <w:szCs w:val="22"/>
        </w:rPr>
        <w:t xml:space="preserve"> und Washington</w:t>
      </w:r>
      <w:r w:rsidRPr="009C7054">
        <w:rPr>
          <w:rStyle w:val="Funotenzeichen"/>
          <w:szCs w:val="22"/>
        </w:rPr>
        <w:footnoteReference w:id="19"/>
      </w:r>
      <w:r w:rsidRPr="009C7054">
        <w:rPr>
          <w:szCs w:val="22"/>
        </w:rPr>
        <w:t xml:space="preserve"> auf, die Frühjahr 2016 vorgelegt wurden und, wie in den konkretisierten administrativen Maßnahmen zur Umsetzung </w:t>
      </w:r>
      <w:r>
        <w:rPr>
          <w:szCs w:val="22"/>
        </w:rPr>
        <w:t>des</w:t>
      </w:r>
      <w:r w:rsidRPr="009C7054">
        <w:rPr>
          <w:szCs w:val="22"/>
        </w:rPr>
        <w:t xml:space="preserve"> </w:t>
      </w:r>
      <w:r w:rsidR="00D01097">
        <w:rPr>
          <w:szCs w:val="22"/>
        </w:rPr>
        <w:t>Regulierung</w:t>
      </w:r>
      <w:r>
        <w:rPr>
          <w:szCs w:val="22"/>
        </w:rPr>
        <w:t>sprozesses</w:t>
      </w:r>
      <w:r w:rsidRPr="009C7054">
        <w:rPr>
          <w:szCs w:val="22"/>
        </w:rPr>
        <w:t xml:space="preserve"> festg</w:t>
      </w:r>
      <w:r w:rsidRPr="009C7054">
        <w:rPr>
          <w:szCs w:val="22"/>
        </w:rPr>
        <w:t>e</w:t>
      </w:r>
      <w:r w:rsidRPr="009C7054">
        <w:rPr>
          <w:szCs w:val="22"/>
        </w:rPr>
        <w:t>legt, einen Überblick über die Effekte de</w:t>
      </w:r>
      <w:r>
        <w:rPr>
          <w:szCs w:val="22"/>
        </w:rPr>
        <w:t xml:space="preserve">s drogenpolitischen Wechsels </w:t>
      </w:r>
      <w:r w:rsidRPr="009C7054">
        <w:rPr>
          <w:szCs w:val="22"/>
        </w:rPr>
        <w:t xml:space="preserve">geben. </w:t>
      </w:r>
      <w:r w:rsidR="00FD1D31" w:rsidRPr="009C7054">
        <w:rPr>
          <w:szCs w:val="22"/>
        </w:rPr>
        <w:t xml:space="preserve">Auffällig ist das sehr unterschiedliche Bemühen in beiden Berichten, eine selektive Ergebnisdarstellung und einseitige Interpretationen zu vermeiden, auf den Einsatz teilweise kritikwürdiger methodischer Erhebungsinstrumente und Diagnosepraktiken hinzuweisen und die Hintergründe und Grenzen vorliegender Befunde aufzuzeigen. </w:t>
      </w:r>
    </w:p>
    <w:p w14:paraId="3DF51D4F" w14:textId="295D5254" w:rsidR="00AF5540" w:rsidRDefault="00FD1D31" w:rsidP="00AF5540">
      <w:pPr>
        <w:spacing w:line="276" w:lineRule="auto"/>
        <w:jc w:val="both"/>
        <w:rPr>
          <w:szCs w:val="22"/>
        </w:rPr>
      </w:pPr>
      <w:r>
        <w:rPr>
          <w:szCs w:val="22"/>
        </w:rPr>
        <w:t>Es ist immerhin v</w:t>
      </w:r>
      <w:r w:rsidR="00AF5540">
        <w:rPr>
          <w:szCs w:val="22"/>
        </w:rPr>
        <w:t xml:space="preserve">erwirrend, dass durch verschiedene Autoren oft auseinandergehende Zahlen und empirische Daten </w:t>
      </w:r>
      <w:r w:rsidR="00B2611A">
        <w:rPr>
          <w:szCs w:val="22"/>
        </w:rPr>
        <w:t xml:space="preserve">zu gleichen Fakten </w:t>
      </w:r>
      <w:r w:rsidR="00AF5540">
        <w:rPr>
          <w:szCs w:val="22"/>
        </w:rPr>
        <w:t>vorgelegt</w:t>
      </w:r>
      <w:r w:rsidR="00AF5540" w:rsidRPr="00AF5540">
        <w:rPr>
          <w:szCs w:val="22"/>
        </w:rPr>
        <w:t xml:space="preserve"> </w:t>
      </w:r>
      <w:r w:rsidR="00AF5540">
        <w:rPr>
          <w:szCs w:val="22"/>
        </w:rPr>
        <w:t>werden. Erst die detaillierte Auseinande</w:t>
      </w:r>
      <w:r w:rsidR="00AF5540">
        <w:rPr>
          <w:szCs w:val="22"/>
        </w:rPr>
        <w:t>r</w:t>
      </w:r>
      <w:r w:rsidR="00AF5540">
        <w:rPr>
          <w:szCs w:val="22"/>
        </w:rPr>
        <w:t>setzung mit den jewei</w:t>
      </w:r>
      <w:r w:rsidR="00B2611A">
        <w:rPr>
          <w:szCs w:val="22"/>
        </w:rPr>
        <w:t xml:space="preserve">ligen Studien lässt </w:t>
      </w:r>
      <w:r w:rsidR="00AF5540">
        <w:rPr>
          <w:szCs w:val="22"/>
        </w:rPr>
        <w:t>nachvollziehbar werden, dass sich schon mit dem Rückgriff auf verschie</w:t>
      </w:r>
      <w:r w:rsidR="00B2611A">
        <w:rPr>
          <w:szCs w:val="22"/>
        </w:rPr>
        <w:t xml:space="preserve">dene </w:t>
      </w:r>
      <w:r w:rsidR="00AF5540">
        <w:rPr>
          <w:szCs w:val="22"/>
        </w:rPr>
        <w:t>Survey</w:t>
      </w:r>
      <w:r>
        <w:rPr>
          <w:szCs w:val="22"/>
        </w:rPr>
        <w:t>s</w:t>
      </w:r>
      <w:r w:rsidR="00AF5540">
        <w:rPr>
          <w:szCs w:val="22"/>
        </w:rPr>
        <w:t xml:space="preserve"> höchst unterschiedliche Einschätzungen finden und zu e</w:t>
      </w:r>
      <w:r w:rsidR="00AF5540">
        <w:rPr>
          <w:szCs w:val="22"/>
        </w:rPr>
        <w:t>i</w:t>
      </w:r>
      <w:r w:rsidR="00AF5540">
        <w:rPr>
          <w:szCs w:val="22"/>
        </w:rPr>
        <w:t>nem eher optimistischen oder pessimistischen Bild  zusammentragen lassen (vgl. Abbildung 3).</w:t>
      </w:r>
    </w:p>
    <w:p w14:paraId="25F5FDE0" w14:textId="5D8D61AC" w:rsidR="00417C52" w:rsidRDefault="00FD1D31" w:rsidP="009D7629">
      <w:pPr>
        <w:spacing w:line="276" w:lineRule="auto"/>
        <w:jc w:val="both"/>
        <w:rPr>
          <w:szCs w:val="22"/>
        </w:rPr>
      </w:pPr>
      <w:r>
        <w:rPr>
          <w:szCs w:val="22"/>
        </w:rPr>
        <w:t xml:space="preserve">Deshalb </w:t>
      </w:r>
      <w:r w:rsidRPr="009C7054">
        <w:rPr>
          <w:szCs w:val="22"/>
        </w:rPr>
        <w:t xml:space="preserve">wurde </w:t>
      </w:r>
      <w:r w:rsidR="0058142D" w:rsidRPr="009C7054">
        <w:rPr>
          <w:szCs w:val="22"/>
        </w:rPr>
        <w:t>für diesen Bericht</w:t>
      </w:r>
      <w:r>
        <w:rPr>
          <w:szCs w:val="22"/>
        </w:rPr>
        <w:t>, s</w:t>
      </w:r>
      <w:r w:rsidRPr="009C7054">
        <w:rPr>
          <w:szCs w:val="22"/>
        </w:rPr>
        <w:t>oweit es die Zugänglichkeit erlaubt</w:t>
      </w:r>
      <w:r>
        <w:rPr>
          <w:szCs w:val="22"/>
        </w:rPr>
        <w:t>,</w:t>
      </w:r>
      <w:r w:rsidRPr="009C7054">
        <w:rPr>
          <w:szCs w:val="22"/>
        </w:rPr>
        <w:t xml:space="preserve"> </w:t>
      </w:r>
      <w:r w:rsidR="0058142D" w:rsidRPr="009C7054">
        <w:rPr>
          <w:szCs w:val="22"/>
        </w:rPr>
        <w:t>auf Originaldaten zug</w:t>
      </w:r>
      <w:r w:rsidR="0058142D" w:rsidRPr="009C7054">
        <w:rPr>
          <w:szCs w:val="22"/>
        </w:rPr>
        <w:t>e</w:t>
      </w:r>
      <w:r w:rsidR="0058142D" w:rsidRPr="009C7054">
        <w:rPr>
          <w:szCs w:val="22"/>
        </w:rPr>
        <w:t>griffen und zugleich deren Erhebungsmethoden geprüft</w:t>
      </w:r>
      <w:r>
        <w:rPr>
          <w:szCs w:val="22"/>
        </w:rPr>
        <w:t>. Es erwies sich als sehr produktiv</w:t>
      </w:r>
      <w:r w:rsidR="0058142D" w:rsidRPr="009C7054">
        <w:rPr>
          <w:szCs w:val="22"/>
        </w:rPr>
        <w:t>,</w:t>
      </w:r>
      <w:r>
        <w:rPr>
          <w:szCs w:val="22"/>
        </w:rPr>
        <w:t xml:space="preserve"> dass in den USA viele empirische Daten öffentlich zugänglich, manchmal sogar als verwendbare D</w:t>
      </w:r>
      <w:r>
        <w:rPr>
          <w:szCs w:val="22"/>
        </w:rPr>
        <w:t>a</w:t>
      </w:r>
      <w:r>
        <w:rPr>
          <w:szCs w:val="22"/>
        </w:rPr>
        <w:t xml:space="preserve">tensätze verfügbar sind – eine Sachlage, die in </w:t>
      </w:r>
      <w:r w:rsidR="007B4935">
        <w:rPr>
          <w:szCs w:val="22"/>
        </w:rPr>
        <w:t>gesetzlichen</w:t>
      </w:r>
      <w:r>
        <w:rPr>
          <w:szCs w:val="22"/>
        </w:rPr>
        <w:t xml:space="preserve"> Regelungen zur Umsetzung des </w:t>
      </w:r>
      <w:r w:rsidR="00D01097">
        <w:rPr>
          <w:szCs w:val="22"/>
        </w:rPr>
        <w:t>R</w:t>
      </w:r>
      <w:r w:rsidR="00D01097">
        <w:rPr>
          <w:szCs w:val="22"/>
        </w:rPr>
        <w:t>e</w:t>
      </w:r>
      <w:r w:rsidR="00D01097">
        <w:rPr>
          <w:szCs w:val="22"/>
        </w:rPr>
        <w:t>gulierung</w:t>
      </w:r>
      <w:r>
        <w:rPr>
          <w:szCs w:val="22"/>
        </w:rPr>
        <w:t xml:space="preserve">sprozesses im Interesse der öffentlichen Kontrolle </w:t>
      </w:r>
      <w:r w:rsidR="00B2611A">
        <w:rPr>
          <w:szCs w:val="22"/>
        </w:rPr>
        <w:t xml:space="preserve">auch </w:t>
      </w:r>
      <w:r>
        <w:rPr>
          <w:szCs w:val="22"/>
        </w:rPr>
        <w:t>festgelegt wur</w:t>
      </w:r>
      <w:r w:rsidR="00B2611A">
        <w:rPr>
          <w:szCs w:val="22"/>
        </w:rPr>
        <w:t xml:space="preserve">de. </w:t>
      </w:r>
      <w:r>
        <w:rPr>
          <w:szCs w:val="22"/>
        </w:rPr>
        <w:t>D</w:t>
      </w:r>
      <w:r w:rsidR="0058142D" w:rsidRPr="009C7054">
        <w:rPr>
          <w:szCs w:val="22"/>
        </w:rPr>
        <w:t>ort, wo dies nicht möglich war, wur</w:t>
      </w:r>
      <w:r>
        <w:rPr>
          <w:szCs w:val="22"/>
        </w:rPr>
        <w:t>de</w:t>
      </w:r>
      <w:r w:rsidR="0058142D" w:rsidRPr="009C7054">
        <w:rPr>
          <w:szCs w:val="22"/>
        </w:rPr>
        <w:t xml:space="preserve"> zumindest auf die Leerstellen</w:t>
      </w:r>
      <w:r w:rsidR="00417C52" w:rsidRPr="009C7054">
        <w:rPr>
          <w:szCs w:val="22"/>
        </w:rPr>
        <w:t xml:space="preserve"> hingewiesen.</w:t>
      </w:r>
    </w:p>
    <w:p w14:paraId="40AB8AA4" w14:textId="77777777" w:rsidR="00B1292B" w:rsidRPr="009C7054" w:rsidRDefault="00B1292B" w:rsidP="009D7629">
      <w:pPr>
        <w:spacing w:line="276" w:lineRule="auto"/>
        <w:jc w:val="both"/>
        <w:rPr>
          <w:szCs w:val="22"/>
        </w:rPr>
      </w:pPr>
    </w:p>
    <w:p w14:paraId="1AD3367D" w14:textId="589616AC" w:rsidR="00DB211E" w:rsidRPr="009C7054" w:rsidRDefault="00417C52" w:rsidP="009D7629">
      <w:pPr>
        <w:spacing w:line="276" w:lineRule="auto"/>
        <w:jc w:val="both"/>
        <w:rPr>
          <w:szCs w:val="22"/>
        </w:rPr>
      </w:pPr>
      <w:r w:rsidRPr="009C7054">
        <w:rPr>
          <w:szCs w:val="22"/>
        </w:rPr>
        <w:t>Unübersehbar ist jedoch, dass der Einschätzung ausdrücklich zuzustimmen ist, dass es zu früh ist, aus den vorliegenden Daten Schlussfolgerungen</w:t>
      </w:r>
      <w:r w:rsidR="0058142D" w:rsidRPr="009C7054">
        <w:rPr>
          <w:szCs w:val="22"/>
        </w:rPr>
        <w:t xml:space="preserve"> </w:t>
      </w:r>
      <w:r w:rsidRPr="009C7054">
        <w:rPr>
          <w:szCs w:val="22"/>
        </w:rPr>
        <w:t xml:space="preserve">in Bezug auf potentielle Effekte </w:t>
      </w:r>
      <w:r w:rsidR="00AE096D">
        <w:rPr>
          <w:szCs w:val="22"/>
        </w:rPr>
        <w:t>der</w:t>
      </w:r>
      <w:r w:rsidRPr="009C7054">
        <w:rPr>
          <w:szCs w:val="22"/>
        </w:rPr>
        <w:t xml:space="preserve"> </w:t>
      </w:r>
      <w:r w:rsidR="00D01097">
        <w:rPr>
          <w:szCs w:val="22"/>
        </w:rPr>
        <w:t>Reguli</w:t>
      </w:r>
      <w:r w:rsidR="00D01097">
        <w:rPr>
          <w:szCs w:val="22"/>
        </w:rPr>
        <w:t>e</w:t>
      </w:r>
      <w:r w:rsidR="00D01097">
        <w:rPr>
          <w:szCs w:val="22"/>
        </w:rPr>
        <w:t>rung</w:t>
      </w:r>
      <w:r w:rsidR="00AE096D">
        <w:rPr>
          <w:szCs w:val="22"/>
        </w:rPr>
        <w:t>sprozesse</w:t>
      </w:r>
      <w:r w:rsidRPr="009C7054">
        <w:rPr>
          <w:szCs w:val="22"/>
        </w:rPr>
        <w:t xml:space="preserve"> für verschiedene Bereiche des sozialen Lebens abzuleiten (vgl. Reed 2016, S. 5). Dies nicht nur, weil </w:t>
      </w:r>
      <w:r w:rsidR="007B4935">
        <w:rPr>
          <w:szCs w:val="22"/>
        </w:rPr>
        <w:t>teilweise</w:t>
      </w:r>
      <w:r w:rsidRPr="009C7054">
        <w:rPr>
          <w:szCs w:val="22"/>
        </w:rPr>
        <w:t xml:space="preserve"> </w:t>
      </w:r>
      <w:r w:rsidR="007B4935">
        <w:rPr>
          <w:szCs w:val="22"/>
        </w:rPr>
        <w:t>nicht ausreichend</w:t>
      </w:r>
      <w:r w:rsidRPr="009C7054">
        <w:rPr>
          <w:szCs w:val="22"/>
        </w:rPr>
        <w:t xml:space="preserve"> Daten existieren, mit dene</w:t>
      </w:r>
      <w:r w:rsidR="00A971DD" w:rsidRPr="009C7054">
        <w:rPr>
          <w:szCs w:val="22"/>
        </w:rPr>
        <w:t>n</w:t>
      </w:r>
      <w:r w:rsidRPr="009C7054">
        <w:rPr>
          <w:szCs w:val="22"/>
        </w:rPr>
        <w:t xml:space="preserve"> der Status vor einer </w:t>
      </w:r>
      <w:r w:rsidR="00D01097">
        <w:rPr>
          <w:szCs w:val="22"/>
        </w:rPr>
        <w:t>Regulierung</w:t>
      </w:r>
      <w:r w:rsidRPr="009C7054">
        <w:rPr>
          <w:szCs w:val="22"/>
        </w:rPr>
        <w:t xml:space="preserve"> festgehalten </w:t>
      </w:r>
      <w:r w:rsidR="00A331B6" w:rsidRPr="009C7054">
        <w:rPr>
          <w:szCs w:val="22"/>
        </w:rPr>
        <w:t>wurde</w:t>
      </w:r>
      <w:r w:rsidRPr="009C7054">
        <w:rPr>
          <w:szCs w:val="22"/>
        </w:rPr>
        <w:t xml:space="preserve"> und die bisher überschaubaren Zeiträume für die nötigen </w:t>
      </w:r>
      <w:r w:rsidR="00FD1D31">
        <w:rPr>
          <w:szCs w:val="22"/>
        </w:rPr>
        <w:t>u</w:t>
      </w:r>
      <w:r w:rsidR="00FD1D31">
        <w:rPr>
          <w:szCs w:val="22"/>
        </w:rPr>
        <w:t>m</w:t>
      </w:r>
      <w:r w:rsidR="00FD1D31">
        <w:rPr>
          <w:szCs w:val="22"/>
        </w:rPr>
        <w:t xml:space="preserve">fassenden </w:t>
      </w:r>
      <w:r w:rsidRPr="009C7054">
        <w:rPr>
          <w:szCs w:val="22"/>
        </w:rPr>
        <w:t>sozialen Veränderungen zu kurz sind</w:t>
      </w:r>
      <w:r w:rsidR="00A331B6" w:rsidRPr="009C7054">
        <w:rPr>
          <w:szCs w:val="22"/>
        </w:rPr>
        <w:t>; vor allem aber auch deshalb</w:t>
      </w:r>
      <w:r w:rsidRPr="009C7054">
        <w:rPr>
          <w:szCs w:val="22"/>
        </w:rPr>
        <w:t xml:space="preserve">, </w:t>
      </w:r>
      <w:r w:rsidR="00A331B6" w:rsidRPr="009C7054">
        <w:rPr>
          <w:szCs w:val="22"/>
        </w:rPr>
        <w:t xml:space="preserve">weil </w:t>
      </w:r>
      <w:r w:rsidR="00D01097">
        <w:rPr>
          <w:szCs w:val="22"/>
        </w:rPr>
        <w:t>Regulierung</w:t>
      </w:r>
      <w:r w:rsidR="00A331B6" w:rsidRPr="009C7054">
        <w:rPr>
          <w:szCs w:val="22"/>
        </w:rPr>
        <w:t xml:space="preserve"> eben kein alternierendes Ereignis ist, sondern ein Prozess, mit dem in vielen Einzelschritten eine </w:t>
      </w:r>
      <w:r w:rsidR="00FD1D31">
        <w:rPr>
          <w:szCs w:val="22"/>
        </w:rPr>
        <w:t xml:space="preserve">völlig </w:t>
      </w:r>
      <w:r w:rsidR="00A331B6" w:rsidRPr="009C7054">
        <w:rPr>
          <w:szCs w:val="22"/>
        </w:rPr>
        <w:t>neue</w:t>
      </w:r>
      <w:r w:rsidR="00FD1D31">
        <w:rPr>
          <w:szCs w:val="22"/>
        </w:rPr>
        <w:t xml:space="preserve"> </w:t>
      </w:r>
      <w:r w:rsidR="00B2611A">
        <w:rPr>
          <w:szCs w:val="22"/>
        </w:rPr>
        <w:t xml:space="preserve">und zudem </w:t>
      </w:r>
      <w:r w:rsidR="00FD1D31">
        <w:rPr>
          <w:szCs w:val="22"/>
        </w:rPr>
        <w:t>komplexe</w:t>
      </w:r>
      <w:r w:rsidR="00A331B6" w:rsidRPr="009C7054">
        <w:rPr>
          <w:szCs w:val="22"/>
        </w:rPr>
        <w:t xml:space="preserve"> soziale Praxis entwi</w:t>
      </w:r>
      <w:r w:rsidR="007B4935">
        <w:rPr>
          <w:szCs w:val="22"/>
        </w:rPr>
        <w:t>ckelt</w:t>
      </w:r>
      <w:r w:rsidR="00A331B6" w:rsidRPr="009C7054">
        <w:rPr>
          <w:szCs w:val="22"/>
        </w:rPr>
        <w:t xml:space="preserve"> und durchgesetzt werden muss – oft auch gegen Widerstände von Interessengruppen, die bis dahin von der Prohibition profitieren konnten.  </w:t>
      </w:r>
    </w:p>
    <w:p w14:paraId="76CA4747" w14:textId="7A1691CB" w:rsidR="001C1EE3" w:rsidRPr="00762252" w:rsidRDefault="001C1EE3" w:rsidP="009D7629">
      <w:pPr>
        <w:spacing w:line="276" w:lineRule="auto"/>
        <w:jc w:val="both"/>
        <w:rPr>
          <w:szCs w:val="22"/>
        </w:rPr>
      </w:pPr>
    </w:p>
    <w:p w14:paraId="1F288AE8" w14:textId="38EA4F7E" w:rsidR="004065C6" w:rsidRDefault="00A331B6" w:rsidP="009D7629">
      <w:pPr>
        <w:spacing w:line="276" w:lineRule="auto"/>
        <w:jc w:val="both"/>
        <w:rPr>
          <w:szCs w:val="22"/>
        </w:rPr>
      </w:pPr>
      <w:r>
        <w:rPr>
          <w:szCs w:val="22"/>
        </w:rPr>
        <w:t xml:space="preserve">Ausgehend von den Themenbereichen, die in den drogenpolitischen Debatten um eine </w:t>
      </w:r>
      <w:r w:rsidR="00D01097">
        <w:rPr>
          <w:szCs w:val="22"/>
        </w:rPr>
        <w:t>Reguli</w:t>
      </w:r>
      <w:r w:rsidR="00D01097">
        <w:rPr>
          <w:szCs w:val="22"/>
        </w:rPr>
        <w:t>e</w:t>
      </w:r>
      <w:r w:rsidR="00D01097">
        <w:rPr>
          <w:szCs w:val="22"/>
        </w:rPr>
        <w:t>rung</w:t>
      </w:r>
      <w:r>
        <w:rPr>
          <w:szCs w:val="22"/>
        </w:rPr>
        <w:t xml:space="preserve"> in Deutschland besonders in Betracht gezogen werden, wurden folgende Themenkomplexe für diese Zusammenschau der Effekte </w:t>
      </w:r>
      <w:r w:rsidR="00AE096D">
        <w:rPr>
          <w:szCs w:val="22"/>
        </w:rPr>
        <w:t>von</w:t>
      </w:r>
      <w:r>
        <w:rPr>
          <w:szCs w:val="22"/>
        </w:rPr>
        <w:t xml:space="preserve"> </w:t>
      </w:r>
      <w:r w:rsidR="00D01097">
        <w:rPr>
          <w:szCs w:val="22"/>
        </w:rPr>
        <w:t>Regulierung</w:t>
      </w:r>
      <w:r w:rsidR="00AE096D">
        <w:rPr>
          <w:szCs w:val="22"/>
        </w:rPr>
        <w:t>sprozessen</w:t>
      </w:r>
      <w:r>
        <w:rPr>
          <w:szCs w:val="22"/>
        </w:rPr>
        <w:t xml:space="preserve"> ausgewählt:</w:t>
      </w:r>
    </w:p>
    <w:p w14:paraId="2385EC36" w14:textId="77777777" w:rsidR="00A331B6" w:rsidRPr="00E329E7" w:rsidRDefault="00A331B6" w:rsidP="00F67143">
      <w:pPr>
        <w:pStyle w:val="Listenabsatz"/>
        <w:numPr>
          <w:ilvl w:val="0"/>
          <w:numId w:val="13"/>
        </w:numPr>
        <w:spacing w:line="276" w:lineRule="auto"/>
        <w:jc w:val="both"/>
        <w:rPr>
          <w:szCs w:val="22"/>
        </w:rPr>
      </w:pPr>
      <w:r w:rsidRPr="00E329E7">
        <w:rPr>
          <w:szCs w:val="22"/>
        </w:rPr>
        <w:t>Entwicklung der Verbreitung des Konsums von Marihuana in der Bevölkerung</w:t>
      </w:r>
    </w:p>
    <w:p w14:paraId="5D0D44B0" w14:textId="48B84EB5" w:rsidR="00B2611A" w:rsidRDefault="00B2611A" w:rsidP="00F67143">
      <w:pPr>
        <w:pStyle w:val="Listenabsatz"/>
        <w:numPr>
          <w:ilvl w:val="0"/>
          <w:numId w:val="13"/>
        </w:numPr>
        <w:spacing w:line="276" w:lineRule="auto"/>
        <w:jc w:val="both"/>
        <w:rPr>
          <w:szCs w:val="22"/>
        </w:rPr>
      </w:pPr>
      <w:r w:rsidRPr="00E329E7">
        <w:rPr>
          <w:szCs w:val="22"/>
        </w:rPr>
        <w:t xml:space="preserve">Konsequenzen der </w:t>
      </w:r>
      <w:r w:rsidR="00D01097">
        <w:rPr>
          <w:szCs w:val="22"/>
        </w:rPr>
        <w:t>Regulierung</w:t>
      </w:r>
      <w:r w:rsidRPr="00E329E7">
        <w:rPr>
          <w:szCs w:val="22"/>
        </w:rPr>
        <w:t xml:space="preserve"> im Bereich Jugend und Bildung</w:t>
      </w:r>
    </w:p>
    <w:p w14:paraId="316CA105" w14:textId="44EBB048" w:rsidR="00A331B6" w:rsidRDefault="00A331B6" w:rsidP="00F67143">
      <w:pPr>
        <w:pStyle w:val="Listenabsatz"/>
        <w:numPr>
          <w:ilvl w:val="0"/>
          <w:numId w:val="13"/>
        </w:numPr>
        <w:spacing w:line="276" w:lineRule="auto"/>
        <w:jc w:val="both"/>
        <w:rPr>
          <w:szCs w:val="22"/>
        </w:rPr>
      </w:pPr>
      <w:r w:rsidRPr="00E329E7">
        <w:rPr>
          <w:szCs w:val="22"/>
        </w:rPr>
        <w:t>Entwicklungen rund um die Verkehrssicherheit</w:t>
      </w:r>
    </w:p>
    <w:p w14:paraId="5D4D1563" w14:textId="5BBB37AF" w:rsidR="007B4935" w:rsidRPr="00E329E7" w:rsidRDefault="007B4935" w:rsidP="00F67143">
      <w:pPr>
        <w:pStyle w:val="Listenabsatz"/>
        <w:numPr>
          <w:ilvl w:val="0"/>
          <w:numId w:val="13"/>
        </w:numPr>
        <w:spacing w:line="276" w:lineRule="auto"/>
        <w:jc w:val="both"/>
        <w:rPr>
          <w:szCs w:val="22"/>
        </w:rPr>
      </w:pPr>
      <w:r>
        <w:rPr>
          <w:szCs w:val="22"/>
        </w:rPr>
        <w:t>Entwicklung therapiebedürftiger Probleme in Zusammenhang mit Marihuanakonsum</w:t>
      </w:r>
    </w:p>
    <w:p w14:paraId="2AC28C4D" w14:textId="1CC97008" w:rsidR="00166F3B" w:rsidRDefault="00166F3B" w:rsidP="00F67143">
      <w:pPr>
        <w:pStyle w:val="Listenabsatz"/>
        <w:numPr>
          <w:ilvl w:val="0"/>
          <w:numId w:val="13"/>
        </w:numPr>
        <w:spacing w:line="276" w:lineRule="auto"/>
        <w:jc w:val="both"/>
        <w:rPr>
          <w:szCs w:val="22"/>
        </w:rPr>
      </w:pPr>
      <w:r>
        <w:rPr>
          <w:szCs w:val="22"/>
        </w:rPr>
        <w:t xml:space="preserve">Konsequenzen für den Bereich </w:t>
      </w:r>
      <w:r w:rsidRPr="00762252">
        <w:rPr>
          <w:szCs w:val="22"/>
        </w:rPr>
        <w:t>öffentlichen Gesundheit</w:t>
      </w:r>
    </w:p>
    <w:p w14:paraId="10F09722" w14:textId="0D6B028A" w:rsidR="007B4935" w:rsidRDefault="007B4935" w:rsidP="00F67143">
      <w:pPr>
        <w:pStyle w:val="Listenabsatz"/>
        <w:numPr>
          <w:ilvl w:val="0"/>
          <w:numId w:val="13"/>
        </w:numPr>
        <w:spacing w:line="276" w:lineRule="auto"/>
        <w:jc w:val="both"/>
        <w:rPr>
          <w:szCs w:val="22"/>
        </w:rPr>
      </w:pPr>
      <w:r>
        <w:rPr>
          <w:szCs w:val="22"/>
        </w:rPr>
        <w:t xml:space="preserve">Entwicklungen im Bereich der Kriminalität und Strafverfolgung </w:t>
      </w:r>
    </w:p>
    <w:p w14:paraId="1B0642C2" w14:textId="77777777" w:rsidR="00EF5BA2" w:rsidRDefault="00EF5BA2" w:rsidP="009D7629">
      <w:pPr>
        <w:spacing w:line="276" w:lineRule="auto"/>
        <w:ind w:left="360"/>
        <w:jc w:val="both"/>
        <w:rPr>
          <w:szCs w:val="22"/>
        </w:rPr>
      </w:pPr>
    </w:p>
    <w:p w14:paraId="096AAF58" w14:textId="2DEDEA82" w:rsidR="006618B8" w:rsidRPr="006E7F99" w:rsidRDefault="006618B8" w:rsidP="00C17576">
      <w:pPr>
        <w:pStyle w:val="berschrift2"/>
        <w:numPr>
          <w:ilvl w:val="0"/>
          <w:numId w:val="0"/>
        </w:numPr>
      </w:pPr>
      <w:bookmarkStart w:id="17" w:name="_Toc349300346"/>
      <w:r w:rsidRPr="00C17576">
        <w:t>Literatur</w:t>
      </w:r>
      <w:bookmarkEnd w:id="17"/>
    </w:p>
    <w:p w14:paraId="5CD57432" w14:textId="77777777" w:rsidR="006618B8" w:rsidRPr="002E7129" w:rsidRDefault="006618B8" w:rsidP="009F365C">
      <w:pPr>
        <w:pStyle w:val="KeinLeerraum"/>
        <w:ind w:left="142" w:hanging="142"/>
        <w:rPr>
          <w:rFonts w:cs="Arial"/>
          <w:szCs w:val="22"/>
        </w:rPr>
      </w:pPr>
      <w:r w:rsidRPr="002E7129">
        <w:rPr>
          <w:rFonts w:cs="Arial"/>
          <w:szCs w:val="22"/>
        </w:rPr>
        <w:t xml:space="preserve">Anders, J. (1990): </w:t>
      </w:r>
      <w:r w:rsidRPr="002E7129">
        <w:rPr>
          <w:rFonts w:cs="Arial"/>
          <w:iCs/>
          <w:szCs w:val="22"/>
        </w:rPr>
        <w:t xml:space="preserve">Beyond Counterculture: the community of Mateel. </w:t>
      </w:r>
      <w:r w:rsidRPr="002E7129">
        <w:rPr>
          <w:rFonts w:cs="Arial"/>
          <w:szCs w:val="22"/>
        </w:rPr>
        <w:t>Pullman, WA: Washington State University</w:t>
      </w:r>
    </w:p>
    <w:p w14:paraId="03D788F8" w14:textId="7BD3F9D1" w:rsidR="006618B8" w:rsidRPr="002E7129" w:rsidRDefault="00C12328" w:rsidP="009F365C">
      <w:pPr>
        <w:ind w:left="142" w:hanging="142"/>
        <w:rPr>
          <w:szCs w:val="22"/>
        </w:rPr>
      </w:pPr>
      <w:r>
        <w:rPr>
          <w:szCs w:val="22"/>
        </w:rPr>
        <w:t>Centers of Disease Control and P</w:t>
      </w:r>
      <w:r w:rsidR="006618B8" w:rsidRPr="002E7129">
        <w:rPr>
          <w:szCs w:val="22"/>
        </w:rPr>
        <w:t xml:space="preserve">revention (2016): </w:t>
      </w:r>
      <w:r w:rsidR="006618B8" w:rsidRPr="002E7129">
        <w:rPr>
          <w:bCs/>
          <w:szCs w:val="22"/>
        </w:rPr>
        <w:t xml:space="preserve">Youth Risk Behavior Surveillance — United States, 2015. In: </w:t>
      </w:r>
      <w:r w:rsidR="006618B8" w:rsidRPr="002E7129">
        <w:rPr>
          <w:szCs w:val="22"/>
        </w:rPr>
        <w:t xml:space="preserve">Morbidity and Mortality Weekly Report Surveillance Summaries / Vol. 65 / No. 6 June 10, 2016, In: </w:t>
      </w:r>
      <w:hyperlink r:id="rId20" w:history="1">
        <w:r w:rsidR="006618B8" w:rsidRPr="002E7129">
          <w:rPr>
            <w:rStyle w:val="Link"/>
            <w:color w:val="auto"/>
            <w:szCs w:val="22"/>
          </w:rPr>
          <w:t>http://www.cdc.gov/healthyyouth/data/yrbs/pdf/2015/ss6506_updated.pdf</w:t>
        </w:r>
      </w:hyperlink>
      <w:r w:rsidR="006618B8" w:rsidRPr="002E7129">
        <w:rPr>
          <w:szCs w:val="22"/>
        </w:rPr>
        <w:t xml:space="preserve"> vom 06.12.2016</w:t>
      </w:r>
    </w:p>
    <w:p w14:paraId="7EAE4DA9" w14:textId="77777777" w:rsidR="006618B8" w:rsidRPr="002E7129" w:rsidRDefault="006618B8" w:rsidP="009F365C">
      <w:pPr>
        <w:ind w:left="142" w:hanging="142"/>
        <w:rPr>
          <w:rFonts w:cs="Helvetica"/>
          <w:bCs/>
          <w:szCs w:val="22"/>
        </w:rPr>
      </w:pPr>
      <w:r w:rsidRPr="002E7129">
        <w:rPr>
          <w:rFonts w:cs="Helvetica"/>
          <w:bCs/>
          <w:szCs w:val="22"/>
        </w:rPr>
        <w:t>California’s Compassionate Use Act – Medicinal Marijuana – California Health &amp; Safety Code Se</w:t>
      </w:r>
      <w:r w:rsidRPr="002E7129">
        <w:rPr>
          <w:rFonts w:cs="Helvetica"/>
          <w:bCs/>
          <w:szCs w:val="22"/>
        </w:rPr>
        <w:t>c</w:t>
      </w:r>
      <w:r w:rsidRPr="002E7129">
        <w:rPr>
          <w:rFonts w:cs="Helvetica"/>
          <w:bCs/>
          <w:szCs w:val="22"/>
        </w:rPr>
        <w:t xml:space="preserve">tion 11362.5 (CUA)(1996). In: </w:t>
      </w:r>
      <w:hyperlink r:id="rId21" w:history="1">
        <w:r w:rsidRPr="002E7129">
          <w:rPr>
            <w:rStyle w:val="Link"/>
            <w:rFonts w:cs="Helvetica"/>
            <w:bCs/>
            <w:color w:val="auto"/>
            <w:szCs w:val="22"/>
          </w:rPr>
          <w:t>http://www.southerncaliforniadefenseblog.com/2010/05/californias_compassionate_use.html</w:t>
        </w:r>
      </w:hyperlink>
      <w:r w:rsidRPr="002E7129">
        <w:rPr>
          <w:rFonts w:cs="Helvetica"/>
          <w:bCs/>
          <w:szCs w:val="22"/>
        </w:rPr>
        <w:t xml:space="preserve"> vom 07.12.2016</w:t>
      </w:r>
    </w:p>
    <w:p w14:paraId="7FE635BD" w14:textId="2B7B2E1E" w:rsidR="006618B8" w:rsidRPr="002E7129" w:rsidRDefault="006618B8" w:rsidP="009F365C">
      <w:pPr>
        <w:pStyle w:val="KeinLeerraum"/>
        <w:ind w:left="142" w:hanging="142"/>
        <w:rPr>
          <w:rFonts w:cs="Arial"/>
          <w:bCs/>
          <w:szCs w:val="22"/>
        </w:rPr>
      </w:pPr>
      <w:r w:rsidRPr="002E7129">
        <w:rPr>
          <w:rFonts w:cs="Arial"/>
          <w:bCs/>
          <w:szCs w:val="22"/>
        </w:rPr>
        <w:t>Go</w:t>
      </w:r>
      <w:r w:rsidR="00B339D8" w:rsidRPr="002E7129">
        <w:rPr>
          <w:rFonts w:cs="Arial"/>
          <w:bCs/>
          <w:szCs w:val="22"/>
        </w:rPr>
        <w:t>ld, J. Gregg;</w:t>
      </w:r>
      <w:r w:rsidRPr="002E7129">
        <w:rPr>
          <w:rFonts w:cs="Arial"/>
          <w:bCs/>
          <w:szCs w:val="22"/>
        </w:rPr>
        <w:t xml:space="preserve"> Nguyen, Alyssat (2009): Comparing entering Freshmen’s perceptions of campus marijuana and alcohol use to reported us. In: J. drig education, Vol. 39(2) 2009, 133-148</w:t>
      </w:r>
    </w:p>
    <w:p w14:paraId="3DA8A2D9" w14:textId="77777777" w:rsidR="006618B8" w:rsidRPr="002E7129" w:rsidRDefault="006618B8" w:rsidP="009F365C">
      <w:pPr>
        <w:pStyle w:val="KeinLeerraum"/>
        <w:ind w:left="142" w:hanging="142"/>
        <w:rPr>
          <w:rFonts w:cs="SourceSansPro-Regular"/>
          <w:szCs w:val="22"/>
        </w:rPr>
      </w:pPr>
      <w:r w:rsidRPr="002E7129">
        <w:rPr>
          <w:rFonts w:cs="SourceSansPro-Semibold"/>
          <w:bCs/>
          <w:szCs w:val="22"/>
        </w:rPr>
        <w:t>Green, Ninja (2012): Emerald Triangle in Northern California. In: The Business of weed in Am</w:t>
      </w:r>
      <w:r w:rsidRPr="002E7129">
        <w:rPr>
          <w:rFonts w:cs="SourceSansPro-Semibold"/>
          <w:bCs/>
          <w:szCs w:val="22"/>
        </w:rPr>
        <w:t>e</w:t>
      </w:r>
      <w:r w:rsidRPr="002E7129">
        <w:rPr>
          <w:rFonts w:cs="SourceSansPro-Semibold"/>
          <w:bCs/>
          <w:szCs w:val="22"/>
        </w:rPr>
        <w:t xml:space="preserve">rica on June 5, 2012 </w:t>
      </w:r>
      <w:hyperlink r:id="rId22" w:history="1">
        <w:r w:rsidRPr="002E7129">
          <w:rPr>
            <w:rStyle w:val="Link"/>
            <w:rFonts w:cs="SourceSansPro-Semibold"/>
            <w:bCs/>
            <w:color w:val="auto"/>
            <w:szCs w:val="22"/>
          </w:rPr>
          <w:t>http://theweedbusiness.com/emerald-triangle-in-northern-california/</w:t>
        </w:r>
      </w:hyperlink>
      <w:r w:rsidRPr="002E7129">
        <w:rPr>
          <w:rFonts w:cs="SourceSansPro-Semibold"/>
          <w:bCs/>
          <w:szCs w:val="22"/>
        </w:rPr>
        <w:t xml:space="preserve"> </w:t>
      </w:r>
      <w:r w:rsidRPr="002E7129">
        <w:rPr>
          <w:rFonts w:cs="SourceSansPro-Regular"/>
          <w:szCs w:val="22"/>
        </w:rPr>
        <w:t>vom 15.10.2016</w:t>
      </w:r>
    </w:p>
    <w:p w14:paraId="097C3D2C" w14:textId="0C2DFF17" w:rsidR="006618B8" w:rsidRPr="002E7129" w:rsidRDefault="00C12328" w:rsidP="009F365C">
      <w:pPr>
        <w:pStyle w:val="KeinLeerraum"/>
        <w:ind w:left="142" w:hanging="142"/>
        <w:rPr>
          <w:szCs w:val="22"/>
        </w:rPr>
      </w:pPr>
      <w:r>
        <w:rPr>
          <w:rFonts w:cs="Helvetica"/>
          <w:szCs w:val="22"/>
        </w:rPr>
        <w:t>HiiMR (2016): How C</w:t>
      </w:r>
      <w:r w:rsidR="006618B8" w:rsidRPr="002E7129">
        <w:rPr>
          <w:rFonts w:cs="Helvetica"/>
          <w:szCs w:val="22"/>
        </w:rPr>
        <w:t>alifornias independent cannabis farmers can stand us. In:</w:t>
      </w:r>
      <w:r w:rsidR="006618B8" w:rsidRPr="002E7129">
        <w:rPr>
          <w:szCs w:val="22"/>
        </w:rPr>
        <w:t xml:space="preserve"> </w:t>
      </w:r>
      <w:r w:rsidR="006618B8" w:rsidRPr="002E7129">
        <w:rPr>
          <w:rFonts w:cs="Helvetica"/>
          <w:szCs w:val="22"/>
          <w:u w:val="single" w:color="0950D0"/>
        </w:rPr>
        <w:t>http://www.huffingtonpost.com/entry/how-californias-independent-cannabis-farmers-can-stand_us_581f94fde4b044f827a78f3f</w:t>
      </w:r>
      <w:r w:rsidR="006618B8" w:rsidRPr="002E7129">
        <w:rPr>
          <w:rFonts w:cs="Times New Roman"/>
          <w:szCs w:val="22"/>
        </w:rPr>
        <w:t xml:space="preserve">  vom 26. Oktober 2016</w:t>
      </w:r>
    </w:p>
    <w:p w14:paraId="7E436865" w14:textId="77777777" w:rsidR="006618B8" w:rsidRPr="002E7129" w:rsidRDefault="006618B8" w:rsidP="009F365C">
      <w:pPr>
        <w:pStyle w:val="KeinLeerraum"/>
        <w:ind w:left="142" w:hanging="142"/>
        <w:rPr>
          <w:bCs/>
          <w:szCs w:val="22"/>
        </w:rPr>
      </w:pPr>
      <w:r w:rsidRPr="002E7129">
        <w:rPr>
          <w:szCs w:val="22"/>
        </w:rPr>
        <w:t>Hughes, Arthur; Rachel; M.S.; Lipari, N.; Williams, Matthew R. (2016): Marijuana use and perce</w:t>
      </w:r>
      <w:r w:rsidRPr="002E7129">
        <w:rPr>
          <w:szCs w:val="22"/>
        </w:rPr>
        <w:t>i</w:t>
      </w:r>
      <w:r w:rsidRPr="002E7129">
        <w:rPr>
          <w:szCs w:val="22"/>
        </w:rPr>
        <w:t>ved risk of harm from Marijuana use varies within and across States</w:t>
      </w:r>
      <w:r w:rsidRPr="002E7129">
        <w:rPr>
          <w:bCs/>
          <w:szCs w:val="22"/>
        </w:rPr>
        <w:t xml:space="preserve">. In: SAMHSA(2016): CBHSQ-Report from July 26. 2016. In: </w:t>
      </w:r>
      <w:hyperlink r:id="rId23" w:history="1">
        <w:r w:rsidRPr="002E7129">
          <w:rPr>
            <w:rStyle w:val="Link"/>
            <w:rFonts w:cs="Lucida Grande"/>
            <w:bCs/>
            <w:color w:val="auto"/>
            <w:szCs w:val="22"/>
          </w:rPr>
          <w:t>http://www.samhsa.gov/data/sites/default/files/report_2404/ShortReport-2404.html</w:t>
        </w:r>
      </w:hyperlink>
      <w:r w:rsidRPr="002E7129">
        <w:rPr>
          <w:bCs/>
          <w:szCs w:val="22"/>
        </w:rPr>
        <w:t xml:space="preserve"> vom 30. Oktober 2016 </w:t>
      </w:r>
    </w:p>
    <w:p w14:paraId="7B08D95B" w14:textId="5B9FBAAB" w:rsidR="006618B8" w:rsidRPr="002E7129" w:rsidRDefault="006618B8" w:rsidP="009F365C">
      <w:pPr>
        <w:ind w:left="142" w:hanging="142"/>
        <w:rPr>
          <w:rFonts w:cs="Arial"/>
          <w:bCs/>
          <w:szCs w:val="22"/>
        </w:rPr>
      </w:pPr>
      <w:r w:rsidRPr="002E7129">
        <w:rPr>
          <w:szCs w:val="22"/>
        </w:rPr>
        <w:t>Humboldt Country Dist</w:t>
      </w:r>
      <w:r w:rsidR="00C12328">
        <w:rPr>
          <w:szCs w:val="22"/>
        </w:rPr>
        <w:t>r</w:t>
      </w:r>
      <w:r w:rsidRPr="002E7129">
        <w:rPr>
          <w:szCs w:val="22"/>
        </w:rPr>
        <w:t xml:space="preserve">ict Attorney’s Office (2003): </w:t>
      </w:r>
      <w:r w:rsidRPr="002E7129">
        <w:rPr>
          <w:iCs/>
          <w:szCs w:val="22"/>
        </w:rPr>
        <w:t>Health &amp; Safety</w:t>
      </w:r>
      <w:r w:rsidRPr="002E7129">
        <w:rPr>
          <w:i/>
          <w:iCs/>
          <w:szCs w:val="22"/>
        </w:rPr>
        <w:t xml:space="preserve"> </w:t>
      </w:r>
      <w:r w:rsidRPr="002E7129">
        <w:rPr>
          <w:iCs/>
          <w:szCs w:val="22"/>
        </w:rPr>
        <w:t>Code</w:t>
      </w:r>
      <w:r w:rsidRPr="002E7129">
        <w:rPr>
          <w:i/>
          <w:iCs/>
          <w:szCs w:val="22"/>
        </w:rPr>
        <w:t xml:space="preserve"> </w:t>
      </w:r>
      <w:r w:rsidRPr="002E7129">
        <w:rPr>
          <w:szCs w:val="22"/>
        </w:rPr>
        <w:t>§§ 11357 - 11360, Pr</w:t>
      </w:r>
      <w:r w:rsidRPr="002E7129">
        <w:rPr>
          <w:szCs w:val="22"/>
        </w:rPr>
        <w:t>o</w:t>
      </w:r>
      <w:r w:rsidRPr="002E7129">
        <w:rPr>
          <w:szCs w:val="22"/>
        </w:rPr>
        <w:t xml:space="preserve">secution Guidelines. </w:t>
      </w:r>
      <w:r w:rsidRPr="002E7129">
        <w:rPr>
          <w:rFonts w:cs="Helvetica"/>
          <w:szCs w:val="22"/>
        </w:rPr>
        <w:t xml:space="preserve">By </w:t>
      </w:r>
      <w:hyperlink r:id="rId24" w:history="1">
        <w:r w:rsidRPr="002E7129">
          <w:rPr>
            <w:rFonts w:cs="Helvetica"/>
            <w:bCs/>
            <w:szCs w:val="22"/>
          </w:rPr>
          <w:t>Southern California Criminal Defense Attorney</w:t>
        </w:r>
      </w:hyperlink>
    </w:p>
    <w:p w14:paraId="1D878334" w14:textId="77777777" w:rsidR="006618B8" w:rsidRPr="002E7129" w:rsidRDefault="006618B8" w:rsidP="009F365C">
      <w:pPr>
        <w:pStyle w:val="KeinLeerraum"/>
        <w:ind w:left="142" w:hanging="142"/>
        <w:rPr>
          <w:szCs w:val="22"/>
        </w:rPr>
      </w:pPr>
      <w:r w:rsidRPr="002E7129">
        <w:rPr>
          <w:szCs w:val="22"/>
        </w:rPr>
        <w:t xml:space="preserve">In: </w:t>
      </w:r>
      <w:hyperlink r:id="rId25" w:history="1">
        <w:r w:rsidRPr="002E7129">
          <w:rPr>
            <w:rStyle w:val="Link"/>
            <w:rFonts w:cs="Courier New"/>
            <w:color w:val="auto"/>
            <w:szCs w:val="22"/>
          </w:rPr>
          <w:t>http://www.safeaccessnow.net/pdf/humboldtguide03.pdf</w:t>
        </w:r>
      </w:hyperlink>
      <w:r w:rsidRPr="002E7129">
        <w:rPr>
          <w:szCs w:val="22"/>
        </w:rPr>
        <w:t xml:space="preserve"> vom 06.12.2016</w:t>
      </w:r>
    </w:p>
    <w:p w14:paraId="72C12134" w14:textId="77777777" w:rsidR="006618B8" w:rsidRPr="002E7129" w:rsidRDefault="006618B8" w:rsidP="009F365C">
      <w:pPr>
        <w:pStyle w:val="KeinLeerraum"/>
        <w:ind w:left="142" w:hanging="142"/>
        <w:rPr>
          <w:rFonts w:cs="Arial"/>
          <w:szCs w:val="22"/>
        </w:rPr>
      </w:pPr>
      <w:r w:rsidRPr="002E7129">
        <w:rPr>
          <w:rFonts w:cs="Arial"/>
          <w:szCs w:val="22"/>
        </w:rPr>
        <w:t xml:space="preserve">Koa, P., M. Foreman, M. (2014): </w:t>
      </w:r>
      <w:r w:rsidRPr="002E7129">
        <w:rPr>
          <w:rFonts w:cs="Arial"/>
          <w:iCs/>
          <w:szCs w:val="22"/>
        </w:rPr>
        <w:t xml:space="preserve">Boomtown and the Culture of American Inequality. </w:t>
      </w:r>
      <w:r w:rsidRPr="002E7129">
        <w:rPr>
          <w:rFonts w:cs="Arial"/>
          <w:szCs w:val="22"/>
        </w:rPr>
        <w:t xml:space="preserve">Berkeley: University of California Press. </w:t>
      </w:r>
    </w:p>
    <w:p w14:paraId="7623B462" w14:textId="77777777" w:rsidR="006618B8" w:rsidRPr="002E7129" w:rsidRDefault="006618B8" w:rsidP="009F365C">
      <w:pPr>
        <w:pStyle w:val="KeinLeerraum"/>
        <w:ind w:left="142" w:hanging="142"/>
        <w:rPr>
          <w:rFonts w:cs="Times"/>
          <w:szCs w:val="22"/>
        </w:rPr>
      </w:pPr>
      <w:r w:rsidRPr="002E7129">
        <w:rPr>
          <w:rFonts w:cs="Arial"/>
          <w:szCs w:val="22"/>
        </w:rPr>
        <w:t xml:space="preserve">Krissman, Fred (2014): “Cannabis Labor Markets: will they become like those in other US crop industries?” Presented at </w:t>
      </w:r>
      <w:r w:rsidRPr="002E7129">
        <w:rPr>
          <w:rFonts w:cs="Arial"/>
          <w:iCs/>
          <w:szCs w:val="22"/>
        </w:rPr>
        <w:t>Humboldt State University</w:t>
      </w:r>
      <w:r w:rsidRPr="002E7129">
        <w:rPr>
          <w:rFonts w:cs="Arial"/>
          <w:szCs w:val="22"/>
        </w:rPr>
        <w:t>’s Sociology 280 course, “Emerald Trian</w:t>
      </w:r>
      <w:r w:rsidRPr="002E7129">
        <w:rPr>
          <w:rFonts w:cs="Arial"/>
          <w:szCs w:val="22"/>
        </w:rPr>
        <w:t>g</w:t>
      </w:r>
      <w:r w:rsidRPr="002E7129">
        <w:rPr>
          <w:rFonts w:cs="Arial"/>
          <w:szCs w:val="22"/>
        </w:rPr>
        <w:t xml:space="preserve">le,” S. 2-28. </w:t>
      </w:r>
    </w:p>
    <w:p w14:paraId="52CC1467" w14:textId="77777777" w:rsidR="006618B8" w:rsidRPr="002E7129" w:rsidRDefault="006618B8" w:rsidP="009F365C">
      <w:pPr>
        <w:pStyle w:val="KeinLeerraum"/>
        <w:ind w:left="142" w:hanging="142"/>
        <w:rPr>
          <w:rFonts w:cs="Arial"/>
          <w:szCs w:val="22"/>
        </w:rPr>
      </w:pPr>
      <w:r w:rsidRPr="002E7129">
        <w:rPr>
          <w:rFonts w:cs="Arial"/>
          <w:szCs w:val="22"/>
        </w:rPr>
        <w:t xml:space="preserve">Krissman, Fred (2015): Comparing Apples and Oranges with Cannabis: protecting California’s last small farms. Presented at the Drug Policy Alliance and Emerald Triangle Association’s </w:t>
      </w:r>
      <w:r w:rsidRPr="002E7129">
        <w:rPr>
          <w:rFonts w:cs="Arial"/>
          <w:iCs/>
          <w:szCs w:val="22"/>
        </w:rPr>
        <w:t>M</w:t>
      </w:r>
      <w:r w:rsidRPr="002E7129">
        <w:rPr>
          <w:rFonts w:cs="Arial"/>
          <w:iCs/>
          <w:szCs w:val="22"/>
        </w:rPr>
        <w:t>a</w:t>
      </w:r>
      <w:r w:rsidRPr="002E7129">
        <w:rPr>
          <w:rFonts w:cs="Arial"/>
          <w:iCs/>
          <w:szCs w:val="22"/>
        </w:rPr>
        <w:t xml:space="preserve">rijuana and the Environment </w:t>
      </w:r>
      <w:r w:rsidRPr="002E7129">
        <w:rPr>
          <w:rFonts w:cs="Arial"/>
          <w:szCs w:val="22"/>
        </w:rPr>
        <w:t xml:space="preserve">symposium, Eureka, California, 4-11. </w:t>
      </w:r>
    </w:p>
    <w:p w14:paraId="7A37968B" w14:textId="68D48A1C" w:rsidR="006618B8" w:rsidRPr="002E7129" w:rsidRDefault="00B339D8" w:rsidP="009F365C">
      <w:pPr>
        <w:pStyle w:val="KeinLeerraum"/>
        <w:ind w:left="142" w:hanging="142"/>
        <w:rPr>
          <w:rFonts w:cs="Arial"/>
          <w:bCs/>
          <w:szCs w:val="22"/>
        </w:rPr>
      </w:pPr>
      <w:r w:rsidRPr="002E7129">
        <w:rPr>
          <w:szCs w:val="22"/>
        </w:rPr>
        <w:t>Krissman</w:t>
      </w:r>
      <w:r w:rsidR="006618B8" w:rsidRPr="002E7129">
        <w:rPr>
          <w:szCs w:val="22"/>
        </w:rPr>
        <w:t xml:space="preserve">, Fred (2016): </w:t>
      </w:r>
      <w:r w:rsidR="006618B8" w:rsidRPr="002E7129">
        <w:rPr>
          <w:rFonts w:cs="Arial"/>
          <w:bCs/>
          <w:szCs w:val="22"/>
        </w:rPr>
        <w:t xml:space="preserve">Comparing Apples and Oranges with Cannabis. In: </w:t>
      </w:r>
      <w:hyperlink r:id="rId26" w:history="1">
        <w:r w:rsidR="006618B8" w:rsidRPr="002E7129">
          <w:rPr>
            <w:rStyle w:val="Link"/>
            <w:rFonts w:cs="Arial"/>
            <w:bCs/>
            <w:color w:val="auto"/>
            <w:szCs w:val="22"/>
          </w:rPr>
          <w:t>https://sites.google.com/a/humboldt.edu/humboldt-state-university-department-of-anthropology/</w:t>
        </w:r>
      </w:hyperlink>
      <w:r w:rsidR="006618B8" w:rsidRPr="002E7129">
        <w:rPr>
          <w:rFonts w:cs="Arial"/>
          <w:bCs/>
          <w:szCs w:val="22"/>
        </w:rPr>
        <w:t xml:space="preserve"> vom 10.09.2016</w:t>
      </w:r>
    </w:p>
    <w:p w14:paraId="41975E9D" w14:textId="77777777" w:rsidR="006618B8" w:rsidRPr="002E7129" w:rsidRDefault="006618B8" w:rsidP="009F365C">
      <w:pPr>
        <w:pStyle w:val="KeinLeerraum"/>
        <w:ind w:left="142" w:hanging="142"/>
        <w:rPr>
          <w:rFonts w:cs="Times New Roman"/>
          <w:szCs w:val="22"/>
        </w:rPr>
      </w:pPr>
      <w:r w:rsidRPr="002E7129">
        <w:rPr>
          <w:rFonts w:cs="Times New Roman"/>
          <w:szCs w:val="22"/>
        </w:rPr>
        <w:t xml:space="preserve">Lewis, Erika (2014):  </w:t>
      </w:r>
      <w:r w:rsidRPr="002E7129">
        <w:rPr>
          <w:rFonts w:cs="Georgia"/>
          <w:szCs w:val="22"/>
        </w:rPr>
        <w:t xml:space="preserve">California hashes out medical marijuana industry regulation and dispenses greater scrutiny of physician recommendations. In: 46 McGeorge Law Review 273, </w:t>
      </w:r>
      <w:r w:rsidRPr="002E7129">
        <w:rPr>
          <w:rFonts w:cs="Times New Roman"/>
          <w:szCs w:val="22"/>
        </w:rPr>
        <w:t xml:space="preserve">University of the Pacific, McGeorge School of Law, S. 274-294 </w:t>
      </w:r>
    </w:p>
    <w:p w14:paraId="67157A49" w14:textId="77777777" w:rsidR="006618B8" w:rsidRPr="002E7129" w:rsidRDefault="006618B8" w:rsidP="009F365C">
      <w:pPr>
        <w:pStyle w:val="KeinLeerraum"/>
        <w:ind w:left="142" w:hanging="142"/>
        <w:rPr>
          <w:rFonts w:cs="Arial"/>
          <w:bCs/>
          <w:szCs w:val="22"/>
        </w:rPr>
      </w:pPr>
      <w:r w:rsidRPr="002E7129">
        <w:rPr>
          <w:rFonts w:cs="Lato-Bold"/>
          <w:bCs/>
          <w:szCs w:val="22"/>
        </w:rPr>
        <w:t xml:space="preserve">Malsbury, Alison (2015): Marijuana Prohibition: An Environmental Disaster. In: </w:t>
      </w:r>
      <w:r w:rsidRPr="002E7129">
        <w:rPr>
          <w:rFonts w:cs="Arial"/>
          <w:szCs w:val="22"/>
        </w:rPr>
        <w:t xml:space="preserve">Miller, T. (1991): </w:t>
      </w:r>
      <w:r w:rsidRPr="002E7129">
        <w:rPr>
          <w:rFonts w:cs="Arial"/>
          <w:iCs/>
          <w:szCs w:val="22"/>
        </w:rPr>
        <w:t>The Hippies and American Values</w:t>
      </w:r>
      <w:r w:rsidRPr="002E7129">
        <w:rPr>
          <w:rFonts w:cs="Arial"/>
          <w:szCs w:val="22"/>
        </w:rPr>
        <w:t xml:space="preserve">. Knoxville, TN: Knoxville University Press. In: </w:t>
      </w:r>
      <w:hyperlink r:id="rId27" w:history="1">
        <w:r w:rsidRPr="002E7129">
          <w:rPr>
            <w:rFonts w:cs="Lato-Regular"/>
            <w:szCs w:val="22"/>
          </w:rPr>
          <w:t xml:space="preserve">Canna Law Blog </w:t>
        </w:r>
      </w:hyperlink>
      <w:r w:rsidRPr="002E7129">
        <w:rPr>
          <w:rFonts w:cs="Times New Roman"/>
          <w:szCs w:val="22"/>
        </w:rPr>
        <w:t xml:space="preserve">, </w:t>
      </w:r>
      <w:r w:rsidRPr="002E7129">
        <w:rPr>
          <w:rFonts w:cs="Lato-Regular"/>
          <w:szCs w:val="22"/>
        </w:rPr>
        <w:t xml:space="preserve">June 25, 2015, </w:t>
      </w:r>
      <w:hyperlink r:id="rId28" w:history="1">
        <w:r w:rsidRPr="002E7129">
          <w:rPr>
            <w:rStyle w:val="Link"/>
            <w:rFonts w:cs="Lato-Regular"/>
            <w:color w:val="auto"/>
            <w:szCs w:val="22"/>
          </w:rPr>
          <w:t>http://www.cannalawblog.com/author/alisonmalsbury/</w:t>
        </w:r>
      </w:hyperlink>
      <w:r w:rsidRPr="002E7129">
        <w:rPr>
          <w:rFonts w:cs="Lato-Regular"/>
          <w:szCs w:val="22"/>
        </w:rPr>
        <w:t xml:space="preserve"> vom 11.10.2016</w:t>
      </w:r>
    </w:p>
    <w:p w14:paraId="3E0126C6" w14:textId="77777777" w:rsidR="006618B8" w:rsidRPr="002E7129" w:rsidRDefault="006618B8" w:rsidP="009F365C">
      <w:pPr>
        <w:pStyle w:val="KeinLeerraum"/>
        <w:ind w:left="142" w:hanging="142"/>
        <w:rPr>
          <w:rFonts w:cs="Lato-Bold"/>
          <w:bCs/>
          <w:szCs w:val="22"/>
        </w:rPr>
      </w:pPr>
      <w:r w:rsidRPr="002E7129">
        <w:rPr>
          <w:rFonts w:cs="Arial"/>
          <w:szCs w:val="22"/>
        </w:rPr>
        <w:t>Medical Marijuana (2016): Medical Marjuana patient numbers. In: https://www.mpp.org/issues/medical-marijuana/state-by-state-medical-marijuana-laws/medical-marijuana-patient-numbers/  vom 06.12.2016</w:t>
      </w:r>
    </w:p>
    <w:p w14:paraId="4D39551E" w14:textId="6C1CB33E" w:rsidR="006618B8" w:rsidRPr="002E7129" w:rsidRDefault="006618B8" w:rsidP="009F365C">
      <w:pPr>
        <w:pStyle w:val="KeinLeerraum"/>
        <w:ind w:left="284" w:hanging="284"/>
        <w:rPr>
          <w:rFonts w:cs="Times"/>
          <w:szCs w:val="22"/>
        </w:rPr>
      </w:pPr>
      <w:r w:rsidRPr="002E7129">
        <w:rPr>
          <w:rFonts w:cs="Arial"/>
          <w:bCs/>
          <w:szCs w:val="22"/>
        </w:rPr>
        <w:t>Northwest high intensity drug traffic</w:t>
      </w:r>
      <w:r w:rsidR="00C51DDC" w:rsidRPr="002E7129">
        <w:rPr>
          <w:rFonts w:cs="Arial"/>
          <w:bCs/>
          <w:szCs w:val="22"/>
        </w:rPr>
        <w:t>k</w:t>
      </w:r>
      <w:r w:rsidRPr="002E7129">
        <w:rPr>
          <w:rFonts w:cs="Arial"/>
          <w:bCs/>
          <w:szCs w:val="22"/>
        </w:rPr>
        <w:t>ing area (</w:t>
      </w:r>
      <w:r w:rsidRPr="002E7129">
        <w:rPr>
          <w:rFonts w:cs="Calibri"/>
          <w:szCs w:val="22"/>
        </w:rPr>
        <w:t xml:space="preserve">NWHIDTA) </w:t>
      </w:r>
      <w:r w:rsidRPr="002E7129">
        <w:rPr>
          <w:rFonts w:cs="Arial"/>
          <w:bCs/>
          <w:szCs w:val="22"/>
        </w:rPr>
        <w:t>(2016): Washington State Marijuana Impact Report, Seattle</w:t>
      </w:r>
      <w:r w:rsidR="00B475E7" w:rsidRPr="002E7129">
        <w:rPr>
          <w:rFonts w:cs="Arial"/>
          <w:bCs/>
          <w:szCs w:val="22"/>
        </w:rPr>
        <w:t xml:space="preserve">  In: </w:t>
      </w:r>
      <w:hyperlink r:id="rId29" w:history="1">
        <w:r w:rsidR="00B475E7" w:rsidRPr="002E7129">
          <w:rPr>
            <w:rStyle w:val="Link"/>
            <w:rFonts w:cs="Arial"/>
            <w:bCs/>
            <w:color w:val="auto"/>
            <w:szCs w:val="22"/>
          </w:rPr>
          <w:t>https://drive.google.com/file/d/0Bxs3xMLjUamANHhRRkluWkRobXM/view</w:t>
        </w:r>
      </w:hyperlink>
      <w:r w:rsidR="00B475E7" w:rsidRPr="002E7129">
        <w:rPr>
          <w:rFonts w:cs="Arial"/>
          <w:bCs/>
          <w:szCs w:val="22"/>
        </w:rPr>
        <w:t xml:space="preserve"> vom 12.12.2016</w:t>
      </w:r>
    </w:p>
    <w:p w14:paraId="2B833BE9" w14:textId="77777777" w:rsidR="006618B8" w:rsidRPr="002E7129" w:rsidRDefault="006618B8" w:rsidP="009F365C">
      <w:pPr>
        <w:pStyle w:val="KeinLeerraum"/>
        <w:ind w:left="142" w:hanging="142"/>
        <w:rPr>
          <w:szCs w:val="22"/>
        </w:rPr>
      </w:pPr>
      <w:r w:rsidRPr="002E7129">
        <w:rPr>
          <w:szCs w:val="22"/>
        </w:rPr>
        <w:t xml:space="preserve">Raphael, R. (1985): </w:t>
      </w:r>
      <w:r w:rsidRPr="002E7129">
        <w:rPr>
          <w:i/>
          <w:iCs/>
          <w:szCs w:val="22"/>
        </w:rPr>
        <w:t>Cash Crop: an American dream</w:t>
      </w:r>
      <w:r w:rsidRPr="002E7129">
        <w:rPr>
          <w:szCs w:val="22"/>
        </w:rPr>
        <w:t xml:space="preserve">. Mendocino, CA: Ridge Times Press. </w:t>
      </w:r>
    </w:p>
    <w:p w14:paraId="7B6345EE" w14:textId="77777777" w:rsidR="00FD1D31" w:rsidRPr="002E7129" w:rsidRDefault="006618B8" w:rsidP="009F365C">
      <w:pPr>
        <w:pStyle w:val="KeinLeerraum"/>
        <w:ind w:left="142" w:hanging="142"/>
        <w:rPr>
          <w:rFonts w:cs="Times"/>
          <w:szCs w:val="22"/>
        </w:rPr>
      </w:pPr>
      <w:r w:rsidRPr="002E7129">
        <w:rPr>
          <w:rFonts w:cs="Calibri"/>
          <w:bCs/>
          <w:szCs w:val="22"/>
        </w:rPr>
        <w:t xml:space="preserve">Reed, Jackson K. (2016): Marijuana Legalization in Colorado: Early Findings. </w:t>
      </w:r>
      <w:r w:rsidRPr="002E7129">
        <w:rPr>
          <w:rFonts w:cs="Calibri"/>
          <w:bCs/>
          <w:iCs/>
          <w:szCs w:val="22"/>
        </w:rPr>
        <w:t xml:space="preserve">A Report Pursuant to Senate Bill 13-283. </w:t>
      </w:r>
      <w:r w:rsidRPr="002E7129">
        <w:rPr>
          <w:rFonts w:cs="Arial"/>
          <w:bCs/>
          <w:szCs w:val="22"/>
        </w:rPr>
        <w:t xml:space="preserve">March 2016, Denver </w:t>
      </w:r>
      <w:r w:rsidRPr="002E7129">
        <w:rPr>
          <w:rFonts w:cs="Times"/>
          <w:szCs w:val="22"/>
        </w:rPr>
        <w:t xml:space="preserve">  </w:t>
      </w:r>
    </w:p>
    <w:p w14:paraId="57FFB7E1" w14:textId="77777777" w:rsidR="00FD1D31" w:rsidRPr="002E7129" w:rsidRDefault="00FD1D31" w:rsidP="009F365C">
      <w:pPr>
        <w:pStyle w:val="KeinLeerraum"/>
        <w:ind w:left="142" w:hanging="142"/>
        <w:rPr>
          <w:rFonts w:cs="Times New Roman"/>
          <w:szCs w:val="22"/>
        </w:rPr>
      </w:pPr>
      <w:r w:rsidRPr="002E7129">
        <w:rPr>
          <w:rFonts w:cs="Times New Roman"/>
          <w:szCs w:val="22"/>
        </w:rPr>
        <w:t xml:space="preserve">Substance Abuse and Mental Health Services Administration (SAMHSA 2014): </w:t>
      </w:r>
      <w:r w:rsidRPr="002E7129">
        <w:rPr>
          <w:rFonts w:cs="Times New Roman"/>
          <w:i/>
          <w:iCs/>
          <w:szCs w:val="22"/>
        </w:rPr>
        <w:t>Results from the 2013 National Survey on Drug Use and Health: Summary of National Findings</w:t>
      </w:r>
      <w:r w:rsidRPr="002E7129">
        <w:rPr>
          <w:rFonts w:cs="Times New Roman"/>
          <w:szCs w:val="22"/>
        </w:rPr>
        <w:t xml:space="preserve">, NSDUH Series H-48, HHS Publication No. (SMA) 14-4863. Rockville, MD: Substance Abuse and Mental Health Services Administration. In: </w:t>
      </w:r>
      <w:hyperlink r:id="rId30" w:history="1">
        <w:r w:rsidRPr="002E7129">
          <w:rPr>
            <w:rStyle w:val="Link"/>
            <w:rFonts w:cs="Times New Roman"/>
            <w:color w:val="auto"/>
            <w:szCs w:val="22"/>
          </w:rPr>
          <w:t>http://archive.samhsa.gov/data/NSDUH/2013SummNatFindDetTables/NationalFindings/NSDUHresults2013.pdf</w:t>
        </w:r>
      </w:hyperlink>
      <w:r w:rsidRPr="002E7129">
        <w:rPr>
          <w:rFonts w:cs="Times New Roman"/>
          <w:szCs w:val="22"/>
        </w:rPr>
        <w:t xml:space="preserve"> vom 08.12.2016</w:t>
      </w:r>
    </w:p>
    <w:p w14:paraId="247A6A19" w14:textId="537D4FC7" w:rsidR="006618B8" w:rsidRPr="002E7129" w:rsidRDefault="006618B8" w:rsidP="009F365C">
      <w:pPr>
        <w:pStyle w:val="KeinLeerraum"/>
        <w:ind w:left="142" w:hanging="142"/>
        <w:rPr>
          <w:szCs w:val="22"/>
        </w:rPr>
      </w:pPr>
      <w:r w:rsidRPr="002E7129">
        <w:rPr>
          <w:rFonts w:cs="Times"/>
          <w:szCs w:val="22"/>
        </w:rPr>
        <w:t xml:space="preserve"> </w:t>
      </w:r>
      <w:r w:rsidR="00C12328">
        <w:rPr>
          <w:szCs w:val="22"/>
        </w:rPr>
        <w:t>U. S. Department of J</w:t>
      </w:r>
      <w:r w:rsidRPr="002E7129">
        <w:rPr>
          <w:szCs w:val="22"/>
        </w:rPr>
        <w:t xml:space="preserve">ustice, Office of the deputy Attorney General (2014): Memorandum for all United States Attorneys. Guidance Regarding Marijuana related financial crime. In: </w:t>
      </w:r>
      <w:hyperlink r:id="rId31" w:history="1">
        <w:r w:rsidRPr="002E7129">
          <w:rPr>
            <w:rStyle w:val="Link"/>
            <w:color w:val="auto"/>
            <w:szCs w:val="22"/>
          </w:rPr>
          <w:t>https://de.scribd.com/document/223170569/Cole-Memo</w:t>
        </w:r>
      </w:hyperlink>
      <w:r w:rsidRPr="002E7129">
        <w:rPr>
          <w:szCs w:val="22"/>
        </w:rPr>
        <w:t xml:space="preserve"> vom 06.12.2016</w:t>
      </w:r>
    </w:p>
    <w:p w14:paraId="07451A2D" w14:textId="77777777" w:rsidR="006618B8" w:rsidRPr="002E7129" w:rsidRDefault="006618B8" w:rsidP="009F365C">
      <w:pPr>
        <w:pStyle w:val="KeinLeerraum"/>
        <w:ind w:left="142" w:hanging="142"/>
        <w:rPr>
          <w:rFonts w:cs="Times"/>
          <w:szCs w:val="22"/>
        </w:rPr>
      </w:pPr>
      <w:r w:rsidRPr="002E7129">
        <w:rPr>
          <w:rFonts w:cs="RobotoSlab-Regular"/>
          <w:szCs w:val="22"/>
        </w:rPr>
        <w:t xml:space="preserve">Marijuana And The Environment: Regulation And Responsibility In California (2015). In: </w:t>
      </w:r>
      <w:hyperlink r:id="rId32" w:history="1">
        <w:r w:rsidRPr="002E7129">
          <w:rPr>
            <w:rStyle w:val="Link"/>
            <w:rFonts w:cs="Times"/>
            <w:color w:val="auto"/>
            <w:szCs w:val="22"/>
          </w:rPr>
          <w:t>https://www.theweedblog.com/marijuana-and-the-environment-regulation-and-responsibility-in-california/</w:t>
        </w:r>
      </w:hyperlink>
      <w:r w:rsidRPr="002E7129">
        <w:rPr>
          <w:rFonts w:cs="Times"/>
          <w:szCs w:val="22"/>
        </w:rPr>
        <w:t xml:space="preserve"> vom 07.12.2016</w:t>
      </w:r>
    </w:p>
    <w:p w14:paraId="0109E2B4" w14:textId="77777777" w:rsidR="006618B8" w:rsidRPr="002E7129" w:rsidRDefault="006618B8" w:rsidP="009F365C">
      <w:pPr>
        <w:pStyle w:val="KeinLeerraum"/>
        <w:ind w:left="142" w:hanging="142"/>
        <w:rPr>
          <w:szCs w:val="22"/>
        </w:rPr>
      </w:pPr>
      <w:r w:rsidRPr="002E7129">
        <w:rPr>
          <w:rFonts w:cs="OpenSans"/>
          <w:szCs w:val="22"/>
        </w:rPr>
        <w:t xml:space="preserve">Washington Marijuana Legalization and Regulation, Initiative 502 (2012) </w:t>
      </w:r>
      <w:r w:rsidRPr="002E7129">
        <w:rPr>
          <w:rFonts w:cs="Helvetica"/>
          <w:szCs w:val="22"/>
        </w:rPr>
        <w:t xml:space="preserve">on </w:t>
      </w:r>
      <w:r w:rsidRPr="002E7129">
        <w:rPr>
          <w:iCs/>
          <w:szCs w:val="22"/>
        </w:rPr>
        <w:t xml:space="preserve">Washington </w:t>
      </w:r>
      <w:r w:rsidRPr="002E7129">
        <w:rPr>
          <w:szCs w:val="22"/>
        </w:rPr>
        <w:t>6 D</w:t>
      </w:r>
      <w:r w:rsidRPr="002E7129">
        <w:rPr>
          <w:szCs w:val="22"/>
        </w:rPr>
        <w:t>e</w:t>
      </w:r>
      <w:r w:rsidRPr="002E7129">
        <w:rPr>
          <w:szCs w:val="22"/>
        </w:rPr>
        <w:t xml:space="preserve">cember 2012, In: </w:t>
      </w:r>
      <w:hyperlink r:id="rId33" w:history="1">
        <w:r w:rsidRPr="002E7129">
          <w:rPr>
            <w:rStyle w:val="Link"/>
            <w:color w:val="auto"/>
            <w:szCs w:val="22"/>
          </w:rPr>
          <w:t>https://ballotpedia.org/Washington_Marijuana_Legalization_and_Regulation,_Initiative_502_(2012</w:t>
        </w:r>
      </w:hyperlink>
      <w:r w:rsidRPr="002E7129">
        <w:rPr>
          <w:szCs w:val="22"/>
        </w:rPr>
        <w:t xml:space="preserve">) vom 07.12.2016 </w:t>
      </w:r>
    </w:p>
    <w:p w14:paraId="734AC943" w14:textId="77777777" w:rsidR="006618B8" w:rsidRPr="002E7129" w:rsidRDefault="006618B8" w:rsidP="009F365C">
      <w:pPr>
        <w:pStyle w:val="KeinLeerraum"/>
        <w:ind w:left="142" w:hanging="142"/>
        <w:rPr>
          <w:bCs/>
          <w:szCs w:val="22"/>
        </w:rPr>
      </w:pPr>
      <w:r w:rsidRPr="002E7129">
        <w:rPr>
          <w:bCs/>
          <w:szCs w:val="22"/>
        </w:rPr>
        <w:t xml:space="preserve">Wikipedia Kalifornien In: </w:t>
      </w:r>
      <w:hyperlink r:id="rId34" w:history="1">
        <w:r w:rsidRPr="002E7129">
          <w:rPr>
            <w:rStyle w:val="Link"/>
            <w:rFonts w:cs="Arial"/>
            <w:bCs/>
            <w:color w:val="auto"/>
            <w:szCs w:val="22"/>
          </w:rPr>
          <w:t>https://de.wikipedia.org/wiki/Kalifornien</w:t>
        </w:r>
      </w:hyperlink>
      <w:r w:rsidRPr="002E7129">
        <w:rPr>
          <w:bCs/>
          <w:szCs w:val="22"/>
        </w:rPr>
        <w:t xml:space="preserve"> vom 12. Oktober 2016</w:t>
      </w:r>
    </w:p>
    <w:p w14:paraId="3E3F4082" w14:textId="77777777" w:rsidR="006618B8" w:rsidRDefault="006618B8" w:rsidP="009F365C">
      <w:pPr>
        <w:pStyle w:val="KeinLeerraum"/>
        <w:spacing w:line="276" w:lineRule="auto"/>
        <w:ind w:left="142" w:hanging="142"/>
        <w:rPr>
          <w:bCs/>
          <w:szCs w:val="22"/>
        </w:rPr>
        <w:sectPr w:rsidR="006618B8" w:rsidSect="008901F7">
          <w:pgSz w:w="11900" w:h="16840"/>
          <w:pgMar w:top="1417" w:right="1417" w:bottom="1134" w:left="1417" w:header="708" w:footer="708" w:gutter="0"/>
          <w:cols w:space="708"/>
          <w:docGrid w:linePitch="360"/>
        </w:sectPr>
      </w:pPr>
    </w:p>
    <w:p w14:paraId="4351BABF" w14:textId="27F1D988" w:rsidR="00436031" w:rsidRPr="00762252" w:rsidRDefault="004319CC" w:rsidP="009D7629">
      <w:pPr>
        <w:pStyle w:val="berschrift1"/>
        <w:spacing w:line="276" w:lineRule="auto"/>
        <w:jc w:val="both"/>
      </w:pPr>
      <w:bookmarkStart w:id="18" w:name="_Toc349300347"/>
      <w:r>
        <w:t>Zum</w:t>
      </w:r>
      <w:r w:rsidR="00436031" w:rsidRPr="00762252">
        <w:t xml:space="preserve"> Einfluss politischer Maßnahmen auf den </w:t>
      </w:r>
      <w:r w:rsidR="00F12067" w:rsidRPr="00762252">
        <w:t>Marihuana</w:t>
      </w:r>
      <w:r w:rsidR="00F12067">
        <w:t>-</w:t>
      </w:r>
      <w:r w:rsidR="00436031" w:rsidRPr="00762252">
        <w:t xml:space="preserve">Konsum </w:t>
      </w:r>
      <w:r w:rsidR="0005711C">
        <w:t>in der Bevölkerung</w:t>
      </w:r>
      <w:bookmarkEnd w:id="18"/>
    </w:p>
    <w:p w14:paraId="67FD75BB" w14:textId="3E34868D" w:rsidR="004319CC" w:rsidRPr="004319CC" w:rsidRDefault="004319CC" w:rsidP="009D7629">
      <w:pPr>
        <w:pStyle w:val="berschrift2"/>
        <w:spacing w:line="276" w:lineRule="auto"/>
        <w:jc w:val="both"/>
      </w:pPr>
      <w:bookmarkStart w:id="19" w:name="_Toc349300348"/>
      <w:r>
        <w:t>Die drogenpolitischen G</w:t>
      </w:r>
      <w:r w:rsidRPr="004319CC">
        <w:t>rundannahmen</w:t>
      </w:r>
      <w:bookmarkEnd w:id="19"/>
    </w:p>
    <w:p w14:paraId="64F5C518" w14:textId="466DFECE" w:rsidR="00565DD7" w:rsidRDefault="00436031" w:rsidP="009D7629">
      <w:pPr>
        <w:spacing w:line="276" w:lineRule="auto"/>
        <w:jc w:val="both"/>
        <w:rPr>
          <w:szCs w:val="22"/>
        </w:rPr>
      </w:pPr>
      <w:r w:rsidRPr="00762252">
        <w:rPr>
          <w:szCs w:val="22"/>
        </w:rPr>
        <w:t xml:space="preserve">Eine </w:t>
      </w:r>
      <w:r w:rsidR="004319CC">
        <w:rPr>
          <w:szCs w:val="22"/>
        </w:rPr>
        <w:t xml:space="preserve">der </w:t>
      </w:r>
      <w:r w:rsidRPr="00762252">
        <w:rPr>
          <w:szCs w:val="22"/>
        </w:rPr>
        <w:t xml:space="preserve">Grundfrage in Bezug </w:t>
      </w:r>
      <w:r w:rsidR="00F12067">
        <w:rPr>
          <w:szCs w:val="22"/>
        </w:rPr>
        <w:t>rankt sich um die</w:t>
      </w:r>
      <w:r w:rsidRPr="00762252">
        <w:rPr>
          <w:szCs w:val="22"/>
        </w:rPr>
        <w:t xml:space="preserve"> tatsächlichen Effekten, die politische </w:t>
      </w:r>
      <w:r w:rsidR="00F12067">
        <w:rPr>
          <w:szCs w:val="22"/>
        </w:rPr>
        <w:t>(Neu-)</w:t>
      </w:r>
      <w:r w:rsidRPr="00762252">
        <w:rPr>
          <w:szCs w:val="22"/>
        </w:rPr>
        <w:t xml:space="preserve">Regelungen auf die Verbreitung des Konsums von Drogen </w:t>
      </w:r>
      <w:r w:rsidR="00990CC9">
        <w:rPr>
          <w:szCs w:val="22"/>
        </w:rPr>
        <w:t xml:space="preserve">in der Bevölkerung </w:t>
      </w:r>
      <w:r w:rsidR="00F12067">
        <w:rPr>
          <w:szCs w:val="22"/>
        </w:rPr>
        <w:t xml:space="preserve">tatsächlich </w:t>
      </w:r>
      <w:r w:rsidRPr="00762252">
        <w:rPr>
          <w:szCs w:val="22"/>
        </w:rPr>
        <w:t>h</w:t>
      </w:r>
      <w:r w:rsidRPr="00762252">
        <w:rPr>
          <w:szCs w:val="22"/>
        </w:rPr>
        <w:t>a</w:t>
      </w:r>
      <w:r w:rsidR="00F12067">
        <w:rPr>
          <w:szCs w:val="22"/>
        </w:rPr>
        <w:t>ben. Die A</w:t>
      </w:r>
      <w:r w:rsidRPr="00762252">
        <w:rPr>
          <w:szCs w:val="22"/>
        </w:rPr>
        <w:t xml:space="preserve">nnahmen differieren zwischen der Hypothese, </w:t>
      </w:r>
      <w:r w:rsidR="00F12067">
        <w:rPr>
          <w:szCs w:val="22"/>
        </w:rPr>
        <w:t>dass</w:t>
      </w:r>
      <w:r w:rsidRPr="00762252">
        <w:rPr>
          <w:szCs w:val="22"/>
        </w:rPr>
        <w:t xml:space="preserve"> </w:t>
      </w:r>
      <w:r w:rsidR="00D60FA1" w:rsidRPr="00762252">
        <w:rPr>
          <w:szCs w:val="22"/>
        </w:rPr>
        <w:t>mit drogenpolitischen Maßna</w:t>
      </w:r>
      <w:r w:rsidR="00D60FA1" w:rsidRPr="00762252">
        <w:rPr>
          <w:szCs w:val="22"/>
        </w:rPr>
        <w:t>h</w:t>
      </w:r>
      <w:r w:rsidR="00D60FA1" w:rsidRPr="00762252">
        <w:rPr>
          <w:szCs w:val="22"/>
        </w:rPr>
        <w:t xml:space="preserve">men sehr weitreichend auf die Verbreitung des Konsums Einfluss </w:t>
      </w:r>
      <w:r w:rsidR="00D60FA1">
        <w:rPr>
          <w:szCs w:val="22"/>
        </w:rPr>
        <w:t xml:space="preserve">genommen </w:t>
      </w:r>
      <w:r w:rsidR="00565DD7">
        <w:rPr>
          <w:szCs w:val="22"/>
        </w:rPr>
        <w:t>wird</w:t>
      </w:r>
      <w:r w:rsidR="00D60FA1" w:rsidRPr="00762252">
        <w:rPr>
          <w:szCs w:val="22"/>
        </w:rPr>
        <w:t xml:space="preserve"> </w:t>
      </w:r>
      <w:r w:rsidR="00D60FA1">
        <w:rPr>
          <w:szCs w:val="22"/>
        </w:rPr>
        <w:t>und allein die Verfügbarkeit einer psycho</w:t>
      </w:r>
      <w:r w:rsidR="00F12067">
        <w:rPr>
          <w:szCs w:val="22"/>
        </w:rPr>
        <w:t>-</w:t>
      </w:r>
      <w:r w:rsidR="00D60FA1">
        <w:rPr>
          <w:szCs w:val="22"/>
        </w:rPr>
        <w:t xml:space="preserve">aktiven Substanz die Konsumraten in die Höhe </w:t>
      </w:r>
      <w:r w:rsidR="0005711C">
        <w:rPr>
          <w:szCs w:val="22"/>
        </w:rPr>
        <w:t xml:space="preserve">schnellen </w:t>
      </w:r>
      <w:r w:rsidR="00565DD7">
        <w:rPr>
          <w:szCs w:val="22"/>
        </w:rPr>
        <w:t>lässt</w:t>
      </w:r>
      <w:r w:rsidR="00D60FA1" w:rsidRPr="00762252">
        <w:rPr>
          <w:szCs w:val="22"/>
        </w:rPr>
        <w:t xml:space="preserve">. </w:t>
      </w:r>
      <w:r w:rsidR="00D60FA1">
        <w:rPr>
          <w:szCs w:val="22"/>
        </w:rPr>
        <w:t xml:space="preserve">Dem stehen Hypothesen </w:t>
      </w:r>
      <w:r w:rsidR="007674D3">
        <w:rPr>
          <w:szCs w:val="22"/>
        </w:rPr>
        <w:t>gegenüber</w:t>
      </w:r>
      <w:r w:rsidR="00D60FA1">
        <w:rPr>
          <w:szCs w:val="22"/>
        </w:rPr>
        <w:t>, die in der Verfügbarkeit einer psycho</w:t>
      </w:r>
      <w:r w:rsidR="00F12067">
        <w:rPr>
          <w:szCs w:val="22"/>
        </w:rPr>
        <w:t>-</w:t>
      </w:r>
      <w:r w:rsidR="00D60FA1">
        <w:rPr>
          <w:szCs w:val="22"/>
        </w:rPr>
        <w:t>aktiven</w:t>
      </w:r>
      <w:r w:rsidR="00903243">
        <w:rPr>
          <w:szCs w:val="22"/>
        </w:rPr>
        <w:t xml:space="preserve"> Substanz nur einen von vielen </w:t>
      </w:r>
      <w:r w:rsidR="00AF2B51">
        <w:rPr>
          <w:szCs w:val="22"/>
        </w:rPr>
        <w:t>Faktoren</w:t>
      </w:r>
      <w:r w:rsidR="00565DD7">
        <w:rPr>
          <w:szCs w:val="22"/>
        </w:rPr>
        <w:t xml:space="preserve"> </w:t>
      </w:r>
      <w:r w:rsidR="00D60FA1">
        <w:rPr>
          <w:szCs w:val="22"/>
        </w:rPr>
        <w:t xml:space="preserve">sehen, die die Verbreitung des Konsums </w:t>
      </w:r>
      <w:r w:rsidR="00D60FA1" w:rsidRPr="00903B1D">
        <w:rPr>
          <w:szCs w:val="22"/>
        </w:rPr>
        <w:t>beeinflussen</w:t>
      </w:r>
      <w:r w:rsidR="00903243" w:rsidRPr="00903B1D">
        <w:rPr>
          <w:szCs w:val="22"/>
        </w:rPr>
        <w:t xml:space="preserve"> (vgl. </w:t>
      </w:r>
      <w:r w:rsidR="005F1350">
        <w:rPr>
          <w:szCs w:val="22"/>
        </w:rPr>
        <w:t xml:space="preserve">u. a. </w:t>
      </w:r>
      <w:r w:rsidR="006E0374">
        <w:rPr>
          <w:szCs w:val="22"/>
        </w:rPr>
        <w:t>Simons, N</w:t>
      </w:r>
      <w:r w:rsidR="006E0374">
        <w:rPr>
          <w:szCs w:val="22"/>
        </w:rPr>
        <w:t>e</w:t>
      </w:r>
      <w:r w:rsidR="006E0374">
        <w:rPr>
          <w:szCs w:val="22"/>
        </w:rPr>
        <w:t>al, Gaher 201</w:t>
      </w:r>
      <w:r w:rsidR="00903243" w:rsidRPr="00903B1D">
        <w:rPr>
          <w:szCs w:val="22"/>
        </w:rPr>
        <w:t>6, S. 43)</w:t>
      </w:r>
      <w:r w:rsidR="00103150">
        <w:rPr>
          <w:szCs w:val="22"/>
        </w:rPr>
        <w:t xml:space="preserve">. Diese </w:t>
      </w:r>
      <w:r w:rsidR="00F12067">
        <w:rPr>
          <w:szCs w:val="22"/>
        </w:rPr>
        <w:t>I</w:t>
      </w:r>
      <w:r w:rsidR="00565DD7">
        <w:rPr>
          <w:szCs w:val="22"/>
        </w:rPr>
        <w:t xml:space="preserve">deen </w:t>
      </w:r>
      <w:r w:rsidR="00103150">
        <w:rPr>
          <w:szCs w:val="22"/>
        </w:rPr>
        <w:t xml:space="preserve">gehen </w:t>
      </w:r>
      <w:r w:rsidR="00D60FA1" w:rsidRPr="00903B1D">
        <w:rPr>
          <w:szCs w:val="22"/>
        </w:rPr>
        <w:t xml:space="preserve">davon aus, dass </w:t>
      </w:r>
      <w:r w:rsidR="00FC08CA">
        <w:rPr>
          <w:szCs w:val="22"/>
        </w:rPr>
        <w:t xml:space="preserve">aus anderen sozialen Bezügen </w:t>
      </w:r>
      <w:r w:rsidR="00D60FA1" w:rsidRPr="00903B1D">
        <w:rPr>
          <w:szCs w:val="22"/>
        </w:rPr>
        <w:t>weit gra</w:t>
      </w:r>
      <w:r w:rsidR="00D60FA1">
        <w:rPr>
          <w:szCs w:val="22"/>
        </w:rPr>
        <w:t>vierendere Einflüsse</w:t>
      </w:r>
      <w:r w:rsidR="00565DD7">
        <w:rPr>
          <w:szCs w:val="22"/>
        </w:rPr>
        <w:t xml:space="preserve"> auf Beginn, </w:t>
      </w:r>
      <w:r w:rsidR="00903243">
        <w:rPr>
          <w:szCs w:val="22"/>
        </w:rPr>
        <w:t>Fortset</w:t>
      </w:r>
      <w:r w:rsidR="00565DD7">
        <w:rPr>
          <w:szCs w:val="22"/>
        </w:rPr>
        <w:t xml:space="preserve">zung des Konsums </w:t>
      </w:r>
      <w:r w:rsidR="00F12067">
        <w:rPr>
          <w:szCs w:val="22"/>
        </w:rPr>
        <w:t>sowie</w:t>
      </w:r>
      <w:r w:rsidR="00903243">
        <w:rPr>
          <w:szCs w:val="22"/>
        </w:rPr>
        <w:t xml:space="preserve"> sein </w:t>
      </w:r>
      <w:r w:rsidR="0005711C">
        <w:rPr>
          <w:szCs w:val="22"/>
        </w:rPr>
        <w:t xml:space="preserve">mögliches </w:t>
      </w:r>
      <w:r w:rsidR="00903243">
        <w:rPr>
          <w:szCs w:val="22"/>
        </w:rPr>
        <w:t>problemat</w:t>
      </w:r>
      <w:r w:rsidR="00903243">
        <w:rPr>
          <w:szCs w:val="22"/>
        </w:rPr>
        <w:t>i</w:t>
      </w:r>
      <w:r w:rsidR="00903243">
        <w:rPr>
          <w:szCs w:val="22"/>
        </w:rPr>
        <w:t xml:space="preserve">sches Entgleiten </w:t>
      </w:r>
      <w:r w:rsidR="00103150">
        <w:rPr>
          <w:szCs w:val="22"/>
        </w:rPr>
        <w:t>kommen</w:t>
      </w:r>
      <w:r w:rsidR="00565DD7">
        <w:rPr>
          <w:szCs w:val="22"/>
        </w:rPr>
        <w:t xml:space="preserve">. Diese sind </w:t>
      </w:r>
      <w:r w:rsidR="005F1350">
        <w:rPr>
          <w:szCs w:val="22"/>
        </w:rPr>
        <w:t xml:space="preserve">jedoch </w:t>
      </w:r>
      <w:r w:rsidR="00D60FA1">
        <w:rPr>
          <w:szCs w:val="22"/>
        </w:rPr>
        <w:t>politischen Maßnahmen eher nicht zugänglich</w:t>
      </w:r>
      <w:r w:rsidR="001872B3">
        <w:rPr>
          <w:szCs w:val="22"/>
        </w:rPr>
        <w:t>. Deshalb kö</w:t>
      </w:r>
      <w:r w:rsidR="00903243">
        <w:rPr>
          <w:szCs w:val="22"/>
        </w:rPr>
        <w:t>nn</w:t>
      </w:r>
      <w:r w:rsidR="001872B3">
        <w:rPr>
          <w:szCs w:val="22"/>
        </w:rPr>
        <w:t>e</w:t>
      </w:r>
      <w:r w:rsidR="00903243">
        <w:rPr>
          <w:szCs w:val="22"/>
        </w:rPr>
        <w:t xml:space="preserve"> bezüglich der </w:t>
      </w:r>
      <w:r w:rsidR="005F1350">
        <w:rPr>
          <w:szCs w:val="22"/>
        </w:rPr>
        <w:t>Verbreitung des Konsums in einem</w:t>
      </w:r>
      <w:r w:rsidR="00903243">
        <w:rPr>
          <w:szCs w:val="22"/>
        </w:rPr>
        <w:t xml:space="preserve"> sozialen </w:t>
      </w:r>
      <w:r w:rsidR="005F1350">
        <w:rPr>
          <w:szCs w:val="22"/>
        </w:rPr>
        <w:t>Gefüge</w:t>
      </w:r>
      <w:r w:rsidR="00267288">
        <w:rPr>
          <w:szCs w:val="22"/>
        </w:rPr>
        <w:t xml:space="preserve"> </w:t>
      </w:r>
      <w:r w:rsidR="00F12067">
        <w:rPr>
          <w:szCs w:val="22"/>
        </w:rPr>
        <w:t>eher</w:t>
      </w:r>
      <w:r w:rsidR="001872B3">
        <w:rPr>
          <w:szCs w:val="22"/>
        </w:rPr>
        <w:t xml:space="preserve"> </w:t>
      </w:r>
      <w:r w:rsidR="00903243">
        <w:rPr>
          <w:szCs w:val="22"/>
        </w:rPr>
        <w:t xml:space="preserve">von </w:t>
      </w:r>
      <w:r w:rsidR="00903243" w:rsidRPr="00762252">
        <w:rPr>
          <w:szCs w:val="22"/>
        </w:rPr>
        <w:t xml:space="preserve">einer </w:t>
      </w:r>
      <w:r w:rsidR="00267288">
        <w:rPr>
          <w:szCs w:val="22"/>
        </w:rPr>
        <w:t>drogenpolitisch unabhängigen</w:t>
      </w:r>
      <w:r w:rsidR="00903243" w:rsidRPr="00762252">
        <w:rPr>
          <w:szCs w:val="22"/>
        </w:rPr>
        <w:t xml:space="preserve"> epidemiologischen Dynamik</w:t>
      </w:r>
      <w:r w:rsidR="00267288">
        <w:rPr>
          <w:szCs w:val="22"/>
        </w:rPr>
        <w:t xml:space="preserve"> ausgegangen werden</w:t>
      </w:r>
      <w:r w:rsidR="00565DD7">
        <w:rPr>
          <w:szCs w:val="22"/>
        </w:rPr>
        <w:t xml:space="preserve"> (vgl. Reuband 2009)</w:t>
      </w:r>
      <w:r w:rsidR="00267288">
        <w:rPr>
          <w:szCs w:val="22"/>
        </w:rPr>
        <w:t xml:space="preserve">. </w:t>
      </w:r>
      <w:r w:rsidR="005F1350">
        <w:rPr>
          <w:szCs w:val="22"/>
        </w:rPr>
        <w:t>Über das</w:t>
      </w:r>
      <w:r w:rsidR="00903243">
        <w:rPr>
          <w:szCs w:val="22"/>
        </w:rPr>
        <w:t xml:space="preserve"> Studium der Entwicklung</w:t>
      </w:r>
      <w:r w:rsidR="00267288">
        <w:rPr>
          <w:szCs w:val="22"/>
        </w:rPr>
        <w:t>en</w:t>
      </w:r>
      <w:r w:rsidR="00903243">
        <w:rPr>
          <w:szCs w:val="22"/>
        </w:rPr>
        <w:t xml:space="preserve"> im Zuge der Prä- und Post</w:t>
      </w:r>
      <w:r w:rsidR="00D01097">
        <w:rPr>
          <w:szCs w:val="22"/>
        </w:rPr>
        <w:t>regulierung</w:t>
      </w:r>
      <w:r w:rsidR="00903243">
        <w:rPr>
          <w:szCs w:val="22"/>
        </w:rPr>
        <w:t xml:space="preserve"> </w:t>
      </w:r>
      <w:r w:rsidR="00F12067">
        <w:rPr>
          <w:szCs w:val="22"/>
        </w:rPr>
        <w:t xml:space="preserve">durch </w:t>
      </w:r>
      <w:r w:rsidR="00267288">
        <w:rPr>
          <w:szCs w:val="22"/>
        </w:rPr>
        <w:t>ve</w:t>
      </w:r>
      <w:r w:rsidR="00267288">
        <w:rPr>
          <w:szCs w:val="22"/>
        </w:rPr>
        <w:t>r</w:t>
      </w:r>
      <w:r w:rsidR="00267288">
        <w:rPr>
          <w:szCs w:val="22"/>
        </w:rPr>
        <w:t>schiede</w:t>
      </w:r>
      <w:r w:rsidR="00F12067">
        <w:rPr>
          <w:szCs w:val="22"/>
        </w:rPr>
        <w:t>ne US-amerikanische</w:t>
      </w:r>
      <w:r w:rsidR="00267288">
        <w:rPr>
          <w:szCs w:val="22"/>
        </w:rPr>
        <w:t xml:space="preserve"> Bundesstaaten </w:t>
      </w:r>
      <w:r w:rsidR="00103150">
        <w:rPr>
          <w:szCs w:val="22"/>
        </w:rPr>
        <w:t>gilt es</w:t>
      </w:r>
      <w:r w:rsidR="00903243">
        <w:rPr>
          <w:szCs w:val="22"/>
        </w:rPr>
        <w:t xml:space="preserve"> deshalb </w:t>
      </w:r>
      <w:r w:rsidR="00267288">
        <w:rPr>
          <w:szCs w:val="22"/>
        </w:rPr>
        <w:t>herauszufinden</w:t>
      </w:r>
      <w:r w:rsidR="00AB7021">
        <w:rPr>
          <w:szCs w:val="22"/>
        </w:rPr>
        <w:t xml:space="preserve">, </w:t>
      </w:r>
      <w:r w:rsidR="00103150">
        <w:rPr>
          <w:szCs w:val="22"/>
        </w:rPr>
        <w:t>welchen Einfluss</w:t>
      </w:r>
      <w:r w:rsidR="00F0490B" w:rsidRPr="00762252">
        <w:rPr>
          <w:szCs w:val="22"/>
        </w:rPr>
        <w:t xml:space="preserve"> drogenpolitische</w:t>
      </w:r>
      <w:r w:rsidR="00103150">
        <w:rPr>
          <w:szCs w:val="22"/>
        </w:rPr>
        <w:t xml:space="preserve"> Entscheidungen </w:t>
      </w:r>
      <w:r w:rsidR="00903243">
        <w:rPr>
          <w:szCs w:val="22"/>
        </w:rPr>
        <w:t xml:space="preserve">tatsächlich </w:t>
      </w:r>
      <w:r w:rsidR="00103150">
        <w:rPr>
          <w:szCs w:val="22"/>
        </w:rPr>
        <w:t>haben</w:t>
      </w:r>
      <w:r w:rsidR="00F0490B" w:rsidRPr="00762252">
        <w:rPr>
          <w:szCs w:val="22"/>
        </w:rPr>
        <w:t xml:space="preserve"> und wodurch </w:t>
      </w:r>
      <w:r w:rsidR="00103150">
        <w:rPr>
          <w:szCs w:val="22"/>
        </w:rPr>
        <w:t>dieser</w:t>
      </w:r>
      <w:r w:rsidR="00F0490B" w:rsidRPr="00762252">
        <w:rPr>
          <w:szCs w:val="22"/>
        </w:rPr>
        <w:t xml:space="preserve"> bestimmt wird.</w:t>
      </w:r>
      <w:r w:rsidRPr="00762252">
        <w:rPr>
          <w:szCs w:val="22"/>
        </w:rPr>
        <w:t xml:space="preserve"> </w:t>
      </w:r>
    </w:p>
    <w:p w14:paraId="3B6F33A4" w14:textId="25F1D7DB" w:rsidR="009F5A56" w:rsidRDefault="00103150" w:rsidP="009D7629">
      <w:pPr>
        <w:spacing w:line="276" w:lineRule="auto"/>
        <w:jc w:val="both"/>
        <w:rPr>
          <w:szCs w:val="22"/>
        </w:rPr>
      </w:pPr>
      <w:r>
        <w:rPr>
          <w:szCs w:val="22"/>
        </w:rPr>
        <w:t>Eine Auseinandersetzung dazu</w:t>
      </w:r>
      <w:r w:rsidR="001872B3">
        <w:rPr>
          <w:szCs w:val="22"/>
        </w:rPr>
        <w:t xml:space="preserve"> kann gegenwärtig nur am Beispiel der Bundesstaaten Washin</w:t>
      </w:r>
      <w:r w:rsidR="001872B3">
        <w:rPr>
          <w:szCs w:val="22"/>
        </w:rPr>
        <w:t>g</w:t>
      </w:r>
      <w:r w:rsidR="001872B3">
        <w:rPr>
          <w:szCs w:val="22"/>
        </w:rPr>
        <w:t>ton und Colorado erfolgen</w:t>
      </w:r>
      <w:r w:rsidR="00565DD7">
        <w:rPr>
          <w:szCs w:val="22"/>
        </w:rPr>
        <w:t xml:space="preserve">. Nur diese können </w:t>
      </w:r>
      <w:r w:rsidR="005F1350">
        <w:rPr>
          <w:szCs w:val="22"/>
        </w:rPr>
        <w:t xml:space="preserve">durch die im Jahr 2012 beschlossene und </w:t>
      </w:r>
      <w:r w:rsidR="00F40120">
        <w:rPr>
          <w:szCs w:val="22"/>
        </w:rPr>
        <w:t>ab</w:t>
      </w:r>
      <w:r w:rsidR="005F1350">
        <w:rPr>
          <w:szCs w:val="22"/>
        </w:rPr>
        <w:t xml:space="preserve"> 2013 </w:t>
      </w:r>
      <w:r w:rsidR="00565DD7">
        <w:rPr>
          <w:szCs w:val="22"/>
        </w:rPr>
        <w:t xml:space="preserve">Stück für Stück </w:t>
      </w:r>
      <w:r w:rsidR="00AF2B51">
        <w:rPr>
          <w:szCs w:val="22"/>
        </w:rPr>
        <w:t xml:space="preserve">begonnene </w:t>
      </w:r>
      <w:r w:rsidR="00D01097">
        <w:rPr>
          <w:szCs w:val="22"/>
        </w:rPr>
        <w:t>Regulierung</w:t>
      </w:r>
      <w:r w:rsidR="001872B3">
        <w:rPr>
          <w:szCs w:val="22"/>
        </w:rPr>
        <w:t xml:space="preserve"> des Freizeitkonsums </w:t>
      </w:r>
      <w:r w:rsidR="00AF2B51">
        <w:rPr>
          <w:szCs w:val="22"/>
        </w:rPr>
        <w:t xml:space="preserve">für Erwachsene </w:t>
      </w:r>
      <w:r w:rsidR="001872B3">
        <w:rPr>
          <w:szCs w:val="22"/>
        </w:rPr>
        <w:t xml:space="preserve">bereits </w:t>
      </w:r>
      <w:r>
        <w:rPr>
          <w:szCs w:val="22"/>
        </w:rPr>
        <w:t xml:space="preserve">erste </w:t>
      </w:r>
      <w:r w:rsidR="001872B3">
        <w:rPr>
          <w:szCs w:val="22"/>
        </w:rPr>
        <w:t>emp</w:t>
      </w:r>
      <w:r w:rsidR="001872B3">
        <w:rPr>
          <w:szCs w:val="22"/>
        </w:rPr>
        <w:t>i</w:t>
      </w:r>
      <w:r w:rsidR="001872B3">
        <w:rPr>
          <w:szCs w:val="22"/>
        </w:rPr>
        <w:t>rische Daten vorlegen</w:t>
      </w:r>
      <w:r w:rsidR="00E329E7">
        <w:rPr>
          <w:rStyle w:val="Funotenzeichen"/>
          <w:szCs w:val="22"/>
        </w:rPr>
        <w:footnoteReference w:id="20"/>
      </w:r>
      <w:r w:rsidR="001872B3">
        <w:rPr>
          <w:szCs w:val="22"/>
        </w:rPr>
        <w:t>.</w:t>
      </w:r>
      <w:r w:rsidR="00A24BE8">
        <w:rPr>
          <w:szCs w:val="22"/>
        </w:rPr>
        <w:t xml:space="preserve"> Allerdings ist </w:t>
      </w:r>
      <w:r w:rsidR="00565DD7">
        <w:rPr>
          <w:szCs w:val="22"/>
        </w:rPr>
        <w:t xml:space="preserve">auch </w:t>
      </w:r>
      <w:r w:rsidR="00A24BE8">
        <w:rPr>
          <w:szCs w:val="22"/>
        </w:rPr>
        <w:t xml:space="preserve">dieser Datenschnitt mit Vorsicht zu behandeln, weil wichtige Maßnahmen der </w:t>
      </w:r>
      <w:r w:rsidR="00D01097">
        <w:rPr>
          <w:szCs w:val="22"/>
        </w:rPr>
        <w:t>Regulierung</w:t>
      </w:r>
      <w:r w:rsidR="00A24BE8">
        <w:rPr>
          <w:szCs w:val="22"/>
        </w:rPr>
        <w:t xml:space="preserve"> erst </w:t>
      </w:r>
      <w:r w:rsidR="00565DD7">
        <w:rPr>
          <w:szCs w:val="22"/>
        </w:rPr>
        <w:t xml:space="preserve">Schritt für Schritt und zum Teil auch </w:t>
      </w:r>
      <w:r w:rsidR="00AF2B51">
        <w:rPr>
          <w:szCs w:val="22"/>
        </w:rPr>
        <w:t>mit</w:t>
      </w:r>
      <w:r w:rsidR="00A24BE8">
        <w:rPr>
          <w:szCs w:val="22"/>
        </w:rPr>
        <w:t xml:space="preserve"> Zeitverzug </w:t>
      </w:r>
      <w:r w:rsidR="006E0374">
        <w:rPr>
          <w:szCs w:val="22"/>
        </w:rPr>
        <w:t xml:space="preserve">in die Praxis </w:t>
      </w:r>
      <w:r w:rsidR="00565DD7">
        <w:rPr>
          <w:szCs w:val="22"/>
        </w:rPr>
        <w:t>umgesetzt wurden</w:t>
      </w:r>
      <w:r w:rsidR="00A24BE8">
        <w:rPr>
          <w:szCs w:val="22"/>
        </w:rPr>
        <w:t xml:space="preserve">: In Colorado </w:t>
      </w:r>
      <w:r w:rsidR="00565DD7">
        <w:rPr>
          <w:szCs w:val="22"/>
        </w:rPr>
        <w:t xml:space="preserve">öffneten </w:t>
      </w:r>
      <w:r w:rsidR="00A24BE8">
        <w:rPr>
          <w:szCs w:val="22"/>
        </w:rPr>
        <w:t>beispielsweise die ersten legalen Abgab</w:t>
      </w:r>
      <w:r w:rsidR="00A24BE8">
        <w:rPr>
          <w:szCs w:val="22"/>
        </w:rPr>
        <w:t>e</w:t>
      </w:r>
      <w:r w:rsidR="00A24BE8">
        <w:rPr>
          <w:szCs w:val="22"/>
        </w:rPr>
        <w:t xml:space="preserve">stellen für </w:t>
      </w:r>
      <w:r w:rsidR="00565DD7">
        <w:rPr>
          <w:szCs w:val="22"/>
        </w:rPr>
        <w:t>Marihuana</w:t>
      </w:r>
      <w:r w:rsidR="00A24BE8">
        <w:rPr>
          <w:szCs w:val="22"/>
        </w:rPr>
        <w:t xml:space="preserve"> erst am 01.01.2014, so dass sich </w:t>
      </w:r>
      <w:r w:rsidR="00565DD7">
        <w:rPr>
          <w:szCs w:val="22"/>
        </w:rPr>
        <w:t>wesentliche Entwicklungen beispielswe</w:t>
      </w:r>
      <w:r w:rsidR="00565DD7">
        <w:rPr>
          <w:szCs w:val="22"/>
        </w:rPr>
        <w:t>i</w:t>
      </w:r>
      <w:r w:rsidR="00565DD7">
        <w:rPr>
          <w:szCs w:val="22"/>
        </w:rPr>
        <w:t xml:space="preserve">se in den Kriminalitätsraten </w:t>
      </w:r>
      <w:r w:rsidR="00A24BE8">
        <w:rPr>
          <w:szCs w:val="22"/>
        </w:rPr>
        <w:t xml:space="preserve">auch erst </w:t>
      </w:r>
      <w:r w:rsidR="00E329E7">
        <w:rPr>
          <w:szCs w:val="22"/>
        </w:rPr>
        <w:t>als</w:t>
      </w:r>
      <w:r w:rsidR="00A24BE8">
        <w:rPr>
          <w:szCs w:val="22"/>
        </w:rPr>
        <w:t xml:space="preserve"> Folge dieser freien Zugänglichkeit</w:t>
      </w:r>
      <w:r w:rsidR="00C12328">
        <w:rPr>
          <w:szCs w:val="22"/>
        </w:rPr>
        <w:t xml:space="preserve"> vollziehen konnten (vgl. Drug Policy A</w:t>
      </w:r>
      <w:r w:rsidR="00A24BE8">
        <w:rPr>
          <w:szCs w:val="22"/>
        </w:rPr>
        <w:t xml:space="preserve">lliance </w:t>
      </w:r>
      <w:r w:rsidR="009C3E70">
        <w:rPr>
          <w:szCs w:val="22"/>
        </w:rPr>
        <w:t>2015).</w:t>
      </w:r>
      <w:r w:rsidR="00A24BE8">
        <w:rPr>
          <w:szCs w:val="22"/>
        </w:rPr>
        <w:t xml:space="preserve">  </w:t>
      </w:r>
    </w:p>
    <w:p w14:paraId="00A11868" w14:textId="77777777" w:rsidR="005623FD" w:rsidRPr="00C50251" w:rsidRDefault="005623FD" w:rsidP="009D7629">
      <w:pPr>
        <w:pStyle w:val="berschrift2"/>
        <w:spacing w:line="276" w:lineRule="auto"/>
        <w:jc w:val="both"/>
      </w:pPr>
      <w:bookmarkStart w:id="20" w:name="_Toc349300349"/>
      <w:r>
        <w:t xml:space="preserve">Zur Verbreitung des </w:t>
      </w:r>
      <w:r w:rsidRPr="00C50251">
        <w:t>Marihuana-Konsum</w:t>
      </w:r>
      <w:r>
        <w:t>s</w:t>
      </w:r>
      <w:r w:rsidRPr="00C50251">
        <w:t xml:space="preserve"> in den USA</w:t>
      </w:r>
      <w:bookmarkEnd w:id="20"/>
    </w:p>
    <w:p w14:paraId="74730613" w14:textId="6DA8AA8D" w:rsidR="005623FD" w:rsidRDefault="005623FD" w:rsidP="009D7629">
      <w:pPr>
        <w:pStyle w:val="berschrift3"/>
        <w:spacing w:line="276" w:lineRule="auto"/>
        <w:jc w:val="both"/>
        <w:rPr>
          <w:noProof/>
        </w:rPr>
      </w:pPr>
      <w:bookmarkStart w:id="21" w:name="_Toc349300350"/>
      <w:r>
        <w:rPr>
          <w:noProof/>
        </w:rPr>
        <w:t xml:space="preserve">Zur </w:t>
      </w:r>
      <w:r w:rsidRPr="00D47191">
        <w:rPr>
          <w:noProof/>
        </w:rPr>
        <w:t xml:space="preserve">US-amerikanischen </w:t>
      </w:r>
      <w:r>
        <w:rPr>
          <w:noProof/>
        </w:rPr>
        <w:t>Datenlage</w:t>
      </w:r>
      <w:bookmarkEnd w:id="21"/>
      <w:r>
        <w:rPr>
          <w:noProof/>
        </w:rPr>
        <w:t xml:space="preserve"> </w:t>
      </w:r>
    </w:p>
    <w:p w14:paraId="275C93FE" w14:textId="77777777" w:rsidR="00F40120" w:rsidRDefault="002877E7" w:rsidP="009D7629">
      <w:pPr>
        <w:spacing w:line="276" w:lineRule="auto"/>
        <w:jc w:val="both"/>
        <w:rPr>
          <w:rFonts w:cs="Georgia"/>
          <w:szCs w:val="22"/>
        </w:rPr>
      </w:pPr>
      <w:r w:rsidRPr="005A4293">
        <w:rPr>
          <w:noProof/>
          <w:szCs w:val="22"/>
        </w:rPr>
        <w:t>Die Datenlage zu</w:t>
      </w:r>
      <w:r w:rsidR="00F40120">
        <w:rPr>
          <w:noProof/>
          <w:szCs w:val="22"/>
        </w:rPr>
        <w:t>r</w:t>
      </w:r>
      <w:r w:rsidRPr="005A4293">
        <w:rPr>
          <w:noProof/>
          <w:szCs w:val="22"/>
        </w:rPr>
        <w:t xml:space="preserve"> epidemiologischen Verbreitung des Konsums psycho</w:t>
      </w:r>
      <w:r w:rsidR="00F40120">
        <w:rPr>
          <w:noProof/>
          <w:szCs w:val="22"/>
        </w:rPr>
        <w:t>-</w:t>
      </w:r>
      <w:r w:rsidRPr="005A4293">
        <w:rPr>
          <w:noProof/>
          <w:szCs w:val="22"/>
        </w:rPr>
        <w:t>aktiver Substanzen in der US-amerikan</w:t>
      </w:r>
      <w:r w:rsidR="00220528">
        <w:rPr>
          <w:noProof/>
          <w:szCs w:val="22"/>
        </w:rPr>
        <w:t>ischen Bevölke</w:t>
      </w:r>
      <w:r w:rsidR="00103150">
        <w:rPr>
          <w:noProof/>
          <w:szCs w:val="22"/>
        </w:rPr>
        <w:t>rung (Personen, die älter als 12</w:t>
      </w:r>
      <w:r w:rsidR="00220528">
        <w:rPr>
          <w:noProof/>
          <w:szCs w:val="22"/>
        </w:rPr>
        <w:t xml:space="preserve"> Jahre sind) </w:t>
      </w:r>
      <w:r w:rsidR="00B65310">
        <w:rPr>
          <w:noProof/>
          <w:szCs w:val="22"/>
        </w:rPr>
        <w:t>kann sich auf</w:t>
      </w:r>
      <w:r w:rsidRPr="005A4293">
        <w:rPr>
          <w:noProof/>
          <w:szCs w:val="22"/>
        </w:rPr>
        <w:t xml:space="preserve"> </w:t>
      </w:r>
      <w:r w:rsidR="00F40120">
        <w:rPr>
          <w:noProof/>
          <w:szCs w:val="22"/>
        </w:rPr>
        <w:t>USA-weite</w:t>
      </w:r>
      <w:r w:rsidR="0005711C">
        <w:rPr>
          <w:noProof/>
          <w:szCs w:val="22"/>
        </w:rPr>
        <w:t xml:space="preserve"> </w:t>
      </w:r>
      <w:r w:rsidR="00A656FB">
        <w:rPr>
          <w:noProof/>
          <w:szCs w:val="22"/>
        </w:rPr>
        <w:t>Befragungen</w:t>
      </w:r>
      <w:r w:rsidR="00B65310">
        <w:rPr>
          <w:noProof/>
          <w:szCs w:val="22"/>
        </w:rPr>
        <w:t xml:space="preserve"> stützen</w:t>
      </w:r>
      <w:r w:rsidRPr="005A4293">
        <w:rPr>
          <w:noProof/>
          <w:szCs w:val="22"/>
        </w:rPr>
        <w:t xml:space="preserve">, die </w:t>
      </w:r>
      <w:r w:rsidR="003A79AA">
        <w:rPr>
          <w:noProof/>
          <w:szCs w:val="22"/>
        </w:rPr>
        <w:t>in einigen Bundesstaaten</w:t>
      </w:r>
      <w:r w:rsidR="003A79AA" w:rsidRPr="005A4293">
        <w:rPr>
          <w:noProof/>
          <w:szCs w:val="22"/>
        </w:rPr>
        <w:t xml:space="preserve"> </w:t>
      </w:r>
      <w:r w:rsidR="0005711C">
        <w:rPr>
          <w:noProof/>
          <w:szCs w:val="22"/>
        </w:rPr>
        <w:t xml:space="preserve">durch </w:t>
      </w:r>
      <w:r w:rsidR="003A79AA">
        <w:rPr>
          <w:noProof/>
          <w:szCs w:val="22"/>
        </w:rPr>
        <w:t xml:space="preserve">eigene </w:t>
      </w:r>
      <w:r w:rsidR="0005711C" w:rsidRPr="005A4293">
        <w:rPr>
          <w:noProof/>
          <w:szCs w:val="22"/>
        </w:rPr>
        <w:t xml:space="preserve">Untersuchungen </w:t>
      </w:r>
      <w:r w:rsidR="00B65310">
        <w:rPr>
          <w:noProof/>
          <w:szCs w:val="22"/>
        </w:rPr>
        <w:t>ergänzen</w:t>
      </w:r>
      <w:r w:rsidRPr="005A4293">
        <w:rPr>
          <w:noProof/>
          <w:szCs w:val="22"/>
        </w:rPr>
        <w:t xml:space="preserve"> </w:t>
      </w:r>
      <w:r w:rsidR="00F40120">
        <w:rPr>
          <w:noProof/>
          <w:szCs w:val="22"/>
        </w:rPr>
        <w:t>werden</w:t>
      </w:r>
      <w:r w:rsidRPr="005A4293">
        <w:rPr>
          <w:noProof/>
          <w:szCs w:val="22"/>
        </w:rPr>
        <w:t xml:space="preserve">. </w:t>
      </w:r>
      <w:r w:rsidR="005A4293" w:rsidRPr="005A4293">
        <w:rPr>
          <w:noProof/>
          <w:szCs w:val="22"/>
        </w:rPr>
        <w:t xml:space="preserve">Für eine Situationsanalyse </w:t>
      </w:r>
      <w:r w:rsidR="00220528">
        <w:rPr>
          <w:noProof/>
          <w:szCs w:val="22"/>
        </w:rPr>
        <w:t xml:space="preserve">in den </w:t>
      </w:r>
      <w:r w:rsidR="005A4293" w:rsidRPr="005A4293">
        <w:rPr>
          <w:noProof/>
          <w:szCs w:val="22"/>
        </w:rPr>
        <w:t xml:space="preserve">USA insgesamt </w:t>
      </w:r>
      <w:r w:rsidR="00B65310">
        <w:rPr>
          <w:noProof/>
          <w:szCs w:val="22"/>
        </w:rPr>
        <w:t>wird der</w:t>
      </w:r>
      <w:r w:rsidR="005A4293" w:rsidRPr="005A4293">
        <w:rPr>
          <w:noProof/>
          <w:szCs w:val="22"/>
        </w:rPr>
        <w:t xml:space="preserve"> </w:t>
      </w:r>
      <w:r w:rsidR="00AF2B51">
        <w:rPr>
          <w:rFonts w:cs="Times"/>
          <w:szCs w:val="22"/>
        </w:rPr>
        <w:t xml:space="preserve">Nationalen Surveys on Drug and Health </w:t>
      </w:r>
      <w:r w:rsidR="00B65310">
        <w:rPr>
          <w:rFonts w:cs="Georgia"/>
          <w:szCs w:val="22"/>
        </w:rPr>
        <w:t>wichtig</w:t>
      </w:r>
      <w:r w:rsidR="005A4293" w:rsidRPr="005A4293">
        <w:rPr>
          <w:rFonts w:cs="Georgia"/>
          <w:szCs w:val="22"/>
        </w:rPr>
        <w:t>; eine jährlich landesweit durchgeführte Haushaltsbefra</w:t>
      </w:r>
      <w:r w:rsidR="00AF2B51">
        <w:rPr>
          <w:rFonts w:cs="Georgia"/>
          <w:szCs w:val="22"/>
        </w:rPr>
        <w:t xml:space="preserve">gung, </w:t>
      </w:r>
      <w:r w:rsidR="005A4293" w:rsidRPr="005A4293">
        <w:rPr>
          <w:rFonts w:cs="Georgia"/>
          <w:szCs w:val="22"/>
        </w:rPr>
        <w:t>die</w:t>
      </w:r>
      <w:r w:rsidR="0005711C">
        <w:rPr>
          <w:rFonts w:cs="Georgia"/>
          <w:szCs w:val="22"/>
        </w:rPr>
        <w:t xml:space="preserve"> sowohl über persönliche Interviews als auch über computerge</w:t>
      </w:r>
      <w:r w:rsidR="00AF2B51">
        <w:rPr>
          <w:rFonts w:cs="Georgia"/>
          <w:szCs w:val="22"/>
        </w:rPr>
        <w:t>stützt auszufüllende Fragebogen d</w:t>
      </w:r>
      <w:r w:rsidR="0005711C">
        <w:rPr>
          <w:rFonts w:cs="Georgia"/>
          <w:szCs w:val="22"/>
        </w:rPr>
        <w:t>urchgeführt und</w:t>
      </w:r>
      <w:r w:rsidR="005A4293" w:rsidRPr="005A4293">
        <w:rPr>
          <w:rFonts w:cs="Georgia"/>
          <w:szCs w:val="22"/>
        </w:rPr>
        <w:t xml:space="preserve"> </w:t>
      </w:r>
      <w:r w:rsidR="00220528">
        <w:rPr>
          <w:rFonts w:cs="Georgia"/>
          <w:szCs w:val="22"/>
        </w:rPr>
        <w:t xml:space="preserve">von der </w:t>
      </w:r>
      <w:r w:rsidR="005A4293" w:rsidRPr="005A4293">
        <w:rPr>
          <w:rFonts w:cs="Georgia"/>
          <w:szCs w:val="22"/>
        </w:rPr>
        <w:t>Substance Abuse and Mental Health Services Administration</w:t>
      </w:r>
      <w:r w:rsidR="004D092B">
        <w:rPr>
          <w:rStyle w:val="Funotenzeichen"/>
          <w:rFonts w:cs="Georgia"/>
          <w:szCs w:val="22"/>
        </w:rPr>
        <w:footnoteReference w:id="21"/>
      </w:r>
      <w:r w:rsidR="005A4293" w:rsidRPr="005A4293">
        <w:rPr>
          <w:rFonts w:cs="Georgia"/>
          <w:szCs w:val="22"/>
        </w:rPr>
        <w:t xml:space="preserve"> in Au</w:t>
      </w:r>
      <w:r w:rsidR="005A4293" w:rsidRPr="005A4293">
        <w:rPr>
          <w:rFonts w:cs="Georgia"/>
          <w:szCs w:val="22"/>
        </w:rPr>
        <w:t>f</w:t>
      </w:r>
      <w:r w:rsidR="005A4293" w:rsidRPr="005A4293">
        <w:rPr>
          <w:rFonts w:cs="Georgia"/>
          <w:szCs w:val="22"/>
        </w:rPr>
        <w:t xml:space="preserve">trag gegeben wird. </w:t>
      </w:r>
    </w:p>
    <w:p w14:paraId="21EEE311" w14:textId="436B03CD" w:rsidR="00FC6DB6" w:rsidRDefault="00C45408" w:rsidP="009D7629">
      <w:pPr>
        <w:spacing w:line="276" w:lineRule="auto"/>
        <w:jc w:val="both"/>
        <w:rPr>
          <w:rFonts w:cs="Times"/>
          <w:szCs w:val="22"/>
        </w:rPr>
      </w:pPr>
      <w:r>
        <w:rPr>
          <w:rFonts w:cs="Times"/>
          <w:szCs w:val="22"/>
        </w:rPr>
        <w:t xml:space="preserve">Für eine Betrachtung der </w:t>
      </w:r>
      <w:r w:rsidR="00F40120">
        <w:rPr>
          <w:rFonts w:cs="Times"/>
          <w:szCs w:val="22"/>
        </w:rPr>
        <w:t>Verbreitung</w:t>
      </w:r>
      <w:r>
        <w:rPr>
          <w:rFonts w:cs="Times"/>
          <w:szCs w:val="22"/>
        </w:rPr>
        <w:t xml:space="preserve"> des Marihuana-Konsums </w:t>
      </w:r>
      <w:r w:rsidR="00103150">
        <w:rPr>
          <w:rFonts w:cs="Times"/>
          <w:szCs w:val="22"/>
        </w:rPr>
        <w:t>mit Fokus auf Prä- und Post</w:t>
      </w:r>
      <w:r w:rsidR="00D01097">
        <w:rPr>
          <w:rFonts w:cs="Times"/>
          <w:szCs w:val="22"/>
        </w:rPr>
        <w:t>R</w:t>
      </w:r>
      <w:r w:rsidR="00D01097">
        <w:rPr>
          <w:rFonts w:cs="Times"/>
          <w:szCs w:val="22"/>
        </w:rPr>
        <w:t>e</w:t>
      </w:r>
      <w:r w:rsidR="00D01097">
        <w:rPr>
          <w:rFonts w:cs="Times"/>
          <w:szCs w:val="22"/>
        </w:rPr>
        <w:t>gulierung</w:t>
      </w:r>
      <w:r w:rsidR="00103150">
        <w:rPr>
          <w:rFonts w:cs="Times"/>
          <w:szCs w:val="22"/>
        </w:rPr>
        <w:t xml:space="preserve"> </w:t>
      </w:r>
      <w:r>
        <w:rPr>
          <w:rFonts w:cs="Times"/>
          <w:szCs w:val="22"/>
        </w:rPr>
        <w:t xml:space="preserve">stellt sich allerdings für </w:t>
      </w:r>
      <w:r w:rsidR="00F40120">
        <w:rPr>
          <w:rFonts w:cs="Times"/>
          <w:szCs w:val="22"/>
        </w:rPr>
        <w:t>den</w:t>
      </w:r>
      <w:r w:rsidR="00C45B0F">
        <w:rPr>
          <w:rFonts w:cs="Times"/>
          <w:szCs w:val="22"/>
        </w:rPr>
        <w:t xml:space="preserve"> Nationalen Surveys on Drug and Health </w:t>
      </w:r>
      <w:r>
        <w:rPr>
          <w:rFonts w:cs="Times"/>
          <w:szCs w:val="22"/>
        </w:rPr>
        <w:t xml:space="preserve">heraus, dass eine realitätsgerechte Betrachtung durch </w:t>
      </w:r>
      <w:r w:rsidR="006E0374">
        <w:rPr>
          <w:rFonts w:cs="Times"/>
          <w:szCs w:val="22"/>
        </w:rPr>
        <w:t xml:space="preserve">die </w:t>
      </w:r>
      <w:r w:rsidR="00B65310">
        <w:rPr>
          <w:rFonts w:cs="Times"/>
          <w:szCs w:val="22"/>
        </w:rPr>
        <w:t xml:space="preserve">Wahl der Altersgruppen </w:t>
      </w:r>
      <w:r w:rsidR="00866852" w:rsidRPr="00FC6DB6">
        <w:rPr>
          <w:rFonts w:cs="Times"/>
          <w:szCs w:val="22"/>
        </w:rPr>
        <w:t xml:space="preserve">(vgl. </w:t>
      </w:r>
      <w:r w:rsidR="00866852" w:rsidRPr="00FC6DB6">
        <w:rPr>
          <w:rFonts w:cs="Times New Roman"/>
          <w:szCs w:val="22"/>
        </w:rPr>
        <w:t>Center for Behavioral Health Statistics and Quality 2015)</w:t>
      </w:r>
      <w:r w:rsidR="00B65310">
        <w:rPr>
          <w:rFonts w:cs="Times"/>
          <w:szCs w:val="22"/>
        </w:rPr>
        <w:t xml:space="preserve"> verstellt wird</w:t>
      </w:r>
      <w:r w:rsidR="00F40120">
        <w:rPr>
          <w:rFonts w:cs="Times"/>
          <w:szCs w:val="22"/>
        </w:rPr>
        <w:t xml:space="preserve">, weil sie </w:t>
      </w:r>
      <w:r>
        <w:rPr>
          <w:rFonts w:cs="Times"/>
          <w:szCs w:val="22"/>
        </w:rPr>
        <w:t>wesentliche Unterschiede</w:t>
      </w:r>
      <w:r w:rsidR="00866852">
        <w:rPr>
          <w:rFonts w:cs="Times"/>
          <w:szCs w:val="22"/>
        </w:rPr>
        <w:t xml:space="preserve"> </w:t>
      </w:r>
      <w:r>
        <w:rPr>
          <w:rFonts w:cs="Times"/>
          <w:szCs w:val="22"/>
        </w:rPr>
        <w:t>in den Rahmenbedin</w:t>
      </w:r>
      <w:r w:rsidR="00FC6DB6" w:rsidRPr="00FC6DB6">
        <w:rPr>
          <w:rFonts w:cs="Times"/>
          <w:szCs w:val="22"/>
        </w:rPr>
        <w:t>gungen</w:t>
      </w:r>
      <w:r w:rsidR="00F40120" w:rsidRPr="00F40120">
        <w:rPr>
          <w:rFonts w:cs="Times"/>
          <w:szCs w:val="22"/>
        </w:rPr>
        <w:t xml:space="preserve"> </w:t>
      </w:r>
      <w:r w:rsidR="00F40120" w:rsidRPr="00FC6DB6">
        <w:rPr>
          <w:rFonts w:cs="Times"/>
          <w:szCs w:val="22"/>
        </w:rPr>
        <w:t>über</w:t>
      </w:r>
      <w:r w:rsidR="00F40120">
        <w:rPr>
          <w:rFonts w:cs="Times"/>
          <w:szCs w:val="22"/>
        </w:rPr>
        <w:t>decken</w:t>
      </w:r>
      <w:r w:rsidR="00866852">
        <w:rPr>
          <w:rFonts w:cs="Times"/>
          <w:szCs w:val="22"/>
        </w:rPr>
        <w:t>, die für die</w:t>
      </w:r>
      <w:r w:rsidR="00FC6DB6" w:rsidRPr="00FC6DB6">
        <w:rPr>
          <w:rFonts w:cs="Times"/>
          <w:szCs w:val="22"/>
        </w:rPr>
        <w:t xml:space="preserve"> </w:t>
      </w:r>
      <w:r w:rsidR="003A79AA">
        <w:rPr>
          <w:rFonts w:cs="Times"/>
          <w:szCs w:val="22"/>
        </w:rPr>
        <w:t xml:space="preserve">jeweils </w:t>
      </w:r>
      <w:r w:rsidR="005F1350">
        <w:rPr>
          <w:rFonts w:cs="Times"/>
          <w:szCs w:val="22"/>
        </w:rPr>
        <w:t>gewählten</w:t>
      </w:r>
      <w:r w:rsidR="00866852">
        <w:rPr>
          <w:rFonts w:cs="Times"/>
          <w:szCs w:val="22"/>
        </w:rPr>
        <w:t xml:space="preserve"> Altersgrupp</w:t>
      </w:r>
      <w:r w:rsidR="005F1350">
        <w:rPr>
          <w:rFonts w:cs="Times"/>
          <w:szCs w:val="22"/>
        </w:rPr>
        <w:t xml:space="preserve">ierungen </w:t>
      </w:r>
      <w:r w:rsidR="003A79AA">
        <w:rPr>
          <w:rFonts w:cs="Times"/>
          <w:szCs w:val="22"/>
        </w:rPr>
        <w:t>gelten</w:t>
      </w:r>
      <w:r w:rsidRPr="00FC6DB6">
        <w:rPr>
          <w:rFonts w:cs="Times"/>
          <w:szCs w:val="22"/>
        </w:rPr>
        <w:t>.</w:t>
      </w:r>
      <w:r>
        <w:rPr>
          <w:rFonts w:cs="Times"/>
          <w:szCs w:val="22"/>
        </w:rPr>
        <w:t xml:space="preserve"> So werden in dem Bericht die Aussagen nach den Altersgruppe</w:t>
      </w:r>
      <w:r w:rsidR="00FC6DB6">
        <w:rPr>
          <w:rFonts w:cs="Times"/>
          <w:szCs w:val="22"/>
        </w:rPr>
        <w:t>n</w:t>
      </w:r>
      <w:r w:rsidR="005F1350">
        <w:rPr>
          <w:rFonts w:cs="Times"/>
          <w:szCs w:val="22"/>
        </w:rPr>
        <w:t xml:space="preserve"> </w:t>
      </w:r>
      <w:r w:rsidR="00565DD7">
        <w:rPr>
          <w:rFonts w:cs="Times"/>
          <w:szCs w:val="22"/>
        </w:rPr>
        <w:t>„</w:t>
      </w:r>
      <w:r w:rsidR="005F1350">
        <w:rPr>
          <w:rFonts w:cs="Times"/>
          <w:szCs w:val="22"/>
        </w:rPr>
        <w:t>12-17</w:t>
      </w:r>
      <w:r>
        <w:rPr>
          <w:rFonts w:cs="Times"/>
          <w:szCs w:val="22"/>
        </w:rPr>
        <w:t xml:space="preserve"> Jahre</w:t>
      </w:r>
      <w:r w:rsidR="00565DD7">
        <w:rPr>
          <w:rFonts w:cs="Times"/>
          <w:szCs w:val="22"/>
        </w:rPr>
        <w:t>“</w:t>
      </w:r>
      <w:r>
        <w:rPr>
          <w:rFonts w:cs="Times"/>
          <w:szCs w:val="22"/>
        </w:rPr>
        <w:t xml:space="preserve"> und </w:t>
      </w:r>
      <w:r w:rsidR="00565DD7">
        <w:rPr>
          <w:rFonts w:cs="Times"/>
          <w:szCs w:val="22"/>
        </w:rPr>
        <w:t>„</w:t>
      </w:r>
      <w:r>
        <w:rPr>
          <w:rFonts w:cs="Times"/>
          <w:szCs w:val="22"/>
        </w:rPr>
        <w:t>18-25 Jahre</w:t>
      </w:r>
      <w:r w:rsidR="00565DD7">
        <w:rPr>
          <w:rFonts w:cs="Times"/>
          <w:szCs w:val="22"/>
        </w:rPr>
        <w:t>“</w:t>
      </w:r>
      <w:r>
        <w:rPr>
          <w:rFonts w:cs="Times"/>
          <w:szCs w:val="22"/>
        </w:rPr>
        <w:t xml:space="preserve"> </w:t>
      </w:r>
      <w:r w:rsidR="00A656FB">
        <w:rPr>
          <w:rFonts w:cs="Times"/>
          <w:szCs w:val="22"/>
        </w:rPr>
        <w:t>gruppiert</w:t>
      </w:r>
      <w:r w:rsidR="00866852">
        <w:rPr>
          <w:rFonts w:cs="Times"/>
          <w:szCs w:val="22"/>
        </w:rPr>
        <w:t xml:space="preserve">, um </w:t>
      </w:r>
      <w:r w:rsidR="009E391B">
        <w:rPr>
          <w:rFonts w:cs="Times"/>
          <w:szCs w:val="22"/>
        </w:rPr>
        <w:t>ein</w:t>
      </w:r>
      <w:r w:rsidR="00866852">
        <w:rPr>
          <w:rFonts w:cs="Times"/>
          <w:szCs w:val="22"/>
        </w:rPr>
        <w:t>en</w:t>
      </w:r>
      <w:r w:rsidR="009E391B">
        <w:rPr>
          <w:rFonts w:cs="Times"/>
          <w:szCs w:val="22"/>
        </w:rPr>
        <w:t xml:space="preserve"> </w:t>
      </w:r>
      <w:r w:rsidR="00866852">
        <w:rPr>
          <w:rFonts w:cs="Times"/>
          <w:szCs w:val="22"/>
        </w:rPr>
        <w:t xml:space="preserve">Fokus auf </w:t>
      </w:r>
      <w:r w:rsidR="009E391B">
        <w:rPr>
          <w:rFonts w:cs="Times"/>
          <w:szCs w:val="22"/>
        </w:rPr>
        <w:t>adoleszen</w:t>
      </w:r>
      <w:r w:rsidR="00866852">
        <w:rPr>
          <w:rFonts w:cs="Times"/>
          <w:szCs w:val="22"/>
        </w:rPr>
        <w:t>te</w:t>
      </w:r>
      <w:r w:rsidR="009E391B">
        <w:rPr>
          <w:rFonts w:cs="Times"/>
          <w:szCs w:val="22"/>
        </w:rPr>
        <w:t xml:space="preserve"> Jugendli</w:t>
      </w:r>
      <w:r w:rsidR="00866852">
        <w:rPr>
          <w:rFonts w:cs="Times"/>
          <w:szCs w:val="22"/>
        </w:rPr>
        <w:t>che</w:t>
      </w:r>
      <w:r w:rsidR="009E391B">
        <w:rPr>
          <w:rFonts w:cs="Times"/>
          <w:szCs w:val="22"/>
        </w:rPr>
        <w:t xml:space="preserve"> und </w:t>
      </w:r>
      <w:r w:rsidR="00866852">
        <w:rPr>
          <w:rFonts w:cs="Times"/>
          <w:szCs w:val="22"/>
        </w:rPr>
        <w:t xml:space="preserve">Jugendliche im </w:t>
      </w:r>
      <w:r w:rsidR="009E391B">
        <w:rPr>
          <w:rFonts w:cs="Times"/>
          <w:szCs w:val="22"/>
        </w:rPr>
        <w:t>College-Alter her</w:t>
      </w:r>
      <w:r w:rsidR="00866852">
        <w:rPr>
          <w:rFonts w:cs="Times"/>
          <w:szCs w:val="22"/>
        </w:rPr>
        <w:t>z</w:t>
      </w:r>
      <w:r w:rsidR="00866852">
        <w:rPr>
          <w:rFonts w:cs="Times"/>
          <w:szCs w:val="22"/>
        </w:rPr>
        <w:t>u</w:t>
      </w:r>
      <w:r w:rsidR="00866852">
        <w:rPr>
          <w:rFonts w:cs="Times"/>
          <w:szCs w:val="22"/>
        </w:rPr>
        <w:t>stellen</w:t>
      </w:r>
      <w:r>
        <w:rPr>
          <w:rFonts w:cs="Times"/>
          <w:szCs w:val="22"/>
        </w:rPr>
        <w:t xml:space="preserve">. Diese Zuordnungen erscheinen </w:t>
      </w:r>
      <w:r w:rsidR="009E391B">
        <w:rPr>
          <w:rFonts w:cs="Times"/>
          <w:szCs w:val="22"/>
        </w:rPr>
        <w:t xml:space="preserve">jedoch </w:t>
      </w:r>
      <w:r>
        <w:rPr>
          <w:rFonts w:cs="Times"/>
          <w:szCs w:val="22"/>
        </w:rPr>
        <w:t xml:space="preserve">insofern ungeeignet, als sich </w:t>
      </w:r>
      <w:r w:rsidR="00A656FB">
        <w:rPr>
          <w:rFonts w:cs="Times"/>
          <w:szCs w:val="22"/>
        </w:rPr>
        <w:t>in der amerikan</w:t>
      </w:r>
      <w:r w:rsidR="00A656FB">
        <w:rPr>
          <w:rFonts w:cs="Times"/>
          <w:szCs w:val="22"/>
        </w:rPr>
        <w:t>i</w:t>
      </w:r>
      <w:r w:rsidR="00A656FB">
        <w:rPr>
          <w:rFonts w:cs="Times"/>
          <w:szCs w:val="22"/>
        </w:rPr>
        <w:t xml:space="preserve">schen Bevölkerung </w:t>
      </w:r>
      <w:r w:rsidRPr="00FC6DB6">
        <w:rPr>
          <w:rFonts w:cs="Times"/>
          <w:i/>
          <w:szCs w:val="22"/>
        </w:rPr>
        <w:t>erstens</w:t>
      </w:r>
      <w:r>
        <w:rPr>
          <w:rFonts w:cs="Times"/>
          <w:szCs w:val="22"/>
        </w:rPr>
        <w:t xml:space="preserve"> zwischen dem 12</w:t>
      </w:r>
      <w:r w:rsidR="00866852">
        <w:rPr>
          <w:rFonts w:cs="Times"/>
          <w:szCs w:val="22"/>
        </w:rPr>
        <w:t>.</w:t>
      </w:r>
      <w:r>
        <w:rPr>
          <w:rFonts w:cs="Times"/>
          <w:szCs w:val="22"/>
        </w:rPr>
        <w:t>-18</w:t>
      </w:r>
      <w:r w:rsidR="00FC6DB6">
        <w:rPr>
          <w:rFonts w:cs="Times"/>
          <w:szCs w:val="22"/>
        </w:rPr>
        <w:t>.</w:t>
      </w:r>
      <w:r>
        <w:rPr>
          <w:rFonts w:cs="Times"/>
          <w:szCs w:val="22"/>
        </w:rPr>
        <w:t xml:space="preserve"> Lebensjahr auch in Bezug auf den Konsum psycho</w:t>
      </w:r>
      <w:r w:rsidR="00F40120">
        <w:rPr>
          <w:rFonts w:cs="Times"/>
          <w:szCs w:val="22"/>
        </w:rPr>
        <w:t>-</w:t>
      </w:r>
      <w:r>
        <w:rPr>
          <w:rFonts w:cs="Times"/>
          <w:szCs w:val="22"/>
        </w:rPr>
        <w:t>aktiver Substanzen unterschiedlich affine Gruppen mit unterschiedlich</w:t>
      </w:r>
      <w:r w:rsidR="00F40120">
        <w:rPr>
          <w:rFonts w:cs="Times"/>
          <w:szCs w:val="22"/>
        </w:rPr>
        <w:t>en</w:t>
      </w:r>
      <w:r>
        <w:rPr>
          <w:rFonts w:cs="Times"/>
          <w:szCs w:val="22"/>
        </w:rPr>
        <w:t xml:space="preserve"> Risiken des Konsums unterscheiden lassen</w:t>
      </w:r>
      <w:r w:rsidR="005F1350">
        <w:rPr>
          <w:rFonts w:cs="Times"/>
          <w:szCs w:val="22"/>
        </w:rPr>
        <w:t xml:space="preserve"> (vgl. Gold, </w:t>
      </w:r>
      <w:r w:rsidR="005F1350">
        <w:rPr>
          <w:rFonts w:cs="Arial"/>
          <w:bCs/>
          <w:szCs w:val="22"/>
        </w:rPr>
        <w:t xml:space="preserve">Nguyen </w:t>
      </w:r>
      <w:r w:rsidR="005F1350" w:rsidRPr="00762252">
        <w:rPr>
          <w:rFonts w:cs="Arial"/>
          <w:bCs/>
          <w:szCs w:val="22"/>
        </w:rPr>
        <w:t>2009</w:t>
      </w:r>
      <w:r w:rsidR="005F1350">
        <w:rPr>
          <w:rFonts w:cs="Arial"/>
          <w:bCs/>
          <w:szCs w:val="22"/>
        </w:rPr>
        <w:t>)</w:t>
      </w:r>
      <w:r>
        <w:rPr>
          <w:rFonts w:cs="Times"/>
          <w:szCs w:val="22"/>
        </w:rPr>
        <w:t xml:space="preserve">. </w:t>
      </w:r>
      <w:r w:rsidR="00866852">
        <w:rPr>
          <w:rFonts w:cs="Times"/>
          <w:szCs w:val="22"/>
        </w:rPr>
        <w:t>Mit</w:t>
      </w:r>
      <w:r>
        <w:rPr>
          <w:rFonts w:cs="Times"/>
          <w:szCs w:val="22"/>
        </w:rPr>
        <w:t xml:space="preserve"> der Altersgruppe der 18-25</w:t>
      </w:r>
      <w:r w:rsidR="00F40120">
        <w:rPr>
          <w:rFonts w:cs="Times"/>
          <w:szCs w:val="22"/>
        </w:rPr>
        <w:t>-</w:t>
      </w:r>
      <w:r w:rsidR="00FC6DB6">
        <w:rPr>
          <w:rFonts w:cs="Times"/>
          <w:szCs w:val="22"/>
        </w:rPr>
        <w:t xml:space="preserve">Jährigen werden </w:t>
      </w:r>
      <w:r w:rsidR="00FC6DB6" w:rsidRPr="00FC6DB6">
        <w:rPr>
          <w:rFonts w:cs="Times"/>
          <w:i/>
          <w:szCs w:val="22"/>
        </w:rPr>
        <w:t>z</w:t>
      </w:r>
      <w:r w:rsidRPr="00FC6DB6">
        <w:rPr>
          <w:rFonts w:cs="Times"/>
          <w:i/>
          <w:szCs w:val="22"/>
        </w:rPr>
        <w:t>weitens</w:t>
      </w:r>
      <w:r>
        <w:rPr>
          <w:rFonts w:cs="Times"/>
          <w:szCs w:val="22"/>
        </w:rPr>
        <w:t xml:space="preserve"> Jugendliche zusammengefasst</w:t>
      </w:r>
      <w:r w:rsidR="00FC6DB6">
        <w:rPr>
          <w:rFonts w:cs="Times"/>
          <w:szCs w:val="22"/>
        </w:rPr>
        <w:t>, die nach US-amerikanischem Recht ab dem 21. Geburtstag legal Zugang zu Alkohol und</w:t>
      </w:r>
      <w:r w:rsidR="006E0374">
        <w:rPr>
          <w:rFonts w:cs="Times"/>
          <w:szCs w:val="22"/>
        </w:rPr>
        <w:t>,</w:t>
      </w:r>
      <w:r w:rsidR="00FC6DB6">
        <w:rPr>
          <w:rFonts w:cs="Times"/>
          <w:szCs w:val="22"/>
        </w:rPr>
        <w:t xml:space="preserve"> in Staaten mit </w:t>
      </w:r>
      <w:r w:rsidR="00F40120">
        <w:rPr>
          <w:rFonts w:cs="Times"/>
          <w:szCs w:val="22"/>
        </w:rPr>
        <w:t>Regulierungsbemühungen</w:t>
      </w:r>
      <w:r w:rsidR="006E0374">
        <w:rPr>
          <w:rFonts w:cs="Times"/>
          <w:szCs w:val="22"/>
        </w:rPr>
        <w:t>,</w:t>
      </w:r>
      <w:r w:rsidR="00FC6DB6">
        <w:rPr>
          <w:rFonts w:cs="Times"/>
          <w:szCs w:val="22"/>
        </w:rPr>
        <w:t xml:space="preserve"> auch ungestraft Zu</w:t>
      </w:r>
      <w:r w:rsidR="00F61935">
        <w:rPr>
          <w:rFonts w:cs="Times"/>
          <w:szCs w:val="22"/>
        </w:rPr>
        <w:t xml:space="preserve">gang zu </w:t>
      </w:r>
      <w:r w:rsidR="00F40120">
        <w:rPr>
          <w:rFonts w:cs="Times"/>
          <w:szCs w:val="22"/>
        </w:rPr>
        <w:t xml:space="preserve">Marihuana </w:t>
      </w:r>
      <w:r w:rsidR="00F61935">
        <w:rPr>
          <w:rFonts w:cs="Times"/>
          <w:szCs w:val="22"/>
        </w:rPr>
        <w:t xml:space="preserve">haben. </w:t>
      </w:r>
      <w:r w:rsidR="00F40120">
        <w:rPr>
          <w:rFonts w:cs="Times"/>
          <w:szCs w:val="22"/>
        </w:rPr>
        <w:t>Ob</w:t>
      </w:r>
      <w:r w:rsidR="00FC6DB6">
        <w:rPr>
          <w:rFonts w:cs="Times"/>
          <w:szCs w:val="22"/>
        </w:rPr>
        <w:t xml:space="preserve"> </w:t>
      </w:r>
      <w:r w:rsidR="005F1350">
        <w:rPr>
          <w:rFonts w:cs="Times"/>
          <w:szCs w:val="22"/>
        </w:rPr>
        <w:t xml:space="preserve">Jugendliche </w:t>
      </w:r>
      <w:r w:rsidR="002B32B3">
        <w:rPr>
          <w:rFonts w:cs="Times"/>
          <w:szCs w:val="22"/>
        </w:rPr>
        <w:t>ab dem 21. Lebensjahr durch eine l</w:t>
      </w:r>
      <w:r w:rsidR="00FC6DB6">
        <w:rPr>
          <w:rFonts w:cs="Times"/>
          <w:szCs w:val="22"/>
        </w:rPr>
        <w:t>egal</w:t>
      </w:r>
      <w:r w:rsidR="002B32B3">
        <w:rPr>
          <w:rFonts w:cs="Times"/>
          <w:szCs w:val="22"/>
        </w:rPr>
        <w:t xml:space="preserve">e Zugänglichkeit </w:t>
      </w:r>
      <w:r w:rsidR="006E0374">
        <w:rPr>
          <w:rFonts w:cs="Times"/>
          <w:szCs w:val="22"/>
        </w:rPr>
        <w:t xml:space="preserve">tatsächlich </w:t>
      </w:r>
      <w:r w:rsidR="00F40120">
        <w:rPr>
          <w:rFonts w:cs="Times"/>
          <w:szCs w:val="22"/>
        </w:rPr>
        <w:t xml:space="preserve">zu einem Konsum </w:t>
      </w:r>
      <w:r w:rsidR="002B32B3">
        <w:rPr>
          <w:rFonts w:cs="Times"/>
          <w:szCs w:val="22"/>
        </w:rPr>
        <w:t>motiviert wer</w:t>
      </w:r>
      <w:r w:rsidR="00F40120">
        <w:rPr>
          <w:rFonts w:cs="Times"/>
          <w:szCs w:val="22"/>
        </w:rPr>
        <w:t xml:space="preserve">den, </w:t>
      </w:r>
      <w:r w:rsidR="00FC6DB6">
        <w:rPr>
          <w:rFonts w:cs="Times"/>
          <w:szCs w:val="22"/>
        </w:rPr>
        <w:t xml:space="preserve">lässt sich </w:t>
      </w:r>
      <w:r w:rsidR="00565DD7">
        <w:rPr>
          <w:rFonts w:cs="Times"/>
          <w:szCs w:val="22"/>
        </w:rPr>
        <w:t xml:space="preserve">deshalb </w:t>
      </w:r>
      <w:r w:rsidR="00F40120">
        <w:rPr>
          <w:rFonts w:cs="Times"/>
          <w:szCs w:val="22"/>
        </w:rPr>
        <w:t xml:space="preserve">mit diesen Daten </w:t>
      </w:r>
      <w:r w:rsidR="00FC6DB6">
        <w:rPr>
          <w:rFonts w:cs="Times"/>
          <w:szCs w:val="22"/>
        </w:rPr>
        <w:t xml:space="preserve">nur bedingt </w:t>
      </w:r>
      <w:r w:rsidR="006E0374">
        <w:rPr>
          <w:rFonts w:cs="Times"/>
          <w:szCs w:val="22"/>
        </w:rPr>
        <w:t>prüfen</w:t>
      </w:r>
      <w:r w:rsidR="00FC6DB6">
        <w:rPr>
          <w:rFonts w:cs="Times"/>
          <w:szCs w:val="22"/>
        </w:rPr>
        <w:t>.</w:t>
      </w:r>
    </w:p>
    <w:p w14:paraId="1B37060B" w14:textId="1015339F" w:rsidR="005623FD" w:rsidRDefault="00A8485D" w:rsidP="009D7629">
      <w:pPr>
        <w:pStyle w:val="berschrift3"/>
        <w:spacing w:line="276" w:lineRule="auto"/>
        <w:jc w:val="both"/>
      </w:pPr>
      <w:bookmarkStart w:id="22" w:name="_Toc349300351"/>
      <w:r>
        <w:t>Marihuana: N</w:t>
      </w:r>
      <w:r w:rsidR="005623FD">
        <w:t xml:space="preserve">ach Alkohol die </w:t>
      </w:r>
      <w:r>
        <w:t>Droge mit der größten Verbreitung</w:t>
      </w:r>
      <w:bookmarkEnd w:id="22"/>
      <w:r>
        <w:t xml:space="preserve"> </w:t>
      </w:r>
    </w:p>
    <w:p w14:paraId="5AF00485" w14:textId="11673935" w:rsidR="0056395E" w:rsidRDefault="003A79AA" w:rsidP="009D7629">
      <w:pPr>
        <w:spacing w:line="276" w:lineRule="auto"/>
        <w:jc w:val="both"/>
        <w:rPr>
          <w:rFonts w:cs="Times"/>
          <w:szCs w:val="22"/>
        </w:rPr>
      </w:pPr>
      <w:r>
        <w:rPr>
          <w:rFonts w:cs="Times"/>
          <w:szCs w:val="22"/>
        </w:rPr>
        <w:t>Die</w:t>
      </w:r>
      <w:r w:rsidR="00A656FB" w:rsidRPr="00A656FB">
        <w:rPr>
          <w:rFonts w:cs="Times"/>
          <w:szCs w:val="22"/>
        </w:rPr>
        <w:t xml:space="preserve"> </w:t>
      </w:r>
      <w:r w:rsidR="00A656FB">
        <w:rPr>
          <w:rFonts w:cs="Times"/>
          <w:szCs w:val="22"/>
        </w:rPr>
        <w:t xml:space="preserve">vorliegenden Daten </w:t>
      </w:r>
      <w:r>
        <w:rPr>
          <w:rFonts w:cs="Times"/>
          <w:szCs w:val="22"/>
        </w:rPr>
        <w:t>stellen dar</w:t>
      </w:r>
      <w:r w:rsidR="00A656FB">
        <w:rPr>
          <w:rFonts w:cs="Times"/>
          <w:szCs w:val="22"/>
        </w:rPr>
        <w:t xml:space="preserve">, dass </w:t>
      </w:r>
      <w:r w:rsidR="00866852">
        <w:rPr>
          <w:rFonts w:cs="Times"/>
          <w:szCs w:val="22"/>
        </w:rPr>
        <w:t xml:space="preserve">in den USA </w:t>
      </w:r>
      <w:r w:rsidR="006362F1">
        <w:rPr>
          <w:rFonts w:cs="Times"/>
          <w:szCs w:val="22"/>
        </w:rPr>
        <w:t>nach Alkohol Marihuana die psycho-aktive Substanz</w:t>
      </w:r>
      <w:r w:rsidR="006362F1">
        <w:rPr>
          <w:rStyle w:val="Funotenzeichen"/>
          <w:rFonts w:cs="Times"/>
          <w:szCs w:val="22"/>
        </w:rPr>
        <w:footnoteReference w:id="22"/>
      </w:r>
      <w:r w:rsidR="006362F1">
        <w:rPr>
          <w:rFonts w:cs="Times"/>
          <w:szCs w:val="22"/>
        </w:rPr>
        <w:t xml:space="preserve"> </w:t>
      </w:r>
      <w:r w:rsidR="00A656FB">
        <w:rPr>
          <w:rFonts w:cs="Times"/>
          <w:szCs w:val="22"/>
        </w:rPr>
        <w:t xml:space="preserve">mit </w:t>
      </w:r>
      <w:r w:rsidR="006362F1">
        <w:rPr>
          <w:rFonts w:cs="Times"/>
          <w:szCs w:val="22"/>
        </w:rPr>
        <w:t>der weitesten V</w:t>
      </w:r>
      <w:r w:rsidR="00A656FB">
        <w:rPr>
          <w:rFonts w:cs="Times"/>
          <w:szCs w:val="22"/>
        </w:rPr>
        <w:t>erbreit</w:t>
      </w:r>
      <w:r w:rsidR="006362F1">
        <w:rPr>
          <w:rFonts w:cs="Times"/>
          <w:szCs w:val="22"/>
        </w:rPr>
        <w:t>ung ist</w:t>
      </w:r>
      <w:r w:rsidR="006E0374">
        <w:rPr>
          <w:rFonts w:cs="Times"/>
          <w:szCs w:val="22"/>
        </w:rPr>
        <w:t>. Dabei ha</w:t>
      </w:r>
      <w:r w:rsidR="006362F1">
        <w:rPr>
          <w:rFonts w:cs="Times"/>
          <w:szCs w:val="22"/>
        </w:rPr>
        <w:t xml:space="preserve">ben </w:t>
      </w:r>
      <w:r w:rsidR="006E0374">
        <w:rPr>
          <w:rFonts w:cs="Times"/>
          <w:szCs w:val="22"/>
        </w:rPr>
        <w:t xml:space="preserve">sich </w:t>
      </w:r>
      <w:r w:rsidR="006362F1">
        <w:rPr>
          <w:rFonts w:cs="Times"/>
          <w:szCs w:val="22"/>
        </w:rPr>
        <w:t>die</w:t>
      </w:r>
      <w:r w:rsidR="0056395E">
        <w:rPr>
          <w:rFonts w:cs="Times"/>
          <w:szCs w:val="22"/>
        </w:rPr>
        <w:t xml:space="preserve"> Konsumraten seit 2010 nicht signifikant verändert</w:t>
      </w:r>
      <w:r w:rsidR="006362F1">
        <w:rPr>
          <w:rFonts w:cs="Times"/>
          <w:szCs w:val="22"/>
        </w:rPr>
        <w:t xml:space="preserve">: </w:t>
      </w:r>
      <w:r w:rsidR="0056395E">
        <w:rPr>
          <w:rFonts w:cs="Times"/>
          <w:szCs w:val="22"/>
        </w:rPr>
        <w:t xml:space="preserve">Diejenigen, die jemals eine illegalisierte Substanz konsumiert haben (10,2 %), gaben </w:t>
      </w:r>
      <w:r w:rsidR="006E0374">
        <w:rPr>
          <w:rFonts w:cs="Times"/>
          <w:szCs w:val="22"/>
        </w:rPr>
        <w:t>in</w:t>
      </w:r>
      <w:r w:rsidR="0056395E">
        <w:rPr>
          <w:rFonts w:cs="Times"/>
          <w:szCs w:val="22"/>
        </w:rPr>
        <w:t xml:space="preserve"> </w:t>
      </w:r>
      <w:r w:rsidR="00FA482B">
        <w:rPr>
          <w:rFonts w:cs="Times"/>
          <w:szCs w:val="22"/>
        </w:rPr>
        <w:t xml:space="preserve">8,4 % </w:t>
      </w:r>
      <w:r w:rsidR="006E0374">
        <w:rPr>
          <w:rFonts w:cs="Times"/>
          <w:szCs w:val="22"/>
        </w:rPr>
        <w:t xml:space="preserve">der Fälle </w:t>
      </w:r>
      <w:r w:rsidR="003132DA">
        <w:rPr>
          <w:rFonts w:cs="Times"/>
          <w:szCs w:val="22"/>
        </w:rPr>
        <w:t xml:space="preserve">an, im letzten Monat </w:t>
      </w:r>
      <w:r w:rsidR="006362F1">
        <w:rPr>
          <w:rFonts w:cs="Times"/>
          <w:szCs w:val="22"/>
        </w:rPr>
        <w:t xml:space="preserve">Marihuana </w:t>
      </w:r>
      <w:r w:rsidR="003132DA">
        <w:rPr>
          <w:rFonts w:cs="Times"/>
          <w:szCs w:val="22"/>
        </w:rPr>
        <w:t xml:space="preserve">konsumiert zu </w:t>
      </w:r>
      <w:r w:rsidR="003132DA" w:rsidRPr="0056395E">
        <w:rPr>
          <w:rFonts w:cs="Times"/>
          <w:szCs w:val="22"/>
        </w:rPr>
        <w:t>haben</w:t>
      </w:r>
      <w:r w:rsidR="006362F1">
        <w:rPr>
          <w:rFonts w:cs="Times"/>
          <w:szCs w:val="22"/>
        </w:rPr>
        <w:t xml:space="preserve"> (vgl. </w:t>
      </w:r>
      <w:r w:rsidR="006362F1" w:rsidRPr="00DB72E2">
        <w:rPr>
          <w:rFonts w:cs="Times"/>
          <w:szCs w:val="22"/>
        </w:rPr>
        <w:t>Su</w:t>
      </w:r>
      <w:r w:rsidR="006362F1" w:rsidRPr="00DB72E2">
        <w:rPr>
          <w:rFonts w:cs="Times"/>
          <w:szCs w:val="22"/>
        </w:rPr>
        <w:t>b</w:t>
      </w:r>
      <w:r w:rsidR="006362F1" w:rsidRPr="00DB72E2">
        <w:rPr>
          <w:rFonts w:cs="Times"/>
          <w:szCs w:val="22"/>
        </w:rPr>
        <w:t>stance Abuse and Mental Health Services Administration</w:t>
      </w:r>
      <w:r w:rsidR="006362F1">
        <w:rPr>
          <w:rFonts w:cs="Times"/>
          <w:szCs w:val="22"/>
        </w:rPr>
        <w:t xml:space="preserve"> (im Weiteren SAMHSA) 2015, S. 2)</w:t>
      </w:r>
      <w:r w:rsidR="003132DA" w:rsidRPr="0056395E">
        <w:rPr>
          <w:rFonts w:cs="Times"/>
          <w:szCs w:val="22"/>
        </w:rPr>
        <w:t xml:space="preserve"> (vgl. Abbildung</w:t>
      </w:r>
      <w:r w:rsidR="0059452E">
        <w:rPr>
          <w:rFonts w:cs="Times"/>
          <w:szCs w:val="22"/>
        </w:rPr>
        <w:t xml:space="preserve"> 4</w:t>
      </w:r>
      <w:r w:rsidR="003132DA" w:rsidRPr="0056395E">
        <w:rPr>
          <w:rFonts w:cs="Times"/>
          <w:szCs w:val="22"/>
        </w:rPr>
        <w:t>)</w:t>
      </w:r>
      <w:r w:rsidR="00A656FB" w:rsidRPr="0056395E">
        <w:rPr>
          <w:rFonts w:cs="Times"/>
          <w:szCs w:val="22"/>
        </w:rPr>
        <w:t>.</w:t>
      </w:r>
      <w:r w:rsidR="00C50251" w:rsidRPr="0056395E">
        <w:rPr>
          <w:rFonts w:cs="Times"/>
          <w:szCs w:val="22"/>
        </w:rPr>
        <w:t xml:space="preserve"> </w:t>
      </w:r>
    </w:p>
    <w:p w14:paraId="098F204D" w14:textId="77777777" w:rsidR="00254369" w:rsidRPr="00C50251" w:rsidRDefault="00254369" w:rsidP="009D7629">
      <w:pPr>
        <w:spacing w:line="276" w:lineRule="auto"/>
        <w:jc w:val="both"/>
        <w:rPr>
          <w:rFonts w:cs="Times"/>
          <w:szCs w:val="22"/>
        </w:rPr>
      </w:pPr>
    </w:p>
    <w:p w14:paraId="06077437" w14:textId="77777777" w:rsidR="0056395E" w:rsidRDefault="00A656FB" w:rsidP="009D7629">
      <w:pPr>
        <w:keepNext/>
        <w:spacing w:line="276" w:lineRule="auto"/>
        <w:jc w:val="both"/>
      </w:pPr>
      <w:r>
        <w:rPr>
          <w:rFonts w:cs="Times"/>
          <w:noProof/>
          <w:szCs w:val="22"/>
        </w:rPr>
        <w:drawing>
          <wp:inline distT="0" distB="0" distL="0" distR="0" wp14:anchorId="11B64435" wp14:editId="3FC5A285">
            <wp:extent cx="5572548" cy="2277946"/>
            <wp:effectExtent l="25400" t="25400" r="15875" b="3365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0-27 um 16.47.11.png"/>
                    <pic:cNvPicPr/>
                  </pic:nvPicPr>
                  <pic:blipFill>
                    <a:blip r:embed="rId35">
                      <a:extLst>
                        <a:ext uri="{28A0092B-C50C-407E-A947-70E740481C1C}">
                          <a14:useLocalDpi xmlns:a14="http://schemas.microsoft.com/office/drawing/2010/main" val="0"/>
                        </a:ext>
                      </a:extLst>
                    </a:blip>
                    <a:stretch>
                      <a:fillRect/>
                    </a:stretch>
                  </pic:blipFill>
                  <pic:spPr>
                    <a:xfrm>
                      <a:off x="0" y="0"/>
                      <a:ext cx="5572548" cy="2277946"/>
                    </a:xfrm>
                    <a:prstGeom prst="rect">
                      <a:avLst/>
                    </a:prstGeom>
                    <a:ln>
                      <a:solidFill>
                        <a:srgbClr val="000000"/>
                      </a:solidFill>
                    </a:ln>
                  </pic:spPr>
                </pic:pic>
              </a:graphicData>
            </a:graphic>
          </wp:inline>
        </w:drawing>
      </w:r>
    </w:p>
    <w:p w14:paraId="229D8C4C" w14:textId="7A959232" w:rsidR="003132DA" w:rsidRDefault="0056395E" w:rsidP="009D7629">
      <w:pPr>
        <w:pStyle w:val="Beschriftung"/>
        <w:jc w:val="both"/>
      </w:pPr>
      <w:r>
        <w:t xml:space="preserve">Abbildung </w:t>
      </w:r>
      <w:fldSimple w:instr=" SEQ Abbildung \* ARABIC ">
        <w:r w:rsidR="00B86830">
          <w:rPr>
            <w:noProof/>
          </w:rPr>
          <w:t>4</w:t>
        </w:r>
      </w:fldSimple>
      <w:r>
        <w:t>: Zahl der Befragten, die im letzten Monat eine illegale Droge konsumiert haben (</w:t>
      </w:r>
      <w:r w:rsidRPr="00DB72E2">
        <w:rPr>
          <w:rFonts w:cs="Times"/>
          <w:szCs w:val="22"/>
        </w:rPr>
        <w:t>Substance Abuse and Mental Health Services Administration</w:t>
      </w:r>
      <w:r>
        <w:rPr>
          <w:rFonts w:cs="Times"/>
          <w:bCs w:val="0"/>
          <w:szCs w:val="22"/>
        </w:rPr>
        <w:t xml:space="preserve"> </w:t>
      </w:r>
      <w:r w:rsidRPr="00DB72E2">
        <w:rPr>
          <w:rFonts w:cs="Times"/>
          <w:bCs w:val="0"/>
          <w:szCs w:val="22"/>
        </w:rPr>
        <w:t>2015</w:t>
      </w:r>
      <w:r>
        <w:rPr>
          <w:rFonts w:cs="Times"/>
          <w:bCs w:val="0"/>
          <w:szCs w:val="22"/>
        </w:rPr>
        <w:t xml:space="preserve">, </w:t>
      </w:r>
      <w:r>
        <w:t>S. 2)</w:t>
      </w:r>
    </w:p>
    <w:p w14:paraId="2BFC6115" w14:textId="02CF1D87" w:rsidR="0056395E" w:rsidRDefault="00AF2B51" w:rsidP="009D7629">
      <w:pPr>
        <w:keepNext/>
        <w:spacing w:line="276" w:lineRule="auto"/>
        <w:jc w:val="both"/>
        <w:rPr>
          <w:rFonts w:cs="Times"/>
          <w:szCs w:val="22"/>
        </w:rPr>
      </w:pPr>
      <w:r>
        <w:rPr>
          <w:rFonts w:cs="Times"/>
          <w:szCs w:val="22"/>
        </w:rPr>
        <w:t>Für d</w:t>
      </w:r>
      <w:r w:rsidR="0056395E">
        <w:rPr>
          <w:rFonts w:cs="Times"/>
          <w:szCs w:val="22"/>
        </w:rPr>
        <w:t xml:space="preserve">ie Entwicklungen </w:t>
      </w:r>
      <w:r w:rsidR="006362F1">
        <w:rPr>
          <w:rFonts w:cs="Times"/>
          <w:szCs w:val="22"/>
        </w:rPr>
        <w:t xml:space="preserve">in den USA insgesamt </w:t>
      </w:r>
      <w:r>
        <w:rPr>
          <w:rFonts w:cs="Times"/>
          <w:szCs w:val="22"/>
        </w:rPr>
        <w:t>lässt sich seit 2008 ein</w:t>
      </w:r>
      <w:r w:rsidR="0056395E">
        <w:rPr>
          <w:rFonts w:cs="Times"/>
          <w:szCs w:val="22"/>
        </w:rPr>
        <w:t xml:space="preserve"> leich</w:t>
      </w:r>
      <w:r>
        <w:rPr>
          <w:rFonts w:cs="Times"/>
          <w:szCs w:val="22"/>
        </w:rPr>
        <w:t>ter</w:t>
      </w:r>
      <w:r w:rsidR="0056395E">
        <w:rPr>
          <w:rFonts w:cs="Times"/>
          <w:szCs w:val="22"/>
        </w:rPr>
        <w:t xml:space="preserve"> Anstieg der Ko</w:t>
      </w:r>
      <w:r w:rsidR="0056395E">
        <w:rPr>
          <w:rFonts w:cs="Times"/>
          <w:szCs w:val="22"/>
        </w:rPr>
        <w:t>n</w:t>
      </w:r>
      <w:r w:rsidR="0056395E">
        <w:rPr>
          <w:rFonts w:cs="Times"/>
          <w:szCs w:val="22"/>
        </w:rPr>
        <w:t>sumrate</w:t>
      </w:r>
      <w:r w:rsidR="006362F1">
        <w:rPr>
          <w:rFonts w:cs="Times"/>
          <w:szCs w:val="22"/>
        </w:rPr>
        <w:t>n von</w:t>
      </w:r>
      <w:r w:rsidR="0056395E">
        <w:rPr>
          <w:rFonts w:cs="Times"/>
          <w:szCs w:val="22"/>
        </w:rPr>
        <w:t xml:space="preserve"> </w:t>
      </w:r>
      <w:r w:rsidR="006362F1">
        <w:rPr>
          <w:rFonts w:cs="Times"/>
          <w:szCs w:val="22"/>
        </w:rPr>
        <w:t xml:space="preserve">Marihuana </w:t>
      </w:r>
      <w:r w:rsidR="0056395E">
        <w:rPr>
          <w:rFonts w:cs="Times"/>
          <w:szCs w:val="22"/>
        </w:rPr>
        <w:t>nach</w:t>
      </w:r>
      <w:r>
        <w:rPr>
          <w:rFonts w:cs="Times"/>
          <w:szCs w:val="22"/>
        </w:rPr>
        <w:t>weisen</w:t>
      </w:r>
      <w:r w:rsidR="006362F1">
        <w:rPr>
          <w:rFonts w:cs="Times"/>
          <w:szCs w:val="22"/>
        </w:rPr>
        <w:t xml:space="preserve">. Dieser ergibt </w:t>
      </w:r>
      <w:r w:rsidR="0056395E">
        <w:rPr>
          <w:rFonts w:cs="Times"/>
          <w:szCs w:val="22"/>
        </w:rPr>
        <w:t xml:space="preserve">sich insbesondere aus </w:t>
      </w:r>
      <w:r w:rsidR="006362F1">
        <w:rPr>
          <w:rFonts w:cs="Times"/>
          <w:szCs w:val="22"/>
        </w:rPr>
        <w:t>steigenden Konsu</w:t>
      </w:r>
      <w:r w:rsidR="006362F1">
        <w:rPr>
          <w:rFonts w:cs="Times"/>
          <w:szCs w:val="22"/>
        </w:rPr>
        <w:t>m</w:t>
      </w:r>
      <w:r w:rsidR="006362F1">
        <w:rPr>
          <w:rFonts w:cs="Times"/>
          <w:szCs w:val="22"/>
        </w:rPr>
        <w:t xml:space="preserve">raten </w:t>
      </w:r>
      <w:r w:rsidR="0056395E">
        <w:rPr>
          <w:rFonts w:cs="Times"/>
          <w:szCs w:val="22"/>
        </w:rPr>
        <w:t xml:space="preserve">in der Altersgruppe </w:t>
      </w:r>
      <w:r w:rsidR="006362F1">
        <w:rPr>
          <w:rFonts w:cs="Times"/>
          <w:szCs w:val="22"/>
        </w:rPr>
        <w:t>„</w:t>
      </w:r>
      <w:r w:rsidR="0056395E">
        <w:rPr>
          <w:rFonts w:cs="Times"/>
          <w:szCs w:val="22"/>
        </w:rPr>
        <w:t>26 Jahre und älter</w:t>
      </w:r>
      <w:r w:rsidR="006362F1">
        <w:rPr>
          <w:rFonts w:cs="Times"/>
          <w:szCs w:val="22"/>
        </w:rPr>
        <w:t>“</w:t>
      </w:r>
      <w:r w:rsidR="0056395E">
        <w:rPr>
          <w:rFonts w:cs="Times"/>
          <w:szCs w:val="22"/>
        </w:rPr>
        <w:t>. Die Altersgruppe der 12-18</w:t>
      </w:r>
      <w:r w:rsidR="006362F1">
        <w:rPr>
          <w:rFonts w:cs="Times"/>
          <w:szCs w:val="22"/>
        </w:rPr>
        <w:t>-</w:t>
      </w:r>
      <w:r w:rsidR="0056395E">
        <w:rPr>
          <w:rFonts w:cs="Times"/>
          <w:szCs w:val="22"/>
        </w:rPr>
        <w:t>Jährigen ist von di</w:t>
      </w:r>
      <w:r w:rsidR="0056395E">
        <w:rPr>
          <w:rFonts w:cs="Times"/>
          <w:szCs w:val="22"/>
        </w:rPr>
        <w:t>e</w:t>
      </w:r>
      <w:r w:rsidR="0056395E">
        <w:rPr>
          <w:rFonts w:cs="Times"/>
          <w:szCs w:val="22"/>
        </w:rPr>
        <w:t xml:space="preserve">sen Entwicklungen ausgenommen: Für diese </w:t>
      </w:r>
      <w:r w:rsidR="006E0374">
        <w:rPr>
          <w:rFonts w:cs="Times"/>
          <w:szCs w:val="22"/>
        </w:rPr>
        <w:t>zeigt sich</w:t>
      </w:r>
      <w:r w:rsidR="0056395E">
        <w:rPr>
          <w:rFonts w:cs="Times"/>
          <w:szCs w:val="22"/>
        </w:rPr>
        <w:t xml:space="preserve"> seit 2011 eine sinkende Konsumrate (vgl. Abbil</w:t>
      </w:r>
      <w:r w:rsidR="006E0374">
        <w:rPr>
          <w:rFonts w:cs="Times"/>
          <w:szCs w:val="22"/>
        </w:rPr>
        <w:t>du</w:t>
      </w:r>
      <w:r w:rsidR="0059452E">
        <w:rPr>
          <w:rFonts w:cs="Times"/>
          <w:szCs w:val="22"/>
        </w:rPr>
        <w:t>ng 5</w:t>
      </w:r>
      <w:r w:rsidR="006E0374">
        <w:rPr>
          <w:rFonts w:cs="Times"/>
          <w:szCs w:val="22"/>
        </w:rPr>
        <w:t xml:space="preserve">). </w:t>
      </w:r>
      <w:r w:rsidR="006362F1">
        <w:rPr>
          <w:rFonts w:cs="Times"/>
          <w:szCs w:val="22"/>
        </w:rPr>
        <w:t>Bereits s</w:t>
      </w:r>
      <w:r w:rsidR="0056395E" w:rsidRPr="0056395E">
        <w:rPr>
          <w:rFonts w:cs="Times"/>
          <w:szCs w:val="22"/>
        </w:rPr>
        <w:t>eit den 1990er</w:t>
      </w:r>
      <w:r w:rsidR="0056395E">
        <w:rPr>
          <w:rFonts w:cs="Times"/>
          <w:szCs w:val="22"/>
        </w:rPr>
        <w:t xml:space="preserve"> Jahren </w:t>
      </w:r>
      <w:r>
        <w:rPr>
          <w:rFonts w:cs="Times"/>
          <w:szCs w:val="22"/>
        </w:rPr>
        <w:t xml:space="preserve">sind </w:t>
      </w:r>
      <w:r w:rsidR="006362F1">
        <w:rPr>
          <w:rFonts w:cs="Times"/>
          <w:szCs w:val="22"/>
        </w:rPr>
        <w:t xml:space="preserve">es </w:t>
      </w:r>
      <w:r w:rsidR="0056395E" w:rsidRPr="00254369">
        <w:rPr>
          <w:rFonts w:cs="Times"/>
          <w:szCs w:val="22"/>
        </w:rPr>
        <w:t>in</w:t>
      </w:r>
      <w:r w:rsidR="0056395E" w:rsidRPr="00C50251">
        <w:rPr>
          <w:rFonts w:cs="Times"/>
          <w:szCs w:val="22"/>
        </w:rPr>
        <w:t xml:space="preserve"> </w:t>
      </w:r>
      <w:r w:rsidR="0056395E">
        <w:rPr>
          <w:rFonts w:cs="Times"/>
          <w:szCs w:val="22"/>
        </w:rPr>
        <w:t>den</w:t>
      </w:r>
      <w:r w:rsidR="0056395E" w:rsidRPr="00C50251">
        <w:rPr>
          <w:rFonts w:cs="Times"/>
          <w:szCs w:val="22"/>
        </w:rPr>
        <w:t xml:space="preserve"> durchgeführten Studien die 18-25</w:t>
      </w:r>
      <w:r w:rsidR="006362F1">
        <w:rPr>
          <w:rFonts w:cs="Times"/>
          <w:szCs w:val="22"/>
        </w:rPr>
        <w:t>-</w:t>
      </w:r>
      <w:r w:rsidR="0056395E" w:rsidRPr="00C50251">
        <w:rPr>
          <w:rFonts w:cs="Times"/>
          <w:szCs w:val="22"/>
        </w:rPr>
        <w:t xml:space="preserve">Jährigen, für die </w:t>
      </w:r>
      <w:r w:rsidR="0056395E">
        <w:rPr>
          <w:rFonts w:cs="Times"/>
          <w:szCs w:val="22"/>
        </w:rPr>
        <w:t xml:space="preserve">mit 20-22 % aller Marihuana-Konsumenten </w:t>
      </w:r>
      <w:r w:rsidR="0056395E" w:rsidRPr="00C50251">
        <w:rPr>
          <w:rFonts w:cs="Times"/>
          <w:szCs w:val="22"/>
        </w:rPr>
        <w:t xml:space="preserve">die höchsten Konsumraten </w:t>
      </w:r>
      <w:r w:rsidR="006E0374">
        <w:rPr>
          <w:rFonts w:cs="Times"/>
          <w:szCs w:val="22"/>
        </w:rPr>
        <w:t xml:space="preserve">in der Gesamtbevölkerung </w:t>
      </w:r>
      <w:r w:rsidR="006362F1">
        <w:rPr>
          <w:rFonts w:cs="Times"/>
          <w:szCs w:val="22"/>
        </w:rPr>
        <w:t xml:space="preserve">nachgewiesen </w:t>
      </w:r>
      <w:r w:rsidR="006E0374">
        <w:rPr>
          <w:rFonts w:cs="Times"/>
          <w:szCs w:val="22"/>
        </w:rPr>
        <w:t>werden</w:t>
      </w:r>
      <w:r w:rsidR="0056395E">
        <w:rPr>
          <w:rFonts w:cs="Times"/>
          <w:szCs w:val="22"/>
        </w:rPr>
        <w:t xml:space="preserve"> </w:t>
      </w:r>
      <w:r w:rsidR="0056395E" w:rsidRPr="0056395E">
        <w:rPr>
          <w:rFonts w:cs="Times"/>
          <w:szCs w:val="22"/>
        </w:rPr>
        <w:t>(</w:t>
      </w:r>
      <w:r w:rsidR="0056395E">
        <w:rPr>
          <w:rFonts w:cs="Times"/>
          <w:szCs w:val="22"/>
        </w:rPr>
        <w:t>ebenda</w:t>
      </w:r>
      <w:r w:rsidR="0056395E" w:rsidRPr="0056395E">
        <w:rPr>
          <w:rFonts w:cs="Times"/>
          <w:szCs w:val="22"/>
        </w:rPr>
        <w:t>).</w:t>
      </w:r>
      <w:r w:rsidR="006E0374">
        <w:rPr>
          <w:rFonts w:cs="Times"/>
          <w:szCs w:val="22"/>
        </w:rPr>
        <w:t xml:space="preserve"> Insofern ist auch in den USA der Marihu</w:t>
      </w:r>
      <w:r w:rsidR="006E0374">
        <w:rPr>
          <w:rFonts w:cs="Times"/>
          <w:szCs w:val="22"/>
        </w:rPr>
        <w:t>a</w:t>
      </w:r>
      <w:r w:rsidR="006E0374">
        <w:rPr>
          <w:rFonts w:cs="Times"/>
          <w:szCs w:val="22"/>
        </w:rPr>
        <w:t>na-Konsum eher ein Phänomen, das unter Heranwachsenden und jungen Erwachsenden Bede</w:t>
      </w:r>
      <w:r w:rsidR="006E0374">
        <w:rPr>
          <w:rFonts w:cs="Times"/>
          <w:szCs w:val="22"/>
        </w:rPr>
        <w:t>u</w:t>
      </w:r>
      <w:r w:rsidR="006E0374">
        <w:rPr>
          <w:rFonts w:cs="Times"/>
          <w:szCs w:val="22"/>
        </w:rPr>
        <w:t>tung hat.</w:t>
      </w:r>
    </w:p>
    <w:p w14:paraId="03D9E0B7" w14:textId="77777777" w:rsidR="006362F1" w:rsidRDefault="006362F1" w:rsidP="009D7629">
      <w:pPr>
        <w:keepNext/>
        <w:spacing w:line="276" w:lineRule="auto"/>
        <w:jc w:val="both"/>
        <w:rPr>
          <w:rFonts w:cs="Times"/>
          <w:szCs w:val="22"/>
        </w:rPr>
      </w:pPr>
    </w:p>
    <w:p w14:paraId="4039A7AA" w14:textId="3F8A6376" w:rsidR="00681E27" w:rsidRDefault="000F4E16" w:rsidP="001E7306">
      <w:pPr>
        <w:keepNext/>
        <w:spacing w:line="276" w:lineRule="auto"/>
        <w:ind w:firstLine="142"/>
        <w:jc w:val="both"/>
      </w:pPr>
      <w:r>
        <w:rPr>
          <w:rFonts w:cs="Times"/>
          <w:szCs w:val="22"/>
        </w:rPr>
        <w:t xml:space="preserve"> </w:t>
      </w:r>
      <w:r w:rsidR="00681E27">
        <w:rPr>
          <w:rFonts w:cs="Times"/>
          <w:noProof/>
          <w:szCs w:val="22"/>
        </w:rPr>
        <w:drawing>
          <wp:inline distT="0" distB="0" distL="0" distR="0" wp14:anchorId="4626F745" wp14:editId="66222E39">
            <wp:extent cx="5458248" cy="4315544"/>
            <wp:effectExtent l="25400" t="25400" r="28575" b="2794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0-27 um 16.45.50.png"/>
                    <pic:cNvPicPr/>
                  </pic:nvPicPr>
                  <pic:blipFill>
                    <a:blip r:embed="rId36">
                      <a:extLst>
                        <a:ext uri="{28A0092B-C50C-407E-A947-70E740481C1C}">
                          <a14:useLocalDpi xmlns:a14="http://schemas.microsoft.com/office/drawing/2010/main" val="0"/>
                        </a:ext>
                      </a:extLst>
                    </a:blip>
                    <a:stretch>
                      <a:fillRect/>
                    </a:stretch>
                  </pic:blipFill>
                  <pic:spPr>
                    <a:xfrm>
                      <a:off x="0" y="0"/>
                      <a:ext cx="5458248" cy="4315544"/>
                    </a:xfrm>
                    <a:prstGeom prst="rect">
                      <a:avLst/>
                    </a:prstGeom>
                    <a:ln>
                      <a:solidFill>
                        <a:srgbClr val="000000"/>
                      </a:solidFill>
                    </a:ln>
                  </pic:spPr>
                </pic:pic>
              </a:graphicData>
            </a:graphic>
          </wp:inline>
        </w:drawing>
      </w:r>
    </w:p>
    <w:p w14:paraId="581E41A2" w14:textId="70B69A80" w:rsidR="00A656FB" w:rsidRDefault="00681E27" w:rsidP="001E7306">
      <w:pPr>
        <w:pStyle w:val="Beschriftung"/>
        <w:spacing w:line="276" w:lineRule="auto"/>
        <w:ind w:left="142"/>
        <w:jc w:val="both"/>
        <w:rPr>
          <w:rFonts w:cs="Times"/>
          <w:szCs w:val="22"/>
        </w:rPr>
      </w:pPr>
      <w:r>
        <w:t xml:space="preserve">Abbildung </w:t>
      </w:r>
      <w:fldSimple w:instr=" SEQ Abbildung \* ARABIC ">
        <w:r w:rsidR="00B86830">
          <w:rPr>
            <w:noProof/>
          </w:rPr>
          <w:t>5</w:t>
        </w:r>
      </w:fldSimple>
      <w:r w:rsidR="00AB7021">
        <w:rPr>
          <w:noProof/>
        </w:rPr>
        <w:t>:</w:t>
      </w:r>
      <w:r>
        <w:t xml:space="preserve"> Entwicklungstrends des Marihuana-Konsums in der US-amerikanischen Bevölkerung (</w:t>
      </w:r>
      <w:r w:rsidR="00254369" w:rsidRPr="00DB72E2">
        <w:rPr>
          <w:rFonts w:cs="Times"/>
          <w:szCs w:val="22"/>
        </w:rPr>
        <w:t>Su</w:t>
      </w:r>
      <w:r w:rsidR="00254369" w:rsidRPr="00DB72E2">
        <w:rPr>
          <w:rFonts w:cs="Times"/>
          <w:szCs w:val="22"/>
        </w:rPr>
        <w:t>b</w:t>
      </w:r>
      <w:r w:rsidR="00254369" w:rsidRPr="00DB72E2">
        <w:rPr>
          <w:rFonts w:cs="Times"/>
          <w:szCs w:val="22"/>
        </w:rPr>
        <w:t>stance Abuse and Mental Health Services Administration</w:t>
      </w:r>
      <w:r w:rsidR="00254369">
        <w:rPr>
          <w:rFonts w:cs="Times"/>
          <w:bCs w:val="0"/>
          <w:szCs w:val="22"/>
        </w:rPr>
        <w:t xml:space="preserve"> </w:t>
      </w:r>
      <w:r w:rsidR="00254369" w:rsidRPr="00DB72E2">
        <w:rPr>
          <w:rFonts w:cs="Times"/>
          <w:bCs w:val="0"/>
          <w:szCs w:val="22"/>
        </w:rPr>
        <w:t>2015</w:t>
      </w:r>
      <w:r w:rsidR="00254369">
        <w:rPr>
          <w:rFonts w:cs="Times"/>
          <w:bCs w:val="0"/>
          <w:szCs w:val="22"/>
        </w:rPr>
        <w:t xml:space="preserve">, </w:t>
      </w:r>
      <w:r>
        <w:t>S. 5)</w:t>
      </w:r>
    </w:p>
    <w:p w14:paraId="44576B06" w14:textId="53FEC3D6" w:rsidR="0056395E" w:rsidRDefault="0056395E" w:rsidP="009D7629">
      <w:pPr>
        <w:keepNext/>
        <w:spacing w:line="276" w:lineRule="auto"/>
        <w:jc w:val="both"/>
        <w:rPr>
          <w:rFonts w:cs="Times"/>
          <w:szCs w:val="22"/>
        </w:rPr>
      </w:pPr>
      <w:r>
        <w:rPr>
          <w:rFonts w:cs="Times"/>
          <w:szCs w:val="22"/>
        </w:rPr>
        <w:t xml:space="preserve">Ein </w:t>
      </w:r>
      <w:r w:rsidR="006362F1">
        <w:rPr>
          <w:rFonts w:cs="Times"/>
          <w:szCs w:val="22"/>
        </w:rPr>
        <w:t>Blick auf das Jahr 2013, dem</w:t>
      </w:r>
      <w:r>
        <w:rPr>
          <w:rFonts w:cs="Times"/>
          <w:szCs w:val="22"/>
        </w:rPr>
        <w:t xml:space="preserve"> Ausgangspunkt </w:t>
      </w:r>
      <w:r w:rsidR="006362F1">
        <w:rPr>
          <w:rFonts w:cs="Times"/>
          <w:szCs w:val="22"/>
        </w:rPr>
        <w:t>für</w:t>
      </w:r>
      <w:r>
        <w:rPr>
          <w:rFonts w:cs="Times"/>
          <w:szCs w:val="22"/>
        </w:rPr>
        <w:t xml:space="preserve"> </w:t>
      </w:r>
      <w:r w:rsidR="00D01097">
        <w:rPr>
          <w:rFonts w:cs="Times"/>
          <w:szCs w:val="22"/>
        </w:rPr>
        <w:t>Regulierung</w:t>
      </w:r>
      <w:r w:rsidR="00AE096D">
        <w:rPr>
          <w:rFonts w:cs="Times"/>
          <w:szCs w:val="22"/>
        </w:rPr>
        <w:t>sprozesse</w:t>
      </w:r>
      <w:r>
        <w:rPr>
          <w:rFonts w:cs="Times"/>
          <w:szCs w:val="22"/>
        </w:rPr>
        <w:t xml:space="preserve"> des </w:t>
      </w:r>
      <w:r w:rsidR="006362F1">
        <w:rPr>
          <w:rFonts w:cs="Times"/>
          <w:szCs w:val="22"/>
        </w:rPr>
        <w:t>Marihuana-</w:t>
      </w:r>
      <w:r>
        <w:rPr>
          <w:rFonts w:cs="Times"/>
          <w:szCs w:val="22"/>
        </w:rPr>
        <w:t>Freizeitkonsums in Colorado und Washington verdeutlicht, dass sich in den nationalen Zahlen keine Effekte aufzeigen</w:t>
      </w:r>
      <w:r w:rsidRPr="00866852">
        <w:rPr>
          <w:rFonts w:cs="Times"/>
          <w:szCs w:val="22"/>
        </w:rPr>
        <w:t xml:space="preserve"> </w:t>
      </w:r>
      <w:r>
        <w:rPr>
          <w:rFonts w:cs="Times"/>
          <w:szCs w:val="22"/>
        </w:rPr>
        <w:t>lassen, die in einem Bezug zu den veränderten Reg</w:t>
      </w:r>
      <w:r w:rsidR="006362F1">
        <w:rPr>
          <w:rFonts w:cs="Times"/>
          <w:szCs w:val="22"/>
        </w:rPr>
        <w:t xml:space="preserve">elungen </w:t>
      </w:r>
      <w:r>
        <w:rPr>
          <w:rFonts w:cs="Times"/>
          <w:szCs w:val="22"/>
        </w:rPr>
        <w:t>auf Ebene der Bundesstaaten stehen.</w:t>
      </w:r>
    </w:p>
    <w:p w14:paraId="3CF408DC" w14:textId="77777777" w:rsidR="0056395E" w:rsidRDefault="0056395E" w:rsidP="009D7629">
      <w:pPr>
        <w:spacing w:line="276" w:lineRule="auto"/>
        <w:jc w:val="both"/>
        <w:rPr>
          <w:rFonts w:cs="Times"/>
          <w:szCs w:val="22"/>
        </w:rPr>
      </w:pPr>
    </w:p>
    <w:p w14:paraId="100EBEB8" w14:textId="0F75F01F" w:rsidR="006362F1" w:rsidRDefault="0041735A" w:rsidP="006362F1">
      <w:pPr>
        <w:widowControl w:val="0"/>
        <w:autoSpaceDE w:val="0"/>
        <w:autoSpaceDN w:val="0"/>
        <w:adjustRightInd w:val="0"/>
        <w:spacing w:line="276" w:lineRule="auto"/>
        <w:jc w:val="both"/>
        <w:rPr>
          <w:rFonts w:cs="Lucida Grande"/>
        </w:rPr>
      </w:pPr>
      <w:r>
        <w:rPr>
          <w:rFonts w:cs="Lucida Grande"/>
          <w:szCs w:val="22"/>
        </w:rPr>
        <w:t>Aufschlussreich</w:t>
      </w:r>
      <w:r w:rsidR="002C61F9" w:rsidRPr="004061AA">
        <w:rPr>
          <w:rFonts w:cs="Lucida Grande"/>
          <w:szCs w:val="22"/>
        </w:rPr>
        <w:t xml:space="preserve"> ist </w:t>
      </w:r>
      <w:r w:rsidR="003A2724" w:rsidRPr="004061AA">
        <w:rPr>
          <w:rFonts w:cs="Lucida Grande"/>
          <w:szCs w:val="22"/>
        </w:rPr>
        <w:t>eine</w:t>
      </w:r>
      <w:r w:rsidR="002C61F9" w:rsidRPr="004061AA">
        <w:rPr>
          <w:rFonts w:cs="Lucida Grande"/>
          <w:szCs w:val="22"/>
        </w:rPr>
        <w:t xml:space="preserve"> </w:t>
      </w:r>
      <w:r w:rsidR="00935562" w:rsidRPr="004061AA">
        <w:rPr>
          <w:rFonts w:cs="Lucida Grande"/>
          <w:szCs w:val="22"/>
        </w:rPr>
        <w:t xml:space="preserve">Betrachtung der </w:t>
      </w:r>
      <w:r w:rsidR="002C61F9" w:rsidRPr="004061AA">
        <w:rPr>
          <w:rFonts w:cs="Lucida Grande"/>
          <w:szCs w:val="22"/>
        </w:rPr>
        <w:t>Verbreitung des Marihuana-Konsums</w:t>
      </w:r>
      <w:r w:rsidR="006362F1">
        <w:rPr>
          <w:rFonts w:cs="Lucida Grande"/>
          <w:szCs w:val="22"/>
        </w:rPr>
        <w:t xml:space="preserve"> </w:t>
      </w:r>
      <w:r w:rsidR="008822D7">
        <w:rPr>
          <w:rFonts w:cs="Lucida Grande"/>
          <w:szCs w:val="22"/>
        </w:rPr>
        <w:t>sowohl</w:t>
      </w:r>
      <w:r w:rsidR="002C61F9" w:rsidRPr="004061AA">
        <w:rPr>
          <w:rFonts w:cs="Lucida Grande"/>
          <w:szCs w:val="22"/>
        </w:rPr>
        <w:t xml:space="preserve"> </w:t>
      </w:r>
      <w:r w:rsidR="006362F1">
        <w:rPr>
          <w:rFonts w:cs="Lucida Grande"/>
          <w:szCs w:val="22"/>
        </w:rPr>
        <w:t xml:space="preserve">auf der Ebene der </w:t>
      </w:r>
      <w:r w:rsidR="002C61F9" w:rsidRPr="004061AA">
        <w:rPr>
          <w:rFonts w:cs="Lucida Grande"/>
          <w:szCs w:val="22"/>
        </w:rPr>
        <w:t xml:space="preserve">einzelnen Bundesstaaten, </w:t>
      </w:r>
      <w:r w:rsidR="008822D7">
        <w:rPr>
          <w:rFonts w:cs="Lucida Grande"/>
          <w:szCs w:val="22"/>
        </w:rPr>
        <w:t>als</w:t>
      </w:r>
      <w:r w:rsidR="002C61F9" w:rsidRPr="004061AA">
        <w:rPr>
          <w:rFonts w:cs="Lucida Grande"/>
          <w:szCs w:val="22"/>
        </w:rPr>
        <w:t xml:space="preserve"> auch </w:t>
      </w:r>
      <w:r w:rsidR="006362F1">
        <w:rPr>
          <w:rFonts w:cs="Lucida Grande"/>
          <w:szCs w:val="22"/>
        </w:rPr>
        <w:t>der</w:t>
      </w:r>
      <w:r w:rsidR="002C61F9" w:rsidRPr="004061AA">
        <w:rPr>
          <w:rFonts w:cs="Lucida Grande"/>
          <w:szCs w:val="22"/>
        </w:rPr>
        <w:t xml:space="preserve"> </w:t>
      </w:r>
      <w:r w:rsidR="005D4231">
        <w:rPr>
          <w:rFonts w:cs="Lucida Grande"/>
          <w:szCs w:val="22"/>
        </w:rPr>
        <w:t>Counties</w:t>
      </w:r>
      <w:r w:rsidR="0056395E">
        <w:rPr>
          <w:rFonts w:cs="Lucida Grande"/>
          <w:szCs w:val="22"/>
        </w:rPr>
        <w:t>/Landkreise</w:t>
      </w:r>
      <w:r w:rsidR="002C61F9" w:rsidRPr="004061AA">
        <w:rPr>
          <w:rFonts w:cs="Lucida Grande"/>
          <w:szCs w:val="22"/>
        </w:rPr>
        <w:t xml:space="preserve"> innerhalb der jeweiligen Bundesstaaten. </w:t>
      </w:r>
      <w:r w:rsidR="006E0374">
        <w:rPr>
          <w:rFonts w:cs="Lucida Grande"/>
          <w:szCs w:val="22"/>
        </w:rPr>
        <w:t>Da</w:t>
      </w:r>
      <w:r w:rsidR="006362F1">
        <w:rPr>
          <w:rFonts w:cs="Lucida Grande"/>
          <w:szCs w:val="22"/>
        </w:rPr>
        <w:t>bei</w:t>
      </w:r>
      <w:r w:rsidR="006E0374">
        <w:rPr>
          <w:rFonts w:cs="Lucida Grande"/>
          <w:szCs w:val="22"/>
        </w:rPr>
        <w:t xml:space="preserve"> we</w:t>
      </w:r>
      <w:r w:rsidR="003A2724" w:rsidRPr="004061AA">
        <w:rPr>
          <w:rFonts w:cs="Lucida Grande"/>
          <w:szCs w:val="22"/>
        </w:rPr>
        <w:t>rd</w:t>
      </w:r>
      <w:r w:rsidR="006E0374">
        <w:rPr>
          <w:rFonts w:cs="Lucida Grande"/>
          <w:szCs w:val="22"/>
        </w:rPr>
        <w:t>en</w:t>
      </w:r>
      <w:r w:rsidR="003A2724" w:rsidRPr="004061AA">
        <w:rPr>
          <w:rFonts w:cs="Lucida Grande"/>
          <w:szCs w:val="22"/>
        </w:rPr>
        <w:t xml:space="preserve"> enorme </w:t>
      </w:r>
      <w:r w:rsidR="006E0374">
        <w:rPr>
          <w:rFonts w:cs="Lucida Grande"/>
          <w:szCs w:val="22"/>
        </w:rPr>
        <w:t xml:space="preserve">Unterschiede in den </w:t>
      </w:r>
      <w:r w:rsidR="003A2724" w:rsidRPr="004061AA">
        <w:rPr>
          <w:rFonts w:cs="Lucida Grande"/>
          <w:szCs w:val="22"/>
        </w:rPr>
        <w:t>ermittelten durchschnittlich Ra</w:t>
      </w:r>
      <w:r>
        <w:rPr>
          <w:rFonts w:cs="Lucida Grande"/>
          <w:szCs w:val="22"/>
        </w:rPr>
        <w:t>ten des aktuellen Marihuana-K</w:t>
      </w:r>
      <w:r w:rsidR="003A2724" w:rsidRPr="004061AA">
        <w:rPr>
          <w:rFonts w:cs="Lucida Grande"/>
          <w:szCs w:val="22"/>
        </w:rPr>
        <w:t>onsums (Konsum im letzten Monat)</w:t>
      </w:r>
      <w:r w:rsidR="0056395E">
        <w:rPr>
          <w:rStyle w:val="Funotenzeichen"/>
          <w:rFonts w:cs="Lucida Grande"/>
          <w:szCs w:val="22"/>
        </w:rPr>
        <w:footnoteReference w:id="23"/>
      </w:r>
      <w:r w:rsidR="003A2724" w:rsidRPr="004061AA">
        <w:rPr>
          <w:rFonts w:cs="Lucida Grande"/>
          <w:szCs w:val="22"/>
        </w:rPr>
        <w:t xml:space="preserve"> in der Bevölkerung </w:t>
      </w:r>
      <w:r w:rsidR="00924646">
        <w:rPr>
          <w:rFonts w:cs="Lucida Grande"/>
          <w:szCs w:val="22"/>
        </w:rPr>
        <w:t xml:space="preserve">insgesamt </w:t>
      </w:r>
      <w:r w:rsidR="003A2724" w:rsidRPr="004061AA">
        <w:rPr>
          <w:rFonts w:cs="Lucida Grande"/>
          <w:szCs w:val="22"/>
        </w:rPr>
        <w:t>(älter als 12 Jah</w:t>
      </w:r>
      <w:r w:rsidR="004061AA" w:rsidRPr="004061AA">
        <w:rPr>
          <w:rFonts w:cs="Lucida Grande"/>
          <w:szCs w:val="22"/>
        </w:rPr>
        <w:t>re) sichtbar</w:t>
      </w:r>
      <w:r w:rsidR="005D4231">
        <w:rPr>
          <w:rFonts w:cs="Lucida Grande"/>
          <w:szCs w:val="22"/>
        </w:rPr>
        <w:t xml:space="preserve">: </w:t>
      </w:r>
      <w:r w:rsidR="006362F1">
        <w:rPr>
          <w:rFonts w:cs="Lucida Grande"/>
          <w:szCs w:val="22"/>
        </w:rPr>
        <w:t xml:space="preserve">Diese </w:t>
      </w:r>
      <w:r w:rsidR="006362F1" w:rsidRPr="004061AA">
        <w:rPr>
          <w:rFonts w:cs="Lucida Grande"/>
          <w:szCs w:val="22"/>
        </w:rPr>
        <w:t>differieren</w:t>
      </w:r>
      <w:r w:rsidR="006362F1">
        <w:rPr>
          <w:rFonts w:cs="Lucida Grande"/>
          <w:szCs w:val="22"/>
        </w:rPr>
        <w:t xml:space="preserve"> </w:t>
      </w:r>
      <w:r w:rsidR="006362F1" w:rsidRPr="004061AA">
        <w:rPr>
          <w:rFonts w:cs="Lucida Grande"/>
          <w:szCs w:val="22"/>
        </w:rPr>
        <w:t xml:space="preserve">zwischen 3,93 % im Südosten (Teile von Texas) und 15,46 </w:t>
      </w:r>
      <w:r w:rsidR="00C12328">
        <w:rPr>
          <w:rFonts w:cs="Lucida Grande"/>
          <w:szCs w:val="22"/>
        </w:rPr>
        <w:t>% in San Francisco. Zu den 16</w:t>
      </w:r>
      <w:r w:rsidR="006362F1" w:rsidRPr="004061AA">
        <w:rPr>
          <w:rFonts w:cs="Lucida Grande"/>
          <w:szCs w:val="22"/>
        </w:rPr>
        <w:t xml:space="preserve"> Regionen mit den höchsten Marihuana-Konsumraten gehören acht Staaten im Westen (darunter drei</w:t>
      </w:r>
      <w:r w:rsidR="006362F1">
        <w:rPr>
          <w:rFonts w:cs="Lucida Grande"/>
          <w:szCs w:val="22"/>
        </w:rPr>
        <w:t xml:space="preserve"> im Bund</w:t>
      </w:r>
      <w:r w:rsidR="00C12328">
        <w:rPr>
          <w:rFonts w:cs="Lucida Grande"/>
          <w:szCs w:val="22"/>
        </w:rPr>
        <w:t>es</w:t>
      </w:r>
      <w:r w:rsidR="006362F1">
        <w:rPr>
          <w:rFonts w:cs="Lucida Grande"/>
          <w:szCs w:val="22"/>
        </w:rPr>
        <w:t>staat</w:t>
      </w:r>
      <w:r w:rsidR="006362F1" w:rsidRPr="004061AA">
        <w:rPr>
          <w:rFonts w:cs="Lucida Grande"/>
          <w:szCs w:val="22"/>
        </w:rPr>
        <w:t xml:space="preserve"> Colorado, zwei </w:t>
      </w:r>
      <w:r w:rsidR="006362F1">
        <w:rPr>
          <w:rFonts w:cs="Lucida Grande"/>
          <w:szCs w:val="22"/>
        </w:rPr>
        <w:t>im Bundesstaat</w:t>
      </w:r>
      <w:r w:rsidR="006362F1" w:rsidRPr="004061AA">
        <w:rPr>
          <w:rFonts w:cs="Lucida Grande"/>
          <w:szCs w:val="22"/>
        </w:rPr>
        <w:t xml:space="preserve"> Kali</w:t>
      </w:r>
      <w:r w:rsidR="006362F1">
        <w:rPr>
          <w:rFonts w:cs="Lucida Grande"/>
          <w:szCs w:val="22"/>
        </w:rPr>
        <w:t>fornien</w:t>
      </w:r>
      <w:r w:rsidR="006362F1" w:rsidRPr="004061AA">
        <w:rPr>
          <w:rFonts w:cs="Lucida Grande"/>
          <w:szCs w:val="22"/>
        </w:rPr>
        <w:t xml:space="preserve"> und jeweils einer </w:t>
      </w:r>
      <w:r w:rsidR="006362F1">
        <w:rPr>
          <w:rFonts w:cs="Lucida Grande"/>
          <w:szCs w:val="22"/>
        </w:rPr>
        <w:t>in den Bundesstaaten</w:t>
      </w:r>
      <w:r w:rsidR="006362F1" w:rsidRPr="004061AA">
        <w:rPr>
          <w:rFonts w:cs="Lucida Grande"/>
          <w:szCs w:val="22"/>
        </w:rPr>
        <w:t xml:space="preserve"> Alaska, Oregon und Washin</w:t>
      </w:r>
      <w:r w:rsidR="006362F1" w:rsidRPr="004061AA">
        <w:rPr>
          <w:rFonts w:cs="Lucida Grande"/>
          <w:szCs w:val="22"/>
        </w:rPr>
        <w:t>g</w:t>
      </w:r>
      <w:r w:rsidR="006362F1" w:rsidRPr="004061AA">
        <w:rPr>
          <w:rFonts w:cs="Lucida Grande"/>
          <w:szCs w:val="22"/>
        </w:rPr>
        <w:t xml:space="preserve">ton), sieben im Nordosten (drei </w:t>
      </w:r>
      <w:r w:rsidR="006362F1">
        <w:rPr>
          <w:rFonts w:cs="Lucida Grande"/>
          <w:szCs w:val="22"/>
        </w:rPr>
        <w:t>im Bundesstaat</w:t>
      </w:r>
      <w:r w:rsidR="006362F1" w:rsidRPr="004061AA">
        <w:rPr>
          <w:rFonts w:cs="Lucida Grande"/>
          <w:szCs w:val="22"/>
        </w:rPr>
        <w:t xml:space="preserve"> Rhode Island, zwei in Vermont und jeweils eine</w:t>
      </w:r>
      <w:r w:rsidR="006362F1">
        <w:rPr>
          <w:rFonts w:cs="Lucida Grande"/>
          <w:szCs w:val="22"/>
        </w:rPr>
        <w:t>r</w:t>
      </w:r>
      <w:r w:rsidR="006362F1" w:rsidRPr="004061AA">
        <w:rPr>
          <w:rFonts w:cs="Lucida Grande"/>
          <w:szCs w:val="22"/>
        </w:rPr>
        <w:t xml:space="preserve"> </w:t>
      </w:r>
      <w:r w:rsidR="006362F1">
        <w:rPr>
          <w:rFonts w:cs="Lucida Grande"/>
          <w:szCs w:val="22"/>
        </w:rPr>
        <w:t>in den Bu</w:t>
      </w:r>
      <w:r w:rsidR="006362F1">
        <w:rPr>
          <w:rFonts w:cs="Lucida Grande"/>
          <w:szCs w:val="22"/>
        </w:rPr>
        <w:t>n</w:t>
      </w:r>
      <w:r w:rsidR="006362F1">
        <w:rPr>
          <w:rFonts w:cs="Lucida Grande"/>
          <w:szCs w:val="22"/>
        </w:rPr>
        <w:t>desstaaten</w:t>
      </w:r>
      <w:r w:rsidR="006362F1" w:rsidRPr="004061AA">
        <w:rPr>
          <w:rFonts w:cs="Lucida Grande"/>
          <w:szCs w:val="22"/>
        </w:rPr>
        <w:t xml:space="preserve"> Maine und Massachus</w:t>
      </w:r>
      <w:r w:rsidR="006362F1">
        <w:rPr>
          <w:rFonts w:cs="Lucida Grande"/>
          <w:szCs w:val="22"/>
        </w:rPr>
        <w:t xml:space="preserve">etts) </w:t>
      </w:r>
      <w:r w:rsidR="006362F1" w:rsidRPr="004061AA">
        <w:rPr>
          <w:rFonts w:cs="Lucida Grande"/>
          <w:szCs w:val="22"/>
        </w:rPr>
        <w:t>sowie einer im Süden (District of Columbia)</w:t>
      </w:r>
      <w:r w:rsidR="006362F1">
        <w:rPr>
          <w:rFonts w:cs="Lucida Grande"/>
          <w:szCs w:val="22"/>
        </w:rPr>
        <w:t xml:space="preserve"> der USA</w:t>
      </w:r>
      <w:r w:rsidR="006362F1" w:rsidRPr="004061AA">
        <w:rPr>
          <w:rFonts w:cs="Lucida Grande"/>
          <w:szCs w:val="22"/>
        </w:rPr>
        <w:t>. Im Mittleren West</w:t>
      </w:r>
      <w:r w:rsidR="006362F1">
        <w:rPr>
          <w:rFonts w:cs="Lucida Grande"/>
          <w:szCs w:val="22"/>
        </w:rPr>
        <w:t xml:space="preserve">en der USA </w:t>
      </w:r>
      <w:r w:rsidR="006362F1" w:rsidRPr="004061AA">
        <w:rPr>
          <w:rFonts w:cs="Lucida Grande"/>
          <w:szCs w:val="22"/>
        </w:rPr>
        <w:t xml:space="preserve">finden sich </w:t>
      </w:r>
      <w:r w:rsidR="006362F1">
        <w:rPr>
          <w:rFonts w:cs="Lucida Grande"/>
          <w:szCs w:val="22"/>
        </w:rPr>
        <w:t xml:space="preserve">keine </w:t>
      </w:r>
      <w:r w:rsidR="006362F1" w:rsidRPr="004061AA">
        <w:rPr>
          <w:rFonts w:cs="Lucida Grande"/>
          <w:szCs w:val="22"/>
        </w:rPr>
        <w:t>Regionen</w:t>
      </w:r>
      <w:r w:rsidR="006362F1">
        <w:rPr>
          <w:rFonts w:cs="Lucida Grande"/>
          <w:szCs w:val="22"/>
        </w:rPr>
        <w:t xml:space="preserve"> mit für die Nation überdurc</w:t>
      </w:r>
      <w:r w:rsidR="006362F1">
        <w:rPr>
          <w:rFonts w:cs="Lucida Grande"/>
          <w:szCs w:val="22"/>
        </w:rPr>
        <w:t>h</w:t>
      </w:r>
      <w:r w:rsidR="006362F1">
        <w:rPr>
          <w:rFonts w:cs="Lucida Grande"/>
          <w:szCs w:val="22"/>
        </w:rPr>
        <w:t>schnittlich hohen Marihuana-Konsumraten</w:t>
      </w:r>
      <w:r w:rsidR="006362F1" w:rsidRPr="004061AA">
        <w:rPr>
          <w:rFonts w:cs="Lucida Grande"/>
          <w:szCs w:val="22"/>
        </w:rPr>
        <w:t xml:space="preserve"> </w:t>
      </w:r>
      <w:r w:rsidR="006362F1">
        <w:rPr>
          <w:rFonts w:cs="Lucida Grande"/>
          <w:szCs w:val="22"/>
        </w:rPr>
        <w:t>(vgl. Abbildung 6)</w:t>
      </w:r>
      <w:r w:rsidR="006362F1" w:rsidRPr="004061AA">
        <w:rPr>
          <w:rFonts w:cs="Lucida Grande"/>
          <w:szCs w:val="22"/>
        </w:rPr>
        <w:t xml:space="preserve">(vgl. </w:t>
      </w:r>
      <w:r w:rsidR="006362F1">
        <w:rPr>
          <w:rFonts w:cs="Lucida Grande"/>
        </w:rPr>
        <w:t>Hughes,</w:t>
      </w:r>
      <w:r w:rsidR="006362F1" w:rsidRPr="003A2724">
        <w:rPr>
          <w:rFonts w:cs="Lucida Grande"/>
        </w:rPr>
        <w:t xml:space="preserve"> Rachel</w:t>
      </w:r>
      <w:r w:rsidR="006362F1">
        <w:rPr>
          <w:rFonts w:cs="Lucida Grande"/>
        </w:rPr>
        <w:t xml:space="preserve">, </w:t>
      </w:r>
      <w:r w:rsidR="006362F1" w:rsidRPr="003A2724">
        <w:rPr>
          <w:rFonts w:cs="Lucida Grande"/>
        </w:rPr>
        <w:t>Lipari, Will</w:t>
      </w:r>
      <w:r w:rsidR="006362F1" w:rsidRPr="003A2724">
        <w:rPr>
          <w:rFonts w:cs="Lucida Grande"/>
        </w:rPr>
        <w:t>i</w:t>
      </w:r>
      <w:r w:rsidR="006362F1">
        <w:rPr>
          <w:rFonts w:cs="Lucida Grande"/>
        </w:rPr>
        <w:t xml:space="preserve">ams </w:t>
      </w:r>
      <w:r w:rsidR="006362F1" w:rsidRPr="003A2724">
        <w:rPr>
          <w:rFonts w:cs="Lucida Grande"/>
        </w:rPr>
        <w:t>2016</w:t>
      </w:r>
      <w:r w:rsidR="006362F1">
        <w:rPr>
          <w:rFonts w:cs="Lucida Grande"/>
        </w:rPr>
        <w:t>)</w:t>
      </w:r>
      <w:r w:rsidR="006362F1">
        <w:rPr>
          <w:rStyle w:val="Funotenzeichen"/>
          <w:rFonts w:cs="Lucida Grande"/>
        </w:rPr>
        <w:footnoteReference w:id="24"/>
      </w:r>
      <w:r w:rsidR="006362F1">
        <w:rPr>
          <w:rFonts w:cs="Lucida Grande"/>
        </w:rPr>
        <w:t>. Deutlich wird, dass sich kein klarer Bezug zwischen den Konsumraten und den jeweiligen dr</w:t>
      </w:r>
      <w:r w:rsidR="006362F1">
        <w:rPr>
          <w:rFonts w:cs="Lucida Grande"/>
        </w:rPr>
        <w:t>o</w:t>
      </w:r>
      <w:r w:rsidR="006362F1">
        <w:rPr>
          <w:rFonts w:cs="Lucida Grande"/>
        </w:rPr>
        <w:t>genpolitischen Regelungen der einzelnen Bundesstaaten herstellen lässt.</w:t>
      </w:r>
    </w:p>
    <w:p w14:paraId="7FE5F8DF" w14:textId="77777777" w:rsidR="00054178" w:rsidRDefault="00054178" w:rsidP="009D7629">
      <w:pPr>
        <w:widowControl w:val="0"/>
        <w:autoSpaceDE w:val="0"/>
        <w:autoSpaceDN w:val="0"/>
        <w:adjustRightInd w:val="0"/>
        <w:spacing w:line="276" w:lineRule="auto"/>
        <w:jc w:val="both"/>
        <w:rPr>
          <w:rFonts w:cs="Lucida Grande"/>
        </w:rPr>
      </w:pPr>
    </w:p>
    <w:p w14:paraId="2894C4FE" w14:textId="77777777" w:rsidR="00054178" w:rsidRDefault="00054178" w:rsidP="001E7306">
      <w:pPr>
        <w:keepNext/>
        <w:widowControl w:val="0"/>
        <w:autoSpaceDE w:val="0"/>
        <w:autoSpaceDN w:val="0"/>
        <w:adjustRightInd w:val="0"/>
        <w:spacing w:line="276" w:lineRule="auto"/>
        <w:ind w:firstLine="142"/>
        <w:jc w:val="both"/>
      </w:pPr>
      <w:r>
        <w:rPr>
          <w:rFonts w:cs="Lucida Grande"/>
          <w:noProof/>
        </w:rPr>
        <w:drawing>
          <wp:inline distT="0" distB="0" distL="0" distR="0" wp14:anchorId="1F226C1A" wp14:editId="17BE4649">
            <wp:extent cx="5756910" cy="5436870"/>
            <wp:effectExtent l="25400" t="25400" r="34290" b="2413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09 um 11.50.17.png"/>
                    <pic:cNvPicPr/>
                  </pic:nvPicPr>
                  <pic:blipFill>
                    <a:blip r:embed="rId37">
                      <a:extLst>
                        <a:ext uri="{28A0092B-C50C-407E-A947-70E740481C1C}">
                          <a14:useLocalDpi xmlns:a14="http://schemas.microsoft.com/office/drawing/2010/main" val="0"/>
                        </a:ext>
                      </a:extLst>
                    </a:blip>
                    <a:stretch>
                      <a:fillRect/>
                    </a:stretch>
                  </pic:blipFill>
                  <pic:spPr>
                    <a:xfrm>
                      <a:off x="0" y="0"/>
                      <a:ext cx="5756910" cy="5436870"/>
                    </a:xfrm>
                    <a:prstGeom prst="rect">
                      <a:avLst/>
                    </a:prstGeom>
                    <a:ln>
                      <a:solidFill>
                        <a:srgbClr val="000000"/>
                      </a:solidFill>
                    </a:ln>
                  </pic:spPr>
                </pic:pic>
              </a:graphicData>
            </a:graphic>
          </wp:inline>
        </w:drawing>
      </w:r>
    </w:p>
    <w:p w14:paraId="64FD2C4D" w14:textId="71B41106" w:rsidR="00054178" w:rsidRDefault="00054178" w:rsidP="00054178">
      <w:pPr>
        <w:pStyle w:val="Beschriftung"/>
        <w:jc w:val="both"/>
        <w:rPr>
          <w:rFonts w:cs="Lucida Grande"/>
        </w:rPr>
      </w:pPr>
      <w:r>
        <w:t xml:space="preserve">Abbildung </w:t>
      </w:r>
      <w:fldSimple w:instr=" SEQ Abbildung \* ARABIC ">
        <w:r w:rsidR="00B86830">
          <w:rPr>
            <w:noProof/>
          </w:rPr>
          <w:t>6</w:t>
        </w:r>
      </w:fldSimple>
      <w:r>
        <w:t>: Regionale Niveaus des</w:t>
      </w:r>
      <w:r w:rsidR="00B1292B">
        <w:t xml:space="preserve"> Marihuana-Konsums in den USA (</w:t>
      </w:r>
      <w:r>
        <w:t>Hughes, Rachel, Lipari, Matthew 2016, S. 2)</w:t>
      </w:r>
    </w:p>
    <w:p w14:paraId="15ECCA58" w14:textId="4A15E369" w:rsidR="00BB576C" w:rsidRPr="008A5EB0" w:rsidRDefault="006362F1" w:rsidP="009D7629">
      <w:pPr>
        <w:widowControl w:val="0"/>
        <w:autoSpaceDE w:val="0"/>
        <w:autoSpaceDN w:val="0"/>
        <w:adjustRightInd w:val="0"/>
        <w:spacing w:line="276" w:lineRule="auto"/>
        <w:jc w:val="both"/>
        <w:rPr>
          <w:rFonts w:cs="Lucida Grande"/>
          <w:szCs w:val="22"/>
        </w:rPr>
      </w:pPr>
      <w:r>
        <w:rPr>
          <w:rFonts w:cs="Lucida Grande"/>
        </w:rPr>
        <w:t>Vielmehr</w:t>
      </w:r>
      <w:r w:rsidR="006E0374" w:rsidRPr="006E0374">
        <w:rPr>
          <w:rFonts w:cs="Lucida Grande"/>
        </w:rPr>
        <w:t xml:space="preserve"> </w:t>
      </w:r>
      <w:r w:rsidR="006E0374">
        <w:rPr>
          <w:rFonts w:cs="Lucida Grande"/>
        </w:rPr>
        <w:t>wird</w:t>
      </w:r>
      <w:r w:rsidR="006E0374" w:rsidRPr="006E0374">
        <w:rPr>
          <w:rFonts w:cs="Lucida Grande"/>
        </w:rPr>
        <w:t xml:space="preserve"> </w:t>
      </w:r>
      <w:r>
        <w:rPr>
          <w:rFonts w:cs="Lucida Grande"/>
        </w:rPr>
        <w:t>deutet sich an</w:t>
      </w:r>
      <w:r w:rsidR="00956279">
        <w:rPr>
          <w:rFonts w:cs="Lucida Grande"/>
        </w:rPr>
        <w:t xml:space="preserve">, dass die </w:t>
      </w:r>
      <w:r w:rsidR="005D4231">
        <w:rPr>
          <w:rFonts w:cs="Lucida Grande"/>
        </w:rPr>
        <w:t xml:space="preserve">Höhe der </w:t>
      </w:r>
      <w:r w:rsidR="00956279">
        <w:rPr>
          <w:rFonts w:cs="Lucida Grande"/>
        </w:rPr>
        <w:t>Kon</w:t>
      </w:r>
      <w:r w:rsidR="005D4231">
        <w:rPr>
          <w:rFonts w:cs="Lucida Grande"/>
        </w:rPr>
        <w:t>sumraten einem Muster folgt</w:t>
      </w:r>
      <w:r w:rsidR="00AE096D">
        <w:rPr>
          <w:rFonts w:cs="Lucida Grande"/>
        </w:rPr>
        <w:t xml:space="preserve">, das </w:t>
      </w:r>
      <w:r w:rsidR="00956279">
        <w:rPr>
          <w:rFonts w:cs="Lucida Grande"/>
        </w:rPr>
        <w:t xml:space="preserve">eher mit kulturellen Bezügen </w:t>
      </w:r>
      <w:r>
        <w:rPr>
          <w:rFonts w:cs="Lucida Grande"/>
        </w:rPr>
        <w:t xml:space="preserve">zu </w:t>
      </w:r>
      <w:r w:rsidR="00956279">
        <w:rPr>
          <w:rFonts w:cs="Lucida Grande"/>
        </w:rPr>
        <w:t>erklär</w:t>
      </w:r>
      <w:r>
        <w:rPr>
          <w:rFonts w:cs="Lucida Grande"/>
        </w:rPr>
        <w:t>en ist</w:t>
      </w:r>
      <w:r w:rsidR="00956279">
        <w:rPr>
          <w:rFonts w:cs="Lucida Grande"/>
        </w:rPr>
        <w:t xml:space="preserve">. Wohl auch deshalb </w:t>
      </w:r>
      <w:r w:rsidR="0056395E">
        <w:rPr>
          <w:rFonts w:cs="Lucida Grande"/>
        </w:rPr>
        <w:t>können</w:t>
      </w:r>
      <w:r w:rsidR="00956279">
        <w:rPr>
          <w:rFonts w:cs="Lucida Grande"/>
        </w:rPr>
        <w:t xml:space="preserve"> selbst in Bundesstaaten, die im Rahmen ihrer Hoheitsrechte bundesstaatlich </w:t>
      </w:r>
      <w:r w:rsidR="005D4231">
        <w:rPr>
          <w:rFonts w:cs="Lucida Grande"/>
        </w:rPr>
        <w:t>eigene liberale</w:t>
      </w:r>
      <w:r w:rsidR="00956279">
        <w:rPr>
          <w:rFonts w:cs="Lucida Grande"/>
        </w:rPr>
        <w:t xml:space="preserve"> drogenpolitische Regelungen </w:t>
      </w:r>
      <w:r w:rsidR="0056395E">
        <w:rPr>
          <w:rFonts w:cs="Lucida Grande"/>
        </w:rPr>
        <w:t xml:space="preserve">durchgesetzt </w:t>
      </w:r>
      <w:r w:rsidR="005D4231">
        <w:rPr>
          <w:rFonts w:cs="Lucida Grande"/>
        </w:rPr>
        <w:t>haben</w:t>
      </w:r>
      <w:r w:rsidR="00956279">
        <w:rPr>
          <w:rFonts w:cs="Lucida Grande"/>
        </w:rPr>
        <w:t xml:space="preserve">, Regionen </w:t>
      </w:r>
      <w:r w:rsidR="009D5833">
        <w:rPr>
          <w:rFonts w:cs="Lucida Grande"/>
        </w:rPr>
        <w:t xml:space="preserve">mit </w:t>
      </w:r>
      <w:r w:rsidR="0056395E">
        <w:rPr>
          <w:rFonts w:cs="Lucida Grande"/>
        </w:rPr>
        <w:t xml:space="preserve">sehr </w:t>
      </w:r>
      <w:r w:rsidR="009D5833">
        <w:rPr>
          <w:rFonts w:cs="Lucida Grande"/>
        </w:rPr>
        <w:t>unter</w:t>
      </w:r>
      <w:r>
        <w:rPr>
          <w:rFonts w:cs="Lucida Grande"/>
        </w:rPr>
        <w:t>schiedlicher</w:t>
      </w:r>
      <w:r w:rsidR="009D5833">
        <w:rPr>
          <w:rFonts w:cs="Lucida Grande"/>
        </w:rPr>
        <w:t xml:space="preserve"> Verbreitung des </w:t>
      </w:r>
      <w:r>
        <w:rPr>
          <w:rFonts w:cs="Lucida Grande"/>
        </w:rPr>
        <w:t>Marihuana-</w:t>
      </w:r>
      <w:r w:rsidR="00956279">
        <w:rPr>
          <w:rFonts w:cs="Lucida Grande"/>
        </w:rPr>
        <w:t>Konsum</w:t>
      </w:r>
      <w:r w:rsidR="009D5833">
        <w:rPr>
          <w:rFonts w:cs="Lucida Grande"/>
        </w:rPr>
        <w:t>s</w:t>
      </w:r>
      <w:r w:rsidR="00956279">
        <w:rPr>
          <w:rFonts w:cs="Lucida Grande"/>
        </w:rPr>
        <w:t xml:space="preserve"> </w:t>
      </w:r>
      <w:r w:rsidR="006E0374">
        <w:rPr>
          <w:rFonts w:cs="Lucida Grande"/>
        </w:rPr>
        <w:t>gefunden</w:t>
      </w:r>
      <w:r w:rsidR="0056395E">
        <w:rPr>
          <w:rFonts w:cs="Lucida Grande"/>
        </w:rPr>
        <w:t xml:space="preserve"> werd</w:t>
      </w:r>
      <w:r w:rsidR="009D5833">
        <w:rPr>
          <w:rFonts w:cs="Lucida Grande"/>
        </w:rPr>
        <w:t>en</w:t>
      </w:r>
      <w:r w:rsidR="005D4231">
        <w:rPr>
          <w:rFonts w:cs="Lucida Grande"/>
        </w:rPr>
        <w:t>:</w:t>
      </w:r>
      <w:r w:rsidR="00956279">
        <w:rPr>
          <w:rFonts w:cs="Lucida Grande"/>
        </w:rPr>
        <w:t xml:space="preserve"> </w:t>
      </w:r>
      <w:r w:rsidR="008A5EB0" w:rsidRPr="008A5EB0">
        <w:rPr>
          <w:rFonts w:cs="Lucida Grande"/>
          <w:szCs w:val="22"/>
        </w:rPr>
        <w:t xml:space="preserve">In </w:t>
      </w:r>
      <w:r w:rsidR="008A5EB0">
        <w:rPr>
          <w:rFonts w:cs="Lucida Grande"/>
          <w:szCs w:val="22"/>
        </w:rPr>
        <w:t>Kalifornien</w:t>
      </w:r>
      <w:r w:rsidR="008A5EB0" w:rsidRPr="008A5EB0">
        <w:rPr>
          <w:rFonts w:cs="Lucida Grande"/>
          <w:szCs w:val="22"/>
        </w:rPr>
        <w:t xml:space="preserve"> </w:t>
      </w:r>
      <w:r w:rsidR="00BB576C" w:rsidRPr="008A5EB0">
        <w:rPr>
          <w:rFonts w:cs="Lucida Grande"/>
          <w:szCs w:val="22"/>
        </w:rPr>
        <w:t xml:space="preserve">lassen sich </w:t>
      </w:r>
      <w:r>
        <w:rPr>
          <w:rFonts w:cs="Lucida Grande"/>
          <w:szCs w:val="22"/>
        </w:rPr>
        <w:t xml:space="preserve">diesbezüglich beispielsweise </w:t>
      </w:r>
      <w:r w:rsidR="00BB576C" w:rsidRPr="008A5EB0">
        <w:rPr>
          <w:rFonts w:cs="Lucida Grande"/>
          <w:szCs w:val="22"/>
        </w:rPr>
        <w:t>sieben Regionen u</w:t>
      </w:r>
      <w:r w:rsidR="00BB576C" w:rsidRPr="008A5EB0">
        <w:rPr>
          <w:rFonts w:cs="Lucida Grande"/>
          <w:szCs w:val="22"/>
        </w:rPr>
        <w:t>n</w:t>
      </w:r>
      <w:r w:rsidR="00BB576C" w:rsidRPr="008A5EB0">
        <w:rPr>
          <w:rFonts w:cs="Lucida Grande"/>
          <w:szCs w:val="22"/>
        </w:rPr>
        <w:t xml:space="preserve">terscheiden: </w:t>
      </w:r>
      <w:r w:rsidR="008D0A43">
        <w:rPr>
          <w:rFonts w:cs="Lucida Grande"/>
          <w:szCs w:val="22"/>
        </w:rPr>
        <w:t xml:space="preserve">Eine hohe Prozentrate weisen fünfzehn </w:t>
      </w:r>
      <w:r w:rsidR="00C12328">
        <w:rPr>
          <w:rFonts w:cs="Lucida Grande"/>
          <w:szCs w:val="22"/>
        </w:rPr>
        <w:t>Countie</w:t>
      </w:r>
      <w:r w:rsidR="0056395E">
        <w:rPr>
          <w:rFonts w:cs="Lucida Grande"/>
          <w:szCs w:val="22"/>
        </w:rPr>
        <w:t>s</w:t>
      </w:r>
      <w:r w:rsidR="008A5EB0" w:rsidRPr="008A5EB0">
        <w:rPr>
          <w:rFonts w:cs="Lucida Grande"/>
          <w:szCs w:val="22"/>
        </w:rPr>
        <w:t xml:space="preserve"> im Norden Kaliforniens</w:t>
      </w:r>
      <w:r w:rsidR="00B11C6F">
        <w:rPr>
          <w:rFonts w:cs="Lucida Grande"/>
          <w:szCs w:val="22"/>
        </w:rPr>
        <w:t xml:space="preserve"> auf (u. a. </w:t>
      </w:r>
      <w:hyperlink r:id="rId38" w:history="1">
        <w:r w:rsidR="008D0A43" w:rsidRPr="00762252">
          <w:rPr>
            <w:rFonts w:cs="SourceSansPro-Regular"/>
            <w:szCs w:val="22"/>
          </w:rPr>
          <w:t xml:space="preserve">Mendocino </w:t>
        </w:r>
        <w:r w:rsidR="008D0A43" w:rsidRPr="00762252">
          <w:rPr>
            <w:rFonts w:cs="SourceSansPro-Regular"/>
            <w:szCs w:val="22"/>
            <w:u w:val="single" w:color="FC401F"/>
          </w:rPr>
          <w:t>County</w:t>
        </w:r>
      </w:hyperlink>
      <w:r w:rsidR="008D0A43" w:rsidRPr="00762252">
        <w:rPr>
          <w:rFonts w:cs="SourceSansPro-Regular"/>
          <w:szCs w:val="22"/>
        </w:rPr>
        <w:t xml:space="preserve">, </w:t>
      </w:r>
      <w:hyperlink r:id="rId39" w:history="1">
        <w:r w:rsidR="008D0A43" w:rsidRPr="00762252">
          <w:rPr>
            <w:rFonts w:cs="SourceSansPro-Regular"/>
            <w:szCs w:val="22"/>
            <w:u w:val="single" w:color="FC401F"/>
          </w:rPr>
          <w:t>Humboldt County</w:t>
        </w:r>
      </w:hyperlink>
      <w:r w:rsidR="008D0A43" w:rsidRPr="00762252">
        <w:rPr>
          <w:rFonts w:cs="SourceSansPro-Regular"/>
          <w:szCs w:val="22"/>
        </w:rPr>
        <w:t xml:space="preserve"> und </w:t>
      </w:r>
      <w:hyperlink r:id="rId40" w:history="1">
        <w:r w:rsidR="008D0A43" w:rsidRPr="00762252">
          <w:rPr>
            <w:rFonts w:cs="SourceSansPro-Regular"/>
            <w:szCs w:val="22"/>
          </w:rPr>
          <w:t xml:space="preserve">Trinity </w:t>
        </w:r>
        <w:r w:rsidR="008D0A43" w:rsidRPr="00762252">
          <w:rPr>
            <w:rFonts w:cs="SourceSansPro-Regular"/>
            <w:szCs w:val="22"/>
            <w:u w:val="single" w:color="FC401F"/>
          </w:rPr>
          <w:t>County</w:t>
        </w:r>
      </w:hyperlink>
      <w:r w:rsidR="008A5EB0">
        <w:rPr>
          <w:rFonts w:cs="Lucida Grande"/>
          <w:szCs w:val="22"/>
        </w:rPr>
        <w:t>)</w:t>
      </w:r>
      <w:r w:rsidR="008A5EB0" w:rsidRPr="008A5EB0">
        <w:rPr>
          <w:rFonts w:cs="Lucida Grande"/>
          <w:szCs w:val="22"/>
        </w:rPr>
        <w:t>, geringe Konsumra</w:t>
      </w:r>
      <w:r>
        <w:rPr>
          <w:rFonts w:cs="Lucida Grande"/>
          <w:szCs w:val="22"/>
        </w:rPr>
        <w:t>ten finden sich eher in</w:t>
      </w:r>
      <w:r w:rsidR="008A5EB0" w:rsidRPr="008A5EB0">
        <w:rPr>
          <w:rFonts w:cs="Lucida Grande"/>
          <w:szCs w:val="22"/>
        </w:rPr>
        <w:t xml:space="preserve"> Süd</w:t>
      </w:r>
      <w:r>
        <w:rPr>
          <w:rFonts w:cs="Lucida Grande"/>
          <w:szCs w:val="22"/>
        </w:rPr>
        <w:t xml:space="preserve">- </w:t>
      </w:r>
      <w:r w:rsidR="008A5EB0" w:rsidRPr="008A5EB0">
        <w:rPr>
          <w:rFonts w:cs="Lucida Grande"/>
          <w:szCs w:val="22"/>
        </w:rPr>
        <w:t>und Zentralkalifornien (</w:t>
      </w:r>
      <w:r w:rsidR="00BB576C" w:rsidRPr="008A5EB0">
        <w:rPr>
          <w:rFonts w:cs="Lucida Grande"/>
          <w:szCs w:val="22"/>
        </w:rPr>
        <w:t>San Gabriel Val</w:t>
      </w:r>
      <w:r w:rsidR="008A5EB0" w:rsidRPr="008A5EB0">
        <w:rPr>
          <w:rFonts w:cs="Lucida Grande"/>
          <w:szCs w:val="22"/>
        </w:rPr>
        <w:t xml:space="preserve">ley, </w:t>
      </w:r>
      <w:r w:rsidR="00BB576C" w:rsidRPr="008A5EB0">
        <w:rPr>
          <w:rFonts w:cs="Lucida Grande"/>
          <w:szCs w:val="22"/>
        </w:rPr>
        <w:t>San Bernar</w:t>
      </w:r>
      <w:r w:rsidR="008A5EB0" w:rsidRPr="008A5EB0">
        <w:rPr>
          <w:rFonts w:cs="Lucida Grande"/>
          <w:szCs w:val="22"/>
        </w:rPr>
        <w:t>dino</w:t>
      </w:r>
      <w:r w:rsidR="00BB576C" w:rsidRPr="008A5EB0">
        <w:rPr>
          <w:rFonts w:cs="Lucida Grande"/>
          <w:szCs w:val="22"/>
        </w:rPr>
        <w:t>, Santa Clara</w:t>
      </w:r>
      <w:r w:rsidR="008A5EB0" w:rsidRPr="008A5EB0">
        <w:rPr>
          <w:rFonts w:cs="Lucida Grande"/>
          <w:szCs w:val="22"/>
        </w:rPr>
        <w:t xml:space="preserve">, </w:t>
      </w:r>
      <w:r w:rsidR="00BB576C" w:rsidRPr="008A5EB0">
        <w:rPr>
          <w:rFonts w:cs="Lucida Grande"/>
          <w:szCs w:val="22"/>
        </w:rPr>
        <w:t>San Fernando Val</w:t>
      </w:r>
      <w:r w:rsidR="008A5EB0" w:rsidRPr="008A5EB0">
        <w:rPr>
          <w:rFonts w:cs="Lucida Grande"/>
          <w:szCs w:val="22"/>
        </w:rPr>
        <w:t xml:space="preserve">ley, </w:t>
      </w:r>
      <w:r w:rsidR="00BB576C" w:rsidRPr="008A5EB0">
        <w:rPr>
          <w:rFonts w:cs="Lucida Grande"/>
          <w:szCs w:val="22"/>
        </w:rPr>
        <w:t>Orange</w:t>
      </w:r>
      <w:r w:rsidR="008A5EB0" w:rsidRPr="008A5EB0">
        <w:rPr>
          <w:rFonts w:cs="Lucida Grande"/>
          <w:szCs w:val="22"/>
        </w:rPr>
        <w:t xml:space="preserve"> u</w:t>
      </w:r>
      <w:r w:rsidR="00BB576C" w:rsidRPr="008A5EB0">
        <w:rPr>
          <w:rFonts w:cs="Lucida Grande"/>
          <w:szCs w:val="22"/>
        </w:rPr>
        <w:t xml:space="preserve">nd </w:t>
      </w:r>
      <w:r w:rsidR="008A5EB0" w:rsidRPr="008A5EB0">
        <w:rPr>
          <w:rFonts w:cs="Lucida Grande"/>
          <w:szCs w:val="22"/>
        </w:rPr>
        <w:t>Fresno</w:t>
      </w:r>
      <w:r w:rsidR="008A5EB0">
        <w:rPr>
          <w:rFonts w:cs="Lucida Grande"/>
          <w:szCs w:val="22"/>
        </w:rPr>
        <w:t>)</w:t>
      </w:r>
      <w:r w:rsidR="0056395E">
        <w:rPr>
          <w:rFonts w:cs="Lucida Grande"/>
          <w:szCs w:val="22"/>
        </w:rPr>
        <w:t xml:space="preserve">. Hier schwanken die </w:t>
      </w:r>
      <w:r w:rsidR="008A5EB0" w:rsidRPr="008A5EB0">
        <w:rPr>
          <w:rFonts w:cs="Lucida Grande"/>
          <w:szCs w:val="22"/>
        </w:rPr>
        <w:t xml:space="preserve">Konsumraten </w:t>
      </w:r>
      <w:r w:rsidR="00956279">
        <w:rPr>
          <w:rFonts w:cs="Lucida Grande"/>
          <w:szCs w:val="22"/>
        </w:rPr>
        <w:t>zwischen 6,</w:t>
      </w:r>
      <w:r w:rsidR="00BB576C" w:rsidRPr="008A5EB0">
        <w:rPr>
          <w:rFonts w:cs="Lucida Grande"/>
          <w:szCs w:val="22"/>
        </w:rPr>
        <w:t>18</w:t>
      </w:r>
      <w:r w:rsidR="008A5EB0" w:rsidRPr="008A5EB0">
        <w:rPr>
          <w:rFonts w:cs="Lucida Grande"/>
          <w:szCs w:val="22"/>
        </w:rPr>
        <w:t xml:space="preserve"> %</w:t>
      </w:r>
      <w:r w:rsidR="00BB576C" w:rsidRPr="008A5EB0">
        <w:rPr>
          <w:rFonts w:cs="Lucida Grande"/>
          <w:szCs w:val="22"/>
        </w:rPr>
        <w:t xml:space="preserve"> </w:t>
      </w:r>
      <w:r w:rsidR="008A5EB0" w:rsidRPr="008A5EB0">
        <w:rPr>
          <w:rFonts w:cs="Lucida Grande"/>
          <w:szCs w:val="22"/>
        </w:rPr>
        <w:t xml:space="preserve">und </w:t>
      </w:r>
      <w:r w:rsidR="00956279">
        <w:rPr>
          <w:rFonts w:cs="Lucida Grande"/>
          <w:szCs w:val="22"/>
        </w:rPr>
        <w:t>8,</w:t>
      </w:r>
      <w:r w:rsidR="00BB576C" w:rsidRPr="008A5EB0">
        <w:rPr>
          <w:rFonts w:cs="Lucida Grande"/>
          <w:szCs w:val="22"/>
        </w:rPr>
        <w:t xml:space="preserve">10 </w:t>
      </w:r>
      <w:r w:rsidR="008A5EB0" w:rsidRPr="008A5EB0">
        <w:rPr>
          <w:rFonts w:cs="Lucida Grande"/>
          <w:szCs w:val="22"/>
        </w:rPr>
        <w:t>%</w:t>
      </w:r>
      <w:r w:rsidR="009D5833">
        <w:rPr>
          <w:rFonts w:cs="Lucida Grande"/>
          <w:szCs w:val="22"/>
        </w:rPr>
        <w:t>; als Stadt mit der höchsten Konsumrate von 15,</w:t>
      </w:r>
      <w:r w:rsidR="009D5833" w:rsidRPr="008A5EB0">
        <w:rPr>
          <w:rFonts w:cs="Lucida Grande"/>
          <w:szCs w:val="22"/>
        </w:rPr>
        <w:t xml:space="preserve">46 % </w:t>
      </w:r>
      <w:r w:rsidR="009D5833">
        <w:rPr>
          <w:rFonts w:cs="Lucida Grande"/>
          <w:szCs w:val="22"/>
        </w:rPr>
        <w:t xml:space="preserve">sticht </w:t>
      </w:r>
      <w:r w:rsidR="009D5833" w:rsidRPr="008A5EB0">
        <w:rPr>
          <w:rFonts w:cs="Lucida Grande"/>
          <w:szCs w:val="22"/>
        </w:rPr>
        <w:t>San Francisco</w:t>
      </w:r>
      <w:r w:rsidR="009D5833">
        <w:rPr>
          <w:rFonts w:cs="Lucida Grande"/>
          <w:szCs w:val="22"/>
        </w:rPr>
        <w:t xml:space="preserve"> besonders he</w:t>
      </w:r>
      <w:r w:rsidR="009D5833">
        <w:rPr>
          <w:rFonts w:cs="Lucida Grande"/>
          <w:szCs w:val="22"/>
        </w:rPr>
        <w:t>r</w:t>
      </w:r>
      <w:r w:rsidR="009D5833">
        <w:rPr>
          <w:rFonts w:cs="Lucida Grande"/>
          <w:szCs w:val="22"/>
        </w:rPr>
        <w:t>aus</w:t>
      </w:r>
      <w:r w:rsidR="009D5833" w:rsidRPr="008A5EB0">
        <w:rPr>
          <w:rFonts w:cs="Lucida Grande"/>
          <w:szCs w:val="22"/>
        </w:rPr>
        <w:t xml:space="preserve"> (vgl. ebenda).</w:t>
      </w:r>
    </w:p>
    <w:p w14:paraId="7355345C" w14:textId="77777777" w:rsidR="002E51D1" w:rsidRDefault="002E51D1" w:rsidP="009D7629">
      <w:pPr>
        <w:widowControl w:val="0"/>
        <w:autoSpaceDE w:val="0"/>
        <w:autoSpaceDN w:val="0"/>
        <w:adjustRightInd w:val="0"/>
        <w:spacing w:line="276" w:lineRule="auto"/>
        <w:jc w:val="both"/>
        <w:rPr>
          <w:rFonts w:cs="Lucida Grande"/>
        </w:rPr>
      </w:pPr>
    </w:p>
    <w:p w14:paraId="26C6B305" w14:textId="2FCE9B90" w:rsidR="002E51D1" w:rsidRPr="002E51D1" w:rsidRDefault="002E51D1" w:rsidP="009D7629">
      <w:pPr>
        <w:widowControl w:val="0"/>
        <w:autoSpaceDE w:val="0"/>
        <w:autoSpaceDN w:val="0"/>
        <w:adjustRightInd w:val="0"/>
        <w:spacing w:line="276" w:lineRule="auto"/>
        <w:jc w:val="both"/>
        <w:rPr>
          <w:rFonts w:cs="Lucida Grande"/>
          <w:b/>
        </w:rPr>
      </w:pPr>
      <w:r w:rsidRPr="002E51D1">
        <w:rPr>
          <w:rFonts w:cs="Lucida Grande"/>
          <w:b/>
        </w:rPr>
        <w:t>Fazit</w:t>
      </w:r>
    </w:p>
    <w:p w14:paraId="03D3484C" w14:textId="61092D48" w:rsidR="0056395E" w:rsidRDefault="002E51D1" w:rsidP="009D7629">
      <w:pPr>
        <w:widowControl w:val="0"/>
        <w:autoSpaceDE w:val="0"/>
        <w:autoSpaceDN w:val="0"/>
        <w:adjustRightInd w:val="0"/>
        <w:spacing w:line="276" w:lineRule="auto"/>
        <w:jc w:val="both"/>
        <w:rPr>
          <w:rFonts w:cs="Lucida Grande"/>
        </w:rPr>
      </w:pPr>
      <w:r>
        <w:rPr>
          <w:rFonts w:cs="Lucida Grande"/>
        </w:rPr>
        <w:t xml:space="preserve">Wie in vielen westlichen Ländern </w:t>
      </w:r>
      <w:r w:rsidR="00C74CA7">
        <w:rPr>
          <w:rFonts w:cs="Lucida Grande"/>
        </w:rPr>
        <w:t>ist</w:t>
      </w:r>
      <w:r>
        <w:rPr>
          <w:rFonts w:cs="Lucida Grande"/>
        </w:rPr>
        <w:t xml:space="preserve"> </w:t>
      </w:r>
      <w:r w:rsidR="00C74CA7">
        <w:rPr>
          <w:rFonts w:cs="Lucida Grande"/>
        </w:rPr>
        <w:t xml:space="preserve">auch in den USA </w:t>
      </w:r>
      <w:r w:rsidR="00741D23">
        <w:rPr>
          <w:rFonts w:cs="Lucida Grande"/>
        </w:rPr>
        <w:t xml:space="preserve">nach Alkohol </w:t>
      </w:r>
      <w:r>
        <w:rPr>
          <w:rFonts w:cs="Lucida Grande"/>
        </w:rPr>
        <w:t xml:space="preserve">Cannabis </w:t>
      </w:r>
      <w:r w:rsidR="00C74CA7">
        <w:rPr>
          <w:rFonts w:cs="Lucida Grande"/>
        </w:rPr>
        <w:t>die psycho</w:t>
      </w:r>
      <w:r w:rsidR="006362F1">
        <w:rPr>
          <w:rFonts w:cs="Lucida Grande"/>
        </w:rPr>
        <w:t>-</w:t>
      </w:r>
      <w:r w:rsidR="00C74CA7">
        <w:rPr>
          <w:rFonts w:cs="Lucida Grande"/>
        </w:rPr>
        <w:t>aktive</w:t>
      </w:r>
      <w:r>
        <w:rPr>
          <w:rFonts w:cs="Lucida Grande"/>
        </w:rPr>
        <w:t xml:space="preserve"> Substan</w:t>
      </w:r>
      <w:r w:rsidR="00C74CA7">
        <w:rPr>
          <w:rFonts w:cs="Lucida Grande"/>
        </w:rPr>
        <w:t>z</w:t>
      </w:r>
      <w:r>
        <w:rPr>
          <w:rFonts w:cs="Lucida Grande"/>
        </w:rPr>
        <w:t>,</w:t>
      </w:r>
      <w:r w:rsidR="00C74CA7">
        <w:rPr>
          <w:rFonts w:cs="Lucida Grande"/>
        </w:rPr>
        <w:t xml:space="preserve"> die</w:t>
      </w:r>
      <w:r>
        <w:rPr>
          <w:rFonts w:cs="Lucida Grande"/>
        </w:rPr>
        <w:t xml:space="preserve"> in der Bevölkerung am meisten </w:t>
      </w:r>
      <w:r w:rsidR="006362F1">
        <w:rPr>
          <w:rFonts w:cs="Lucida Grande"/>
        </w:rPr>
        <w:t>verbreitet ist</w:t>
      </w:r>
      <w:r w:rsidR="00C74CA7">
        <w:rPr>
          <w:rFonts w:cs="Lucida Grande"/>
        </w:rPr>
        <w:t xml:space="preserve">. </w:t>
      </w:r>
      <w:r w:rsidR="00741D23">
        <w:rPr>
          <w:rFonts w:cs="Lucida Grande"/>
        </w:rPr>
        <w:t xml:space="preserve">USA-weit </w:t>
      </w:r>
      <w:r w:rsidR="0056395E">
        <w:rPr>
          <w:rFonts w:cs="Lucida Grande"/>
        </w:rPr>
        <w:t>wird</w:t>
      </w:r>
      <w:r w:rsidR="00C74CA7">
        <w:rPr>
          <w:rFonts w:cs="Lucida Grande"/>
        </w:rPr>
        <w:t xml:space="preserve"> </w:t>
      </w:r>
      <w:r>
        <w:rPr>
          <w:rFonts w:cs="Lucida Grande"/>
        </w:rPr>
        <w:t xml:space="preserve">für </w:t>
      </w:r>
      <w:r w:rsidR="00C74CA7">
        <w:rPr>
          <w:rFonts w:cs="Lucida Grande"/>
        </w:rPr>
        <w:t xml:space="preserve">Marihuana </w:t>
      </w:r>
      <w:r>
        <w:rPr>
          <w:rFonts w:cs="Lucida Grande"/>
        </w:rPr>
        <w:t>z</w:t>
      </w:r>
      <w:r>
        <w:rPr>
          <w:rFonts w:cs="Lucida Grande"/>
        </w:rPr>
        <w:t>u</w:t>
      </w:r>
      <w:r>
        <w:rPr>
          <w:rFonts w:cs="Lucida Grande"/>
        </w:rPr>
        <w:t xml:space="preserve">mindest seit Beginn der 2000er Jahre eine sanft steigende Konsumrate </w:t>
      </w:r>
      <w:r w:rsidR="00741D23">
        <w:rPr>
          <w:rFonts w:cs="Lucida Grande"/>
        </w:rPr>
        <w:t>gefunden</w:t>
      </w:r>
      <w:r w:rsidR="00C74CA7">
        <w:rPr>
          <w:rFonts w:cs="Lucida Grande"/>
        </w:rPr>
        <w:t>, die offensich</w:t>
      </w:r>
      <w:r w:rsidR="00C74CA7">
        <w:rPr>
          <w:rFonts w:cs="Lucida Grande"/>
        </w:rPr>
        <w:t>t</w:t>
      </w:r>
      <w:r w:rsidR="00C74CA7">
        <w:rPr>
          <w:rFonts w:cs="Lucida Grande"/>
        </w:rPr>
        <w:t>lich unbeeinflusst durch Liberalisierungstendenzen in einzelnen Bundesstaaten ist</w:t>
      </w:r>
      <w:r w:rsidR="00741D23">
        <w:rPr>
          <w:rFonts w:cs="Lucida Grande"/>
        </w:rPr>
        <w:t>. A</w:t>
      </w:r>
      <w:r>
        <w:rPr>
          <w:rFonts w:cs="Lucida Grande"/>
        </w:rPr>
        <w:t>n</w:t>
      </w:r>
      <w:r w:rsidR="00741D23">
        <w:rPr>
          <w:rFonts w:cs="Lucida Grande"/>
        </w:rPr>
        <w:t xml:space="preserve"> diesen steigenden Konsumraten</w:t>
      </w:r>
      <w:r>
        <w:rPr>
          <w:rFonts w:cs="Lucida Grande"/>
        </w:rPr>
        <w:t xml:space="preserve"> </w:t>
      </w:r>
      <w:r w:rsidR="00C74CA7">
        <w:rPr>
          <w:rFonts w:cs="Lucida Grande"/>
        </w:rPr>
        <w:t>haben</w:t>
      </w:r>
      <w:r w:rsidR="00B563B3">
        <w:rPr>
          <w:rFonts w:cs="Lucida Grande"/>
        </w:rPr>
        <w:t xml:space="preserve"> alle Altersgruppen</w:t>
      </w:r>
      <w:r w:rsidR="00FE1678">
        <w:rPr>
          <w:rFonts w:cs="Lucida Grande"/>
        </w:rPr>
        <w:t xml:space="preserve"> </w:t>
      </w:r>
      <w:r w:rsidR="00C74CA7">
        <w:rPr>
          <w:rFonts w:cs="Lucida Grande"/>
        </w:rPr>
        <w:t xml:space="preserve">Anteil, </w:t>
      </w:r>
      <w:r w:rsidR="00FE1678">
        <w:rPr>
          <w:rFonts w:cs="Lucida Grande"/>
        </w:rPr>
        <w:t xml:space="preserve">mit Ausnahme </w:t>
      </w:r>
      <w:r>
        <w:rPr>
          <w:rFonts w:cs="Lucida Grande"/>
        </w:rPr>
        <w:t>der Jugendlichen zw</w:t>
      </w:r>
      <w:r>
        <w:rPr>
          <w:rFonts w:cs="Lucida Grande"/>
        </w:rPr>
        <w:t>i</w:t>
      </w:r>
      <w:r>
        <w:rPr>
          <w:rFonts w:cs="Lucida Grande"/>
        </w:rPr>
        <w:t>schen 12-18 Jahren</w:t>
      </w:r>
      <w:r w:rsidR="006362F1">
        <w:rPr>
          <w:rFonts w:cs="Lucida Grande"/>
        </w:rPr>
        <w:t>, f</w:t>
      </w:r>
      <w:r w:rsidR="00FE1678">
        <w:rPr>
          <w:rFonts w:cs="Lucida Grande"/>
        </w:rPr>
        <w:t xml:space="preserve">ür die sich keine </w:t>
      </w:r>
      <w:r>
        <w:rPr>
          <w:rFonts w:cs="Lucida Grande"/>
        </w:rPr>
        <w:t xml:space="preserve">steigenden Konsumraten </w:t>
      </w:r>
      <w:r w:rsidR="00FE1678">
        <w:rPr>
          <w:rFonts w:cs="Lucida Grande"/>
        </w:rPr>
        <w:t>herausstellen</w:t>
      </w:r>
      <w:r w:rsidR="006362F1" w:rsidRPr="006362F1">
        <w:rPr>
          <w:rFonts w:cs="Lucida Grande"/>
        </w:rPr>
        <w:t xml:space="preserve"> </w:t>
      </w:r>
      <w:r w:rsidR="006362F1">
        <w:rPr>
          <w:rFonts w:cs="Lucida Grande"/>
        </w:rPr>
        <w:t>lassen</w:t>
      </w:r>
      <w:r>
        <w:rPr>
          <w:rFonts w:cs="Lucida Grande"/>
        </w:rPr>
        <w:t xml:space="preserve">. </w:t>
      </w:r>
      <w:r w:rsidR="004061AA">
        <w:rPr>
          <w:rFonts w:cs="Lucida Grande"/>
        </w:rPr>
        <w:t>Deutlich wird</w:t>
      </w:r>
      <w:r>
        <w:rPr>
          <w:rFonts w:cs="Lucida Grande"/>
        </w:rPr>
        <w:t xml:space="preserve"> zudem</w:t>
      </w:r>
      <w:r w:rsidR="004061AA">
        <w:rPr>
          <w:rFonts w:cs="Lucida Grande"/>
        </w:rPr>
        <w:t xml:space="preserve">, dass </w:t>
      </w:r>
      <w:r w:rsidR="006362F1">
        <w:rPr>
          <w:rFonts w:cs="Lucida Grande"/>
        </w:rPr>
        <w:t>bezogen</w:t>
      </w:r>
      <w:r w:rsidR="00D9177C">
        <w:rPr>
          <w:rFonts w:cs="Lucida Grande"/>
        </w:rPr>
        <w:t xml:space="preserve"> auf den </w:t>
      </w:r>
      <w:r w:rsidR="006362F1">
        <w:rPr>
          <w:rFonts w:cs="Lucida Grande"/>
        </w:rPr>
        <w:t>Cannabis-</w:t>
      </w:r>
      <w:r w:rsidR="00D9177C">
        <w:rPr>
          <w:rFonts w:cs="Lucida Grande"/>
        </w:rPr>
        <w:t>Konsum erhebliche kulturelle Unterschiede zw</w:t>
      </w:r>
      <w:r w:rsidR="00D9177C">
        <w:rPr>
          <w:rFonts w:cs="Lucida Grande"/>
        </w:rPr>
        <w:t>i</w:t>
      </w:r>
      <w:r w:rsidR="00D9177C">
        <w:rPr>
          <w:rFonts w:cs="Lucida Grande"/>
        </w:rPr>
        <w:t xml:space="preserve">schen den einzelnen Bundesstaaten und selbst innerhalb eines Bundesstaates zwischen den einzelnen </w:t>
      </w:r>
      <w:r w:rsidR="00C12328">
        <w:rPr>
          <w:rFonts w:cs="Lucida Grande"/>
        </w:rPr>
        <w:t>Countie</w:t>
      </w:r>
      <w:r w:rsidR="00C74CA7">
        <w:rPr>
          <w:rFonts w:cs="Lucida Grande"/>
        </w:rPr>
        <w:t>s</w:t>
      </w:r>
      <w:r w:rsidR="002F16AD">
        <w:rPr>
          <w:rFonts w:cs="Lucida Grande"/>
        </w:rPr>
        <w:t>/Landkreisen</w:t>
      </w:r>
      <w:r w:rsidR="00D9177C">
        <w:rPr>
          <w:rFonts w:cs="Lucida Grande"/>
        </w:rPr>
        <w:t xml:space="preserve"> existieren</w:t>
      </w:r>
      <w:r w:rsidR="00FE1678">
        <w:rPr>
          <w:rFonts w:cs="Lucida Grande"/>
        </w:rPr>
        <w:t>. D</w:t>
      </w:r>
      <w:r w:rsidR="00711B18">
        <w:rPr>
          <w:rFonts w:cs="Lucida Grande"/>
        </w:rPr>
        <w:t>arauf deuten die</w:t>
      </w:r>
      <w:r w:rsidR="00D9177C">
        <w:rPr>
          <w:rFonts w:cs="Lucida Grande"/>
        </w:rPr>
        <w:t xml:space="preserve"> </w:t>
      </w:r>
      <w:r w:rsidR="00C74CA7">
        <w:rPr>
          <w:rFonts w:cs="Lucida Grande"/>
        </w:rPr>
        <w:t>seit vielen Jahre</w:t>
      </w:r>
      <w:r w:rsidR="0056395E">
        <w:rPr>
          <w:rFonts w:cs="Lucida Grande"/>
        </w:rPr>
        <w:t>n</w:t>
      </w:r>
      <w:r w:rsidR="00C74CA7">
        <w:rPr>
          <w:rFonts w:cs="Lucida Grande"/>
        </w:rPr>
        <w:t xml:space="preserve"> </w:t>
      </w:r>
      <w:r w:rsidR="00741D23">
        <w:rPr>
          <w:rFonts w:cs="Lucida Grande"/>
        </w:rPr>
        <w:t xml:space="preserve">regelmäßig </w:t>
      </w:r>
      <w:r w:rsidR="00711B18">
        <w:rPr>
          <w:rFonts w:cs="Lucida Grande"/>
        </w:rPr>
        <w:t>U</w:t>
      </w:r>
      <w:r w:rsidR="00711B18">
        <w:rPr>
          <w:rFonts w:cs="Lucida Grande"/>
        </w:rPr>
        <w:t>n</w:t>
      </w:r>
      <w:r w:rsidR="00711B18">
        <w:rPr>
          <w:rFonts w:cs="Lucida Grande"/>
        </w:rPr>
        <w:t xml:space="preserve">terschiede in den </w:t>
      </w:r>
      <w:r w:rsidR="00D9177C">
        <w:rPr>
          <w:rFonts w:cs="Lucida Grande"/>
        </w:rPr>
        <w:t>ermittel</w:t>
      </w:r>
      <w:r w:rsidR="00711B18">
        <w:rPr>
          <w:rFonts w:cs="Lucida Grande"/>
        </w:rPr>
        <w:t xml:space="preserve">ten </w:t>
      </w:r>
      <w:r w:rsidR="00D9177C">
        <w:rPr>
          <w:rFonts w:cs="Lucida Grande"/>
        </w:rPr>
        <w:t>Konsumraten</w:t>
      </w:r>
      <w:r w:rsidR="00FE1678">
        <w:rPr>
          <w:rFonts w:cs="Lucida Grande"/>
        </w:rPr>
        <w:t>.</w:t>
      </w:r>
      <w:r w:rsidR="00D9177C">
        <w:rPr>
          <w:rFonts w:cs="Lucida Grande"/>
        </w:rPr>
        <w:t xml:space="preserve"> </w:t>
      </w:r>
    </w:p>
    <w:p w14:paraId="75752625" w14:textId="4FD32CC8" w:rsidR="0059452E" w:rsidRDefault="00FE1678" w:rsidP="009D7629">
      <w:pPr>
        <w:widowControl w:val="0"/>
        <w:autoSpaceDE w:val="0"/>
        <w:autoSpaceDN w:val="0"/>
        <w:adjustRightInd w:val="0"/>
        <w:spacing w:line="276" w:lineRule="auto"/>
        <w:jc w:val="both"/>
        <w:rPr>
          <w:rFonts w:cs="Lucida Grande"/>
        </w:rPr>
      </w:pPr>
      <w:r>
        <w:rPr>
          <w:rFonts w:cs="Lucida Grande"/>
        </w:rPr>
        <w:t>In Anbetracht dieser unterschiedlichen kulturellen Ausgangslagen muss d</w:t>
      </w:r>
      <w:r w:rsidR="00D9177C">
        <w:rPr>
          <w:rFonts w:cs="Lucida Grande"/>
        </w:rPr>
        <w:t>ie vielfach angeführte Problematisierung, dass Regionen</w:t>
      </w:r>
      <w:r w:rsidR="00711B18" w:rsidRPr="00711B18">
        <w:rPr>
          <w:rFonts w:cs="Lucida Grande"/>
        </w:rPr>
        <w:t xml:space="preserve"> </w:t>
      </w:r>
      <w:r w:rsidR="00711B18">
        <w:rPr>
          <w:rFonts w:cs="Lucida Grande"/>
        </w:rPr>
        <w:t xml:space="preserve">bezüglich der Höhe der ermittelten Konsumraten unter den sogenannten Top-10 rangieren, </w:t>
      </w:r>
      <w:r w:rsidR="00D9177C">
        <w:rPr>
          <w:rFonts w:cs="Lucida Grande"/>
        </w:rPr>
        <w:t>die neben der medizinischen Vergabe auch den Freizeitkonsum von Marihuana legali</w:t>
      </w:r>
      <w:r w:rsidR="00711B18">
        <w:rPr>
          <w:rFonts w:cs="Lucida Grande"/>
        </w:rPr>
        <w:t xml:space="preserve">siert haben (vgl., </w:t>
      </w:r>
      <w:r w:rsidR="000D41A5">
        <w:rPr>
          <w:rFonts w:cs="Lucida Grande"/>
        </w:rPr>
        <w:t xml:space="preserve">u. a. </w:t>
      </w:r>
      <w:r w:rsidR="000D41A5" w:rsidRPr="00762252">
        <w:rPr>
          <w:rFonts w:cs="SourceSansPro-Regular"/>
          <w:szCs w:val="22"/>
        </w:rPr>
        <w:t>Clarke, Harlow,</w:t>
      </w:r>
      <w:r w:rsidR="000D41A5">
        <w:rPr>
          <w:rFonts w:cs="SourceSansPro-Regular"/>
          <w:szCs w:val="22"/>
        </w:rPr>
        <w:t xml:space="preserve"> Wong </w:t>
      </w:r>
      <w:r w:rsidR="000D41A5" w:rsidRPr="00762252">
        <w:rPr>
          <w:rFonts w:cs="SourceSansPro-Regular"/>
          <w:szCs w:val="22"/>
        </w:rPr>
        <w:t>2016</w:t>
      </w:r>
      <w:r w:rsidR="00D9177C">
        <w:rPr>
          <w:rFonts w:cs="Lucida Grande"/>
        </w:rPr>
        <w:t xml:space="preserve">, </w:t>
      </w:r>
      <w:r w:rsidR="000D41A5">
        <w:rPr>
          <w:rFonts w:cs="Lucida Grande"/>
        </w:rPr>
        <w:t>Hughes,</w:t>
      </w:r>
      <w:r w:rsidR="000D41A5" w:rsidRPr="003A2724">
        <w:rPr>
          <w:rFonts w:cs="Lucida Grande"/>
        </w:rPr>
        <w:t xml:space="preserve"> Rachel</w:t>
      </w:r>
      <w:r w:rsidR="000D41A5">
        <w:rPr>
          <w:rFonts w:cs="Lucida Grande"/>
        </w:rPr>
        <w:t xml:space="preserve">, </w:t>
      </w:r>
      <w:r w:rsidR="000D41A5" w:rsidRPr="003A2724">
        <w:rPr>
          <w:rFonts w:cs="Lucida Grande"/>
        </w:rPr>
        <w:t>Lipari, Willi</w:t>
      </w:r>
      <w:r w:rsidR="000D41A5">
        <w:rPr>
          <w:rFonts w:cs="Lucida Grande"/>
        </w:rPr>
        <w:t xml:space="preserve">ams </w:t>
      </w:r>
      <w:r w:rsidR="000D41A5" w:rsidRPr="003A2724">
        <w:rPr>
          <w:rFonts w:cs="Lucida Grande"/>
        </w:rPr>
        <w:t>2016</w:t>
      </w:r>
      <w:r w:rsidR="000D41A5">
        <w:rPr>
          <w:rFonts w:cs="Lucida Grande"/>
        </w:rPr>
        <w:t>)</w:t>
      </w:r>
      <w:r w:rsidR="008A7D12">
        <w:rPr>
          <w:rFonts w:cs="Lucida Grande"/>
        </w:rPr>
        <w:t>,</w:t>
      </w:r>
      <w:r w:rsidR="000D41A5">
        <w:rPr>
          <w:rFonts w:cs="Lucida Grande"/>
        </w:rPr>
        <w:t xml:space="preserve"> </w:t>
      </w:r>
      <w:r w:rsidR="00D9177C">
        <w:rPr>
          <w:rFonts w:cs="Lucida Grande"/>
        </w:rPr>
        <w:t xml:space="preserve">als </w:t>
      </w:r>
      <w:r w:rsidR="008A7D12">
        <w:rPr>
          <w:rFonts w:cs="Lucida Grande"/>
        </w:rPr>
        <w:t>wenig</w:t>
      </w:r>
      <w:r w:rsidR="00D9177C">
        <w:rPr>
          <w:rFonts w:cs="Lucida Grande"/>
        </w:rPr>
        <w:t xml:space="preserve"> aussagefähig gelten.</w:t>
      </w:r>
      <w:r w:rsidR="00D2738B">
        <w:rPr>
          <w:rFonts w:cs="Lucida Grande"/>
        </w:rPr>
        <w:t xml:space="preserve"> </w:t>
      </w:r>
      <w:r w:rsidR="00460CB7">
        <w:rPr>
          <w:rFonts w:cs="Lucida Grande"/>
        </w:rPr>
        <w:t xml:space="preserve">Daraus abzuleiten, dass </w:t>
      </w:r>
      <w:r w:rsidR="00D01097">
        <w:rPr>
          <w:rFonts w:cs="Lucida Grande"/>
        </w:rPr>
        <w:t>Regulierung</w:t>
      </w:r>
      <w:r w:rsidR="00AE096D">
        <w:rPr>
          <w:rFonts w:cs="Lucida Grande"/>
        </w:rPr>
        <w:t>sprozesse</w:t>
      </w:r>
      <w:r w:rsidR="00460CB7">
        <w:rPr>
          <w:rFonts w:cs="Lucida Grande"/>
        </w:rPr>
        <w:t xml:space="preserve"> zu einem solchen Aufstieg in der Rangliste der Bundesländern geführt habe, </w:t>
      </w:r>
      <w:r w:rsidR="002D6028">
        <w:rPr>
          <w:rFonts w:cs="Lucida Grande"/>
        </w:rPr>
        <w:t>ist</w:t>
      </w:r>
      <w:r w:rsidR="00460CB7">
        <w:rPr>
          <w:rFonts w:cs="Lucida Grande"/>
        </w:rPr>
        <w:t xml:space="preserve"> vor dem Hinte</w:t>
      </w:r>
      <w:r w:rsidR="00460CB7">
        <w:rPr>
          <w:rFonts w:cs="Lucida Grande"/>
        </w:rPr>
        <w:t>r</w:t>
      </w:r>
      <w:r w:rsidR="00460CB7">
        <w:rPr>
          <w:rFonts w:cs="Lucida Grande"/>
        </w:rPr>
        <w:t>grund de</w:t>
      </w:r>
      <w:r w:rsidR="00565DD7">
        <w:rPr>
          <w:rFonts w:cs="Lucida Grande"/>
        </w:rPr>
        <w:t xml:space="preserve">r </w:t>
      </w:r>
      <w:r w:rsidR="006E0374">
        <w:rPr>
          <w:rFonts w:cs="Lucida Grande"/>
        </w:rPr>
        <w:t>seit vielen Jahren beobachtbaren Entwicklungen</w:t>
      </w:r>
      <w:r w:rsidR="00565DD7">
        <w:rPr>
          <w:rFonts w:cs="Lucida Grande"/>
        </w:rPr>
        <w:t xml:space="preserve"> </w:t>
      </w:r>
      <w:r w:rsidR="00460CB7">
        <w:rPr>
          <w:rFonts w:cs="Lucida Grande"/>
        </w:rPr>
        <w:t>unzutreffend. Eher kann davon au</w:t>
      </w:r>
      <w:r w:rsidR="00460CB7">
        <w:rPr>
          <w:rFonts w:cs="Lucida Grande"/>
        </w:rPr>
        <w:t>s</w:t>
      </w:r>
      <w:r w:rsidR="00460CB7">
        <w:rPr>
          <w:rFonts w:cs="Lucida Grande"/>
        </w:rPr>
        <w:t xml:space="preserve">gegangen werden, dass der drogenpolitische Kurswechsel in den Bundesländern Colorado und Washington </w:t>
      </w:r>
      <w:r w:rsidR="00565DD7">
        <w:rPr>
          <w:rFonts w:cs="Lucida Grande"/>
        </w:rPr>
        <w:t xml:space="preserve">als Annäherung an </w:t>
      </w:r>
      <w:r w:rsidR="00711B18">
        <w:rPr>
          <w:rFonts w:cs="Lucida Grande"/>
        </w:rPr>
        <w:t>schon existierende</w:t>
      </w:r>
      <w:r w:rsidR="00460CB7">
        <w:rPr>
          <w:rFonts w:cs="Lucida Grande"/>
        </w:rPr>
        <w:t xml:space="preserve"> </w:t>
      </w:r>
      <w:r w:rsidR="00565DD7">
        <w:rPr>
          <w:rFonts w:cs="Lucida Grande"/>
        </w:rPr>
        <w:t xml:space="preserve">Realitäten zu verstehen ist. </w:t>
      </w:r>
    </w:p>
    <w:p w14:paraId="317E0386" w14:textId="4244CB25" w:rsidR="00D47191" w:rsidRPr="00A42F4A" w:rsidRDefault="00D47191" w:rsidP="009D7629">
      <w:pPr>
        <w:pStyle w:val="berschrift2"/>
        <w:spacing w:line="276" w:lineRule="auto"/>
        <w:jc w:val="both"/>
      </w:pPr>
      <w:bookmarkStart w:id="23" w:name="_Toc349300352"/>
      <w:r w:rsidRPr="00A42F4A">
        <w:t>Das Beispiel Washington</w:t>
      </w:r>
      <w:bookmarkEnd w:id="23"/>
    </w:p>
    <w:p w14:paraId="3F14B0E9" w14:textId="5445EACD" w:rsidR="009D7629" w:rsidRDefault="00A42F4A" w:rsidP="009D7629">
      <w:pPr>
        <w:pStyle w:val="KeinLeerraum"/>
        <w:spacing w:line="276" w:lineRule="auto"/>
        <w:jc w:val="both"/>
      </w:pPr>
      <w:r>
        <w:t xml:space="preserve">Für den Bundesstaat Washington lässt sich aufzeigen, dass </w:t>
      </w:r>
      <w:r w:rsidR="00711B18">
        <w:t>bezogen auf die Jahre</w:t>
      </w:r>
      <w:r>
        <w:t xml:space="preserve"> 2002-2003 schon Anfang 2010-2011 </w:t>
      </w:r>
      <w:r w:rsidR="00711B18">
        <w:t xml:space="preserve">in allen Altersgruppen </w:t>
      </w:r>
      <w:r>
        <w:t>ein</w:t>
      </w:r>
      <w:r w:rsidR="00AA327C">
        <w:t>e</w:t>
      </w:r>
      <w:r>
        <w:t xml:space="preserve"> signifikante Zunahme der </w:t>
      </w:r>
      <w:r w:rsidR="002D6028">
        <w:t>30-Tage-Prävalenz (</w:t>
      </w:r>
      <w:r w:rsidR="00711B18">
        <w:t>aktueller</w:t>
      </w:r>
      <w:r w:rsidR="008A0087">
        <w:t xml:space="preserve"> </w:t>
      </w:r>
      <w:r>
        <w:t>Marihuana-Konsum</w:t>
      </w:r>
      <w:r w:rsidR="002D6028">
        <w:t>)</w:t>
      </w:r>
      <w:r w:rsidR="00AA327C">
        <w:t xml:space="preserve"> </w:t>
      </w:r>
      <w:r>
        <w:t>registriert werd</w:t>
      </w:r>
      <w:r w:rsidR="009840A1">
        <w:t>en konnte</w:t>
      </w:r>
      <w:r w:rsidR="00B563B3">
        <w:t xml:space="preserve">. </w:t>
      </w:r>
      <w:r w:rsidR="00D2738B">
        <w:t>Das heißt,</w:t>
      </w:r>
      <w:r w:rsidR="00B563B3">
        <w:t xml:space="preserve"> schon </w:t>
      </w:r>
      <w:r w:rsidR="002D6028">
        <w:t xml:space="preserve">vor </w:t>
      </w:r>
      <w:r w:rsidR="00711B18">
        <w:t>B</w:t>
      </w:r>
      <w:r w:rsidR="002D6028">
        <w:t>e</w:t>
      </w:r>
      <w:r w:rsidR="002D6028">
        <w:t>ginn der</w:t>
      </w:r>
      <w:r>
        <w:t xml:space="preserve"> </w:t>
      </w:r>
      <w:r w:rsidR="00D01097">
        <w:t>Regulierung</w:t>
      </w:r>
      <w:r>
        <w:t xml:space="preserve"> </w:t>
      </w:r>
      <w:r w:rsidR="00D2738B">
        <w:t xml:space="preserve">wurde </w:t>
      </w:r>
      <w:r>
        <w:t xml:space="preserve">für die Bevölkerung insgesamt ein </w:t>
      </w:r>
      <w:r w:rsidR="00D2738B">
        <w:t xml:space="preserve">signifikanter </w:t>
      </w:r>
      <w:r>
        <w:t xml:space="preserve">Anstieg </w:t>
      </w:r>
      <w:r w:rsidR="00565DD7">
        <w:t xml:space="preserve">der Zahl </w:t>
      </w:r>
      <w:r w:rsidR="00D2738B">
        <w:t xml:space="preserve">aktueller </w:t>
      </w:r>
      <w:r w:rsidR="00B563B3">
        <w:t xml:space="preserve">Marihuana-Konsumenten </w:t>
      </w:r>
      <w:r w:rsidR="00E87C1B">
        <w:t>von 7,41 % auf 9,88</w:t>
      </w:r>
      <w:r>
        <w:t xml:space="preserve"> % ermittelt </w:t>
      </w:r>
      <w:r w:rsidR="00AA327C">
        <w:t xml:space="preserve">(vgl. </w:t>
      </w:r>
      <w:r w:rsidR="00AA327C">
        <w:rPr>
          <w:rFonts w:cs="Times New Roman"/>
        </w:rPr>
        <w:t>SAMHSA 2012)</w:t>
      </w:r>
      <w:r w:rsidR="00711B18">
        <w:rPr>
          <w:rFonts w:cs="Times New Roman"/>
        </w:rPr>
        <w:t xml:space="preserve">, der sich </w:t>
      </w:r>
      <w:r w:rsidR="00711B18">
        <w:t>weiter fort</w:t>
      </w:r>
      <w:r w:rsidR="00857157">
        <w:t>setzte</w:t>
      </w:r>
      <w:r w:rsidR="00711B18">
        <w:t>, so dass f</w:t>
      </w:r>
      <w:r w:rsidR="00264932">
        <w:t>ür das Jahr</w:t>
      </w:r>
      <w:r w:rsidR="00857157">
        <w:t xml:space="preserve"> 2014 eine </w:t>
      </w:r>
      <w:r w:rsidR="002D6028">
        <w:t>30-Tage-Prävalenz-</w:t>
      </w:r>
      <w:r w:rsidR="00857157">
        <w:t xml:space="preserve">Rate von 12,79 % </w:t>
      </w:r>
      <w:r w:rsidR="002D6028">
        <w:t>für die</w:t>
      </w:r>
      <w:r w:rsidR="00857157">
        <w:t xml:space="preserve"> Gesamtbevölkerung </w:t>
      </w:r>
      <w:r w:rsidR="00264932">
        <w:t>ermittelt</w:t>
      </w:r>
      <w:r w:rsidR="00857157">
        <w:t xml:space="preserve"> </w:t>
      </w:r>
      <w:r w:rsidR="00711B18">
        <w:t xml:space="preserve">wurde </w:t>
      </w:r>
      <w:r w:rsidR="002E51D1">
        <w:t>(vgl. SAM</w:t>
      </w:r>
      <w:r w:rsidR="006E0374">
        <w:t>HSA 2015</w:t>
      </w:r>
      <w:r w:rsidR="002E51D1">
        <w:t>)</w:t>
      </w:r>
      <w:r w:rsidR="0059452E">
        <w:t>(vgl. Abbildung 7</w:t>
      </w:r>
      <w:r w:rsidR="00565DD7">
        <w:t>)</w:t>
      </w:r>
      <w:r w:rsidR="00F90CC0">
        <w:t>.</w:t>
      </w:r>
    </w:p>
    <w:p w14:paraId="59BF16B6" w14:textId="518B62ED" w:rsidR="00711B18" w:rsidRDefault="00711B18" w:rsidP="00711B18">
      <w:pPr>
        <w:spacing w:line="276" w:lineRule="auto"/>
        <w:jc w:val="both"/>
        <w:rPr>
          <w:szCs w:val="22"/>
        </w:rPr>
      </w:pPr>
      <w:r>
        <w:rPr>
          <w:szCs w:val="22"/>
        </w:rPr>
        <w:t>Die Erhöhung der Konsumrate für die Gesamtbevölkerung geht hauptsächlich auf die Steigerung des Konsums in der erwachsenen Bevölkerung (älter als 26 Jahre) und mit einem geringen A</w:t>
      </w:r>
      <w:r>
        <w:rPr>
          <w:szCs w:val="22"/>
        </w:rPr>
        <w:t>n</w:t>
      </w:r>
      <w:r>
        <w:rPr>
          <w:szCs w:val="22"/>
        </w:rPr>
        <w:t xml:space="preserve">teil in der Altersgruppe der 12-17-Jährigen zurück; für </w:t>
      </w:r>
      <w:r w:rsidRPr="00264932">
        <w:rPr>
          <w:szCs w:val="22"/>
        </w:rPr>
        <w:t xml:space="preserve">die 18-25-Jährigen zeigen sich </w:t>
      </w:r>
      <w:r>
        <w:rPr>
          <w:szCs w:val="22"/>
        </w:rPr>
        <w:t>mit den ersten</w:t>
      </w:r>
      <w:r w:rsidRPr="00264932">
        <w:rPr>
          <w:szCs w:val="22"/>
        </w:rPr>
        <w:t xml:space="preserve"> </w:t>
      </w:r>
      <w:r>
        <w:rPr>
          <w:szCs w:val="22"/>
        </w:rPr>
        <w:t xml:space="preserve">Regulierungsprozessen sogar rückläufige Konsumraten </w:t>
      </w:r>
      <w:r w:rsidRPr="00264932">
        <w:rPr>
          <w:szCs w:val="22"/>
        </w:rPr>
        <w:t>(vgl. Abbildung</w:t>
      </w:r>
      <w:r>
        <w:rPr>
          <w:szCs w:val="22"/>
        </w:rPr>
        <w:t xml:space="preserve"> 7</w:t>
      </w:r>
      <w:r w:rsidRPr="00264932">
        <w:rPr>
          <w:szCs w:val="22"/>
        </w:rPr>
        <w:t>).</w:t>
      </w:r>
      <w:r>
        <w:rPr>
          <w:szCs w:val="22"/>
        </w:rPr>
        <w:t xml:space="preserve"> </w:t>
      </w:r>
    </w:p>
    <w:p w14:paraId="586479C9" w14:textId="1519F8CF" w:rsidR="00711B18" w:rsidRDefault="00711B18" w:rsidP="00711B18">
      <w:pPr>
        <w:spacing w:line="276" w:lineRule="auto"/>
        <w:jc w:val="both"/>
        <w:rPr>
          <w:szCs w:val="22"/>
        </w:rPr>
      </w:pPr>
      <w:r>
        <w:rPr>
          <w:szCs w:val="22"/>
        </w:rPr>
        <w:t>Vor dem Hintergrund dieser Daten sei auf die Hypothese zum Zusammenhang von Regulierung und Verbreitung des Konsums verwiesen, nach der nach dem Ende der Strafverfolgung und mit einer freien Zugänglichkeit mit einem verstärkten Probierkonsum zu rechnen ist, durch den die Konsumraten vorübergehend ansteigen werden. Diese Entwicklungen werden sich jedoch no</w:t>
      </w:r>
      <w:r>
        <w:rPr>
          <w:szCs w:val="22"/>
        </w:rPr>
        <w:t>r</w:t>
      </w:r>
      <w:r>
        <w:rPr>
          <w:szCs w:val="22"/>
        </w:rPr>
        <w:t xml:space="preserve">malisieren, sobald derartige Konsumerfahrungen insbesondere von älteren Altersgruppen nachgeholt wurden.  </w:t>
      </w:r>
    </w:p>
    <w:p w14:paraId="37E146C3" w14:textId="77777777" w:rsidR="00711B18" w:rsidRDefault="00711B18" w:rsidP="00711B18">
      <w:pPr>
        <w:spacing w:line="276" w:lineRule="auto"/>
        <w:jc w:val="both"/>
        <w:rPr>
          <w:szCs w:val="22"/>
        </w:rPr>
      </w:pPr>
    </w:p>
    <w:p w14:paraId="7244F02E" w14:textId="77777777" w:rsidR="00711B18" w:rsidRDefault="00711B18" w:rsidP="009D7629">
      <w:pPr>
        <w:pStyle w:val="KeinLeerraum"/>
        <w:spacing w:line="276" w:lineRule="auto"/>
        <w:jc w:val="both"/>
      </w:pPr>
    </w:p>
    <w:p w14:paraId="26795109" w14:textId="77777777" w:rsidR="00565DD7" w:rsidRDefault="002F16AD" w:rsidP="001E7306">
      <w:pPr>
        <w:keepNext/>
        <w:spacing w:line="276" w:lineRule="auto"/>
        <w:ind w:firstLine="142"/>
        <w:jc w:val="both"/>
      </w:pPr>
      <w:r>
        <w:rPr>
          <w:noProof/>
        </w:rPr>
        <w:drawing>
          <wp:inline distT="0" distB="0" distL="0" distR="0" wp14:anchorId="3169C229" wp14:editId="62560B29">
            <wp:extent cx="5596255" cy="2997760"/>
            <wp:effectExtent l="0" t="0" r="17145" b="25400"/>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79DEC1" w14:textId="77777777" w:rsidR="006E0374" w:rsidRDefault="00565DD7" w:rsidP="009D7629">
      <w:pPr>
        <w:pStyle w:val="Beschriftung"/>
        <w:jc w:val="both"/>
        <w:rPr>
          <w:szCs w:val="22"/>
        </w:rPr>
      </w:pPr>
      <w:r>
        <w:t xml:space="preserve">Abbildung </w:t>
      </w:r>
      <w:fldSimple w:instr=" SEQ Abbildung \* ARABIC ">
        <w:r w:rsidR="00B86830">
          <w:rPr>
            <w:noProof/>
          </w:rPr>
          <w:t>7</w:t>
        </w:r>
      </w:fldSimple>
      <w:r>
        <w:t xml:space="preserve">: Konsumraten </w:t>
      </w:r>
      <w:r w:rsidR="002A05FC">
        <w:t xml:space="preserve">(ein Mal pro Monat) </w:t>
      </w:r>
      <w:r>
        <w:t>in der Bevölkerung des Bundesstaates Washington nach A</w:t>
      </w:r>
      <w:r>
        <w:t>l</w:t>
      </w:r>
      <w:r>
        <w:t xml:space="preserve">tersgruppen </w:t>
      </w:r>
      <w:r w:rsidR="002A05FC">
        <w:t xml:space="preserve">und im Zeitverlauf </w:t>
      </w:r>
      <w:r w:rsidR="006E0374">
        <w:t>(vgl. SAMHSA 2012 und 2015</w:t>
      </w:r>
      <w:r>
        <w:t>)</w:t>
      </w:r>
    </w:p>
    <w:p w14:paraId="77FDD686" w14:textId="72F1B79E" w:rsidR="00504248" w:rsidRDefault="00504248" w:rsidP="009D7629">
      <w:pPr>
        <w:spacing w:line="276" w:lineRule="auto"/>
        <w:jc w:val="both"/>
        <w:rPr>
          <w:szCs w:val="22"/>
        </w:rPr>
      </w:pPr>
      <w:r>
        <w:rPr>
          <w:szCs w:val="22"/>
        </w:rPr>
        <w:t>Zweifellos sind die bisher vorliegenden Daten für diesbezügliche Aussagen nicht ausreichend. Allerdings zeig</w:t>
      </w:r>
      <w:r w:rsidR="00711B18">
        <w:rPr>
          <w:szCs w:val="22"/>
        </w:rPr>
        <w:t>en die</w:t>
      </w:r>
      <w:r>
        <w:rPr>
          <w:szCs w:val="22"/>
        </w:rPr>
        <w:t xml:space="preserve"> sporadische Konsumraten</w:t>
      </w:r>
      <w:r w:rsidR="00DC12B1">
        <w:rPr>
          <w:szCs w:val="22"/>
        </w:rPr>
        <w:t xml:space="preserve"> (</w:t>
      </w:r>
      <w:r w:rsidR="00711B18">
        <w:rPr>
          <w:szCs w:val="22"/>
        </w:rPr>
        <w:t>„</w:t>
      </w:r>
      <w:r w:rsidR="00DC12B1">
        <w:rPr>
          <w:szCs w:val="22"/>
        </w:rPr>
        <w:t>ein</w:t>
      </w:r>
      <w:r w:rsidR="00F90CC0">
        <w:rPr>
          <w:szCs w:val="22"/>
        </w:rPr>
        <w:t xml:space="preserve"> Mal im letzten Jahr</w:t>
      </w:r>
      <w:r w:rsidR="00711B18">
        <w:rPr>
          <w:szCs w:val="22"/>
        </w:rPr>
        <w:t>“</w:t>
      </w:r>
      <w:r w:rsidR="00F90CC0">
        <w:rPr>
          <w:szCs w:val="22"/>
        </w:rPr>
        <w:t xml:space="preserve">) </w:t>
      </w:r>
      <w:r w:rsidR="00711B18">
        <w:rPr>
          <w:szCs w:val="22"/>
        </w:rPr>
        <w:t>im Jahr nach den er</w:t>
      </w:r>
      <w:r w:rsidR="00711B18">
        <w:rPr>
          <w:szCs w:val="22"/>
        </w:rPr>
        <w:t>s</w:t>
      </w:r>
      <w:r w:rsidR="00711B18">
        <w:rPr>
          <w:szCs w:val="22"/>
        </w:rPr>
        <w:t xml:space="preserve">ten Regulierungsprozessen des Freizeitkonsums </w:t>
      </w:r>
      <w:r w:rsidR="00F90CC0">
        <w:rPr>
          <w:szCs w:val="22"/>
        </w:rPr>
        <w:t>in der Tat</w:t>
      </w:r>
      <w:r w:rsidR="00D2738B">
        <w:rPr>
          <w:szCs w:val="22"/>
        </w:rPr>
        <w:t xml:space="preserve"> </w:t>
      </w:r>
      <w:r w:rsidR="00357EA5">
        <w:rPr>
          <w:szCs w:val="22"/>
        </w:rPr>
        <w:t>einen</w:t>
      </w:r>
      <w:r w:rsidR="00DC12B1">
        <w:rPr>
          <w:szCs w:val="22"/>
        </w:rPr>
        <w:t xml:space="preserve"> bemerkenswerten Anstieg in der Bevölkerung insgesamt</w:t>
      </w:r>
      <w:r w:rsidR="00D2738B">
        <w:rPr>
          <w:szCs w:val="22"/>
        </w:rPr>
        <w:t xml:space="preserve">. Dieser wird </w:t>
      </w:r>
      <w:r w:rsidR="00DC12B1">
        <w:rPr>
          <w:szCs w:val="22"/>
        </w:rPr>
        <w:t>hauptsächlich durch den Anstieg des Probierkonsums in der Gruppe der Älteren (älter als 26 Jahre)</w:t>
      </w:r>
      <w:r w:rsidR="00357EA5">
        <w:rPr>
          <w:szCs w:val="22"/>
        </w:rPr>
        <w:t xml:space="preserve"> und mit gewissen Anteilen </w:t>
      </w:r>
      <w:r w:rsidR="00F90CC0">
        <w:rPr>
          <w:szCs w:val="22"/>
        </w:rPr>
        <w:t>durch die</w:t>
      </w:r>
      <w:r w:rsidR="00357EA5">
        <w:rPr>
          <w:szCs w:val="22"/>
        </w:rPr>
        <w:t xml:space="preserve"> Alters</w:t>
      </w:r>
      <w:r w:rsidR="00357EA5" w:rsidRPr="00342E92">
        <w:rPr>
          <w:szCs w:val="22"/>
        </w:rPr>
        <w:t>gruppe der 12-17</w:t>
      </w:r>
      <w:r w:rsidR="00711B18">
        <w:rPr>
          <w:szCs w:val="22"/>
        </w:rPr>
        <w:t>-</w:t>
      </w:r>
      <w:r w:rsidR="00357EA5" w:rsidRPr="00342E92">
        <w:rPr>
          <w:szCs w:val="22"/>
        </w:rPr>
        <w:t>Jährigen</w:t>
      </w:r>
      <w:r w:rsidR="00DC12B1" w:rsidRPr="00342E92">
        <w:rPr>
          <w:szCs w:val="22"/>
        </w:rPr>
        <w:t xml:space="preserve"> hervorgebracht </w:t>
      </w:r>
      <w:r w:rsidR="00357EA5" w:rsidRPr="00342E92">
        <w:rPr>
          <w:szCs w:val="22"/>
        </w:rPr>
        <w:t>(</w:t>
      </w:r>
      <w:r w:rsidR="006E0374">
        <w:rPr>
          <w:szCs w:val="22"/>
        </w:rPr>
        <w:t>vgl. SAMHSA 2012 und SAMHSA 2015)</w:t>
      </w:r>
      <w:r w:rsidR="00DC12B1" w:rsidRPr="00342E92">
        <w:rPr>
          <w:szCs w:val="22"/>
        </w:rPr>
        <w:t xml:space="preserve">. Wieweit sich dieser </w:t>
      </w:r>
      <w:r w:rsidR="00711B18">
        <w:rPr>
          <w:szCs w:val="22"/>
        </w:rPr>
        <w:t xml:space="preserve">Anstieg </w:t>
      </w:r>
      <w:r w:rsidR="00DC12B1" w:rsidRPr="00342E92">
        <w:rPr>
          <w:szCs w:val="22"/>
        </w:rPr>
        <w:t>in den nächsten Jahren wieder normalisieren wird, bleibt abzuwarten</w:t>
      </w:r>
      <w:r w:rsidR="00357EA5" w:rsidRPr="00342E92">
        <w:rPr>
          <w:szCs w:val="22"/>
        </w:rPr>
        <w:t>.</w:t>
      </w:r>
    </w:p>
    <w:p w14:paraId="7AFFCC12" w14:textId="730E2B2B" w:rsidR="00D47191" w:rsidRPr="00AA327C" w:rsidRDefault="00D47191" w:rsidP="009D7629">
      <w:pPr>
        <w:pStyle w:val="berschrift2"/>
        <w:spacing w:line="276" w:lineRule="auto"/>
        <w:jc w:val="both"/>
      </w:pPr>
      <w:bookmarkStart w:id="24" w:name="_Toc349300353"/>
      <w:r w:rsidRPr="00AA327C">
        <w:t>Das Beispiel Colorado</w:t>
      </w:r>
      <w:bookmarkEnd w:id="24"/>
    </w:p>
    <w:p w14:paraId="05FD09E9" w14:textId="74FB6735" w:rsidR="00AA327C" w:rsidRPr="00FE2D07" w:rsidRDefault="00077151" w:rsidP="009D7629">
      <w:pPr>
        <w:spacing w:line="276" w:lineRule="auto"/>
        <w:jc w:val="both"/>
        <w:rPr>
          <w:rFonts w:cs="Times New Roman"/>
          <w:szCs w:val="22"/>
        </w:rPr>
      </w:pPr>
      <w:r>
        <w:rPr>
          <w:szCs w:val="22"/>
        </w:rPr>
        <w:t>Ähnlich</w:t>
      </w:r>
      <w:r w:rsidR="00AA327C">
        <w:rPr>
          <w:szCs w:val="22"/>
        </w:rPr>
        <w:t xml:space="preserve"> wie für den Bundesstaat Washington zeichnet sich auch für Colorado eine signifikante Zunahme der </w:t>
      </w:r>
      <w:r w:rsidR="002D6028">
        <w:rPr>
          <w:szCs w:val="22"/>
        </w:rPr>
        <w:t>30-Tage-Prävalenz</w:t>
      </w:r>
      <w:r w:rsidR="003361CD">
        <w:rPr>
          <w:szCs w:val="22"/>
        </w:rPr>
        <w:t xml:space="preserve"> (Konsum im letzten Monat) </w:t>
      </w:r>
      <w:r w:rsidR="00711B18">
        <w:rPr>
          <w:szCs w:val="22"/>
        </w:rPr>
        <w:t xml:space="preserve">bereits seit den frühen 2000er Jahren </w:t>
      </w:r>
      <w:r w:rsidR="00FE2D07">
        <w:rPr>
          <w:szCs w:val="22"/>
        </w:rPr>
        <w:t>ab</w:t>
      </w:r>
      <w:r w:rsidR="00711B18">
        <w:rPr>
          <w:szCs w:val="22"/>
        </w:rPr>
        <w:t xml:space="preserve">: </w:t>
      </w:r>
      <w:r w:rsidR="00AA327C">
        <w:rPr>
          <w:szCs w:val="22"/>
        </w:rPr>
        <w:t>So stieg die für die Gesamtbe</w:t>
      </w:r>
      <w:r w:rsidR="00DC2AAE">
        <w:rPr>
          <w:szCs w:val="22"/>
        </w:rPr>
        <w:t>völkerung ermittelte Ra</w:t>
      </w:r>
      <w:r w:rsidR="00F90CC0">
        <w:rPr>
          <w:szCs w:val="22"/>
        </w:rPr>
        <w:t>te von 8,49 % (2002-2003) auf 10</w:t>
      </w:r>
      <w:r w:rsidR="00AA327C">
        <w:rPr>
          <w:szCs w:val="22"/>
        </w:rPr>
        <w:t>,</w:t>
      </w:r>
      <w:r w:rsidR="00F90CC0">
        <w:rPr>
          <w:szCs w:val="22"/>
        </w:rPr>
        <w:t>48</w:t>
      </w:r>
      <w:r w:rsidR="00AA327C">
        <w:rPr>
          <w:szCs w:val="22"/>
        </w:rPr>
        <w:t xml:space="preserve"> % in den Jahren 2010-2011</w:t>
      </w:r>
      <w:r w:rsidR="00B22B54">
        <w:rPr>
          <w:szCs w:val="22"/>
        </w:rPr>
        <w:t xml:space="preserve">. </w:t>
      </w:r>
      <w:r w:rsidR="00711B18">
        <w:rPr>
          <w:szCs w:val="22"/>
        </w:rPr>
        <w:t>Insofern ist</w:t>
      </w:r>
      <w:r w:rsidR="00B22B54">
        <w:rPr>
          <w:szCs w:val="22"/>
        </w:rPr>
        <w:t xml:space="preserve"> </w:t>
      </w:r>
      <w:r w:rsidR="003361CD">
        <w:rPr>
          <w:szCs w:val="22"/>
        </w:rPr>
        <w:t xml:space="preserve">auch in Colorado </w:t>
      </w:r>
      <w:r w:rsidR="00AA327C">
        <w:rPr>
          <w:szCs w:val="22"/>
        </w:rPr>
        <w:t xml:space="preserve">weit vor der </w:t>
      </w:r>
      <w:r w:rsidR="00D01097">
        <w:rPr>
          <w:szCs w:val="22"/>
        </w:rPr>
        <w:t>Regulierung</w:t>
      </w:r>
      <w:r w:rsidR="00B22B54">
        <w:rPr>
          <w:szCs w:val="22"/>
        </w:rPr>
        <w:t xml:space="preserve"> ein </w:t>
      </w:r>
      <w:r w:rsidR="00AA327C">
        <w:rPr>
          <w:szCs w:val="22"/>
        </w:rPr>
        <w:t>deutlich</w:t>
      </w:r>
      <w:r w:rsidR="00B22B54">
        <w:rPr>
          <w:szCs w:val="22"/>
        </w:rPr>
        <w:t>er</w:t>
      </w:r>
      <w:r w:rsidR="00AA327C">
        <w:rPr>
          <w:szCs w:val="22"/>
        </w:rPr>
        <w:t xml:space="preserve"> Anstieg </w:t>
      </w:r>
      <w:r w:rsidR="00307346">
        <w:rPr>
          <w:szCs w:val="22"/>
        </w:rPr>
        <w:t xml:space="preserve">der Konsumraten </w:t>
      </w:r>
      <w:r w:rsidR="00B22B54">
        <w:rPr>
          <w:szCs w:val="22"/>
        </w:rPr>
        <w:t xml:space="preserve">zu verzeichnen, der </w:t>
      </w:r>
      <w:r w:rsidR="00AA327C">
        <w:rPr>
          <w:szCs w:val="22"/>
        </w:rPr>
        <w:t xml:space="preserve">in </w:t>
      </w:r>
      <w:r w:rsidR="003361CD">
        <w:rPr>
          <w:szCs w:val="22"/>
        </w:rPr>
        <w:t>diesem Bundes</w:t>
      </w:r>
      <w:r w:rsidR="00711B18">
        <w:rPr>
          <w:szCs w:val="22"/>
        </w:rPr>
        <w:t>staat</w:t>
      </w:r>
      <w:r w:rsidR="003361CD">
        <w:rPr>
          <w:szCs w:val="22"/>
        </w:rPr>
        <w:t xml:space="preserve"> </w:t>
      </w:r>
      <w:r w:rsidR="00AA327C">
        <w:rPr>
          <w:szCs w:val="22"/>
        </w:rPr>
        <w:t xml:space="preserve">allerdings von </w:t>
      </w:r>
      <w:r w:rsidR="00DC2AAE">
        <w:rPr>
          <w:szCs w:val="22"/>
        </w:rPr>
        <w:t xml:space="preserve">allen </w:t>
      </w:r>
      <w:r w:rsidR="00AA327C">
        <w:rPr>
          <w:szCs w:val="22"/>
        </w:rPr>
        <w:t>Altersgruppe</w:t>
      </w:r>
      <w:r w:rsidR="00DC2AAE">
        <w:rPr>
          <w:szCs w:val="22"/>
        </w:rPr>
        <w:t>n</w:t>
      </w:r>
      <w:r w:rsidR="00AA327C">
        <w:rPr>
          <w:szCs w:val="22"/>
        </w:rPr>
        <w:t xml:space="preserve"> </w:t>
      </w:r>
      <w:r w:rsidR="00711B18">
        <w:rPr>
          <w:szCs w:val="22"/>
        </w:rPr>
        <w:t>getragen</w:t>
      </w:r>
      <w:r w:rsidR="00B22B54" w:rsidRPr="00B22B54">
        <w:rPr>
          <w:szCs w:val="22"/>
        </w:rPr>
        <w:t xml:space="preserve"> </w:t>
      </w:r>
      <w:r w:rsidR="00B22B54">
        <w:rPr>
          <w:szCs w:val="22"/>
        </w:rPr>
        <w:t>wurde</w:t>
      </w:r>
      <w:r w:rsidR="0041735A">
        <w:rPr>
          <w:szCs w:val="22"/>
        </w:rPr>
        <w:t xml:space="preserve"> (vgl. </w:t>
      </w:r>
      <w:r w:rsidR="0041735A">
        <w:rPr>
          <w:rFonts w:cs="Times New Roman"/>
          <w:szCs w:val="22"/>
        </w:rPr>
        <w:t>SAMHSA 2012)</w:t>
      </w:r>
      <w:r w:rsidR="00C3775B">
        <w:rPr>
          <w:rFonts w:cs="Times New Roman"/>
          <w:szCs w:val="22"/>
        </w:rPr>
        <w:t xml:space="preserve">. </w:t>
      </w:r>
      <w:r w:rsidR="00B22B54">
        <w:rPr>
          <w:rFonts w:cs="Times New Roman"/>
          <w:szCs w:val="22"/>
        </w:rPr>
        <w:t>D</w:t>
      </w:r>
      <w:r w:rsidR="00DC2AAE">
        <w:rPr>
          <w:rFonts w:cs="Times New Roman"/>
          <w:szCs w:val="22"/>
        </w:rPr>
        <w:t xml:space="preserve">ieser Trend setzt sich </w:t>
      </w:r>
      <w:r w:rsidR="00B22B54">
        <w:rPr>
          <w:rFonts w:cs="Times New Roman"/>
          <w:szCs w:val="22"/>
        </w:rPr>
        <w:t>n</w:t>
      </w:r>
      <w:r w:rsidR="00C3775B">
        <w:rPr>
          <w:rFonts w:cs="Times New Roman"/>
          <w:szCs w:val="22"/>
        </w:rPr>
        <w:t xml:space="preserve">ach </w:t>
      </w:r>
      <w:r w:rsidR="008B5D38">
        <w:rPr>
          <w:rFonts w:cs="Times New Roman"/>
          <w:szCs w:val="22"/>
        </w:rPr>
        <w:t xml:space="preserve">Beginn </w:t>
      </w:r>
      <w:r w:rsidR="00C3775B">
        <w:rPr>
          <w:rFonts w:cs="Times New Roman"/>
          <w:szCs w:val="22"/>
        </w:rPr>
        <w:t xml:space="preserve">der </w:t>
      </w:r>
      <w:r w:rsidR="00D01097">
        <w:rPr>
          <w:rFonts w:cs="Times New Roman"/>
          <w:szCs w:val="22"/>
        </w:rPr>
        <w:t>Regulierung</w:t>
      </w:r>
      <w:r w:rsidR="008B5D38">
        <w:rPr>
          <w:rFonts w:cs="Times New Roman"/>
          <w:szCs w:val="22"/>
        </w:rPr>
        <w:t>sprozesse</w:t>
      </w:r>
      <w:r w:rsidR="00C3775B">
        <w:rPr>
          <w:rFonts w:cs="Times New Roman"/>
          <w:szCs w:val="22"/>
        </w:rPr>
        <w:t xml:space="preserve"> </w:t>
      </w:r>
      <w:r w:rsidR="00DC2AAE">
        <w:rPr>
          <w:rFonts w:cs="Times New Roman"/>
          <w:szCs w:val="22"/>
        </w:rPr>
        <w:t>in allen Altersgruppen mit weiteren</w:t>
      </w:r>
      <w:r w:rsidR="00C3775B">
        <w:rPr>
          <w:rFonts w:cs="Times New Roman"/>
          <w:szCs w:val="22"/>
        </w:rPr>
        <w:t xml:space="preserve"> Anstiege</w:t>
      </w:r>
      <w:r w:rsidR="00DC2AAE">
        <w:rPr>
          <w:rFonts w:cs="Times New Roman"/>
          <w:szCs w:val="22"/>
        </w:rPr>
        <w:t>n</w:t>
      </w:r>
      <w:r w:rsidR="00C3775B">
        <w:rPr>
          <w:rFonts w:cs="Times New Roman"/>
          <w:szCs w:val="22"/>
        </w:rPr>
        <w:t xml:space="preserve"> </w:t>
      </w:r>
      <w:r w:rsidR="00DC2AAE">
        <w:rPr>
          <w:rFonts w:cs="Times New Roman"/>
          <w:szCs w:val="22"/>
        </w:rPr>
        <w:t>fort</w:t>
      </w:r>
      <w:r w:rsidR="00711B18">
        <w:rPr>
          <w:rFonts w:cs="Times New Roman"/>
          <w:szCs w:val="22"/>
        </w:rPr>
        <w:t xml:space="preserve">, so dass sich </w:t>
      </w:r>
      <w:r w:rsidR="00F90CC0">
        <w:rPr>
          <w:rFonts w:cs="Times New Roman"/>
          <w:szCs w:val="22"/>
        </w:rPr>
        <w:t xml:space="preserve">für </w:t>
      </w:r>
      <w:r w:rsidR="00711B18">
        <w:rPr>
          <w:rFonts w:cs="Times New Roman"/>
          <w:szCs w:val="22"/>
        </w:rPr>
        <w:t>die Gesamtbevölkerung im</w:t>
      </w:r>
      <w:r w:rsidR="00F90CC0">
        <w:rPr>
          <w:rFonts w:cs="Times New Roman"/>
          <w:szCs w:val="22"/>
        </w:rPr>
        <w:t xml:space="preserve"> Jahr 2014 eine </w:t>
      </w:r>
      <w:r w:rsidR="002D6028">
        <w:rPr>
          <w:szCs w:val="22"/>
        </w:rPr>
        <w:t>30-Tage-Prävalenz-</w:t>
      </w:r>
      <w:r w:rsidR="00F90CC0">
        <w:rPr>
          <w:rFonts w:cs="Times New Roman"/>
          <w:szCs w:val="22"/>
        </w:rPr>
        <w:t xml:space="preserve">Rate in Höhe von 14,93 % </w:t>
      </w:r>
      <w:r w:rsidR="00F90CC0" w:rsidRPr="00FE2D07">
        <w:rPr>
          <w:rFonts w:cs="Times New Roman"/>
          <w:szCs w:val="22"/>
        </w:rPr>
        <w:t>auswe</w:t>
      </w:r>
      <w:r w:rsidR="00F90CC0" w:rsidRPr="00FE2D07">
        <w:rPr>
          <w:rFonts w:cs="Times New Roman"/>
          <w:szCs w:val="22"/>
        </w:rPr>
        <w:t>i</w:t>
      </w:r>
      <w:r w:rsidR="00F90CC0" w:rsidRPr="00FE2D07">
        <w:rPr>
          <w:rFonts w:cs="Times New Roman"/>
          <w:szCs w:val="22"/>
        </w:rPr>
        <w:t xml:space="preserve">sen </w:t>
      </w:r>
      <w:r w:rsidR="00711B18">
        <w:rPr>
          <w:rFonts w:cs="Times New Roman"/>
          <w:szCs w:val="22"/>
        </w:rPr>
        <w:t xml:space="preserve">lässt, </w:t>
      </w:r>
      <w:r w:rsidR="00E01335">
        <w:rPr>
          <w:rFonts w:cs="Times New Roman"/>
          <w:szCs w:val="22"/>
        </w:rPr>
        <w:t xml:space="preserve">an deren Entwicklung alle Altersgruppen, wenn auch </w:t>
      </w:r>
      <w:r w:rsidR="00711B18">
        <w:rPr>
          <w:rFonts w:cs="Times New Roman"/>
          <w:szCs w:val="22"/>
        </w:rPr>
        <w:t xml:space="preserve">in </w:t>
      </w:r>
      <w:r w:rsidR="00E01335">
        <w:rPr>
          <w:rFonts w:cs="Times New Roman"/>
          <w:szCs w:val="22"/>
        </w:rPr>
        <w:t>unterschiedlich</w:t>
      </w:r>
      <w:r w:rsidR="00711B18">
        <w:rPr>
          <w:rFonts w:cs="Times New Roman"/>
          <w:szCs w:val="22"/>
        </w:rPr>
        <w:t>em Maß,</w:t>
      </w:r>
      <w:r w:rsidR="00E01335">
        <w:rPr>
          <w:rFonts w:cs="Times New Roman"/>
          <w:szCs w:val="22"/>
        </w:rPr>
        <w:t xml:space="preserve"> bete</w:t>
      </w:r>
      <w:r w:rsidR="00E01335">
        <w:rPr>
          <w:rFonts w:cs="Times New Roman"/>
          <w:szCs w:val="22"/>
        </w:rPr>
        <w:t>i</w:t>
      </w:r>
      <w:r w:rsidR="00E01335">
        <w:rPr>
          <w:rFonts w:cs="Times New Roman"/>
          <w:szCs w:val="22"/>
        </w:rPr>
        <w:t>ligt sind</w:t>
      </w:r>
      <w:r w:rsidR="00711B18">
        <w:rPr>
          <w:rFonts w:cs="Times New Roman"/>
          <w:szCs w:val="22"/>
        </w:rPr>
        <w:t>: D</w:t>
      </w:r>
      <w:r w:rsidR="00E01335">
        <w:rPr>
          <w:rFonts w:cs="Times New Roman"/>
          <w:szCs w:val="22"/>
        </w:rPr>
        <w:t xml:space="preserve">ie höchsten </w:t>
      </w:r>
      <w:r w:rsidR="00054178">
        <w:rPr>
          <w:rFonts w:cs="Times New Roman"/>
          <w:szCs w:val="22"/>
        </w:rPr>
        <w:t xml:space="preserve">Steigerungsraten werden durch Befragte aus den Altersgruppen 18 Jahre und älter berichtet </w:t>
      </w:r>
      <w:r w:rsidR="0059452E">
        <w:rPr>
          <w:rFonts w:cs="Times New Roman"/>
          <w:szCs w:val="22"/>
        </w:rPr>
        <w:t>(vgl. Abbildung 8</w:t>
      </w:r>
      <w:r w:rsidR="00054178">
        <w:rPr>
          <w:rFonts w:cs="Times New Roman"/>
          <w:szCs w:val="22"/>
        </w:rPr>
        <w:t>)</w:t>
      </w:r>
      <w:r w:rsidR="00E01335">
        <w:rPr>
          <w:rFonts w:cs="Times New Roman"/>
          <w:szCs w:val="22"/>
        </w:rPr>
        <w:t>.</w:t>
      </w:r>
    </w:p>
    <w:p w14:paraId="1CDB65AD" w14:textId="77777777" w:rsidR="00DC2AAE" w:rsidRDefault="00DC2AAE" w:rsidP="009D7629">
      <w:pPr>
        <w:spacing w:line="276" w:lineRule="auto"/>
        <w:jc w:val="both"/>
        <w:rPr>
          <w:rFonts w:cs="Times New Roman"/>
          <w:szCs w:val="22"/>
        </w:rPr>
      </w:pPr>
    </w:p>
    <w:p w14:paraId="284FFC10" w14:textId="77777777" w:rsidR="00FE2D07" w:rsidRDefault="00DC2AAE" w:rsidP="001E7306">
      <w:pPr>
        <w:keepNext/>
        <w:spacing w:line="276" w:lineRule="auto"/>
        <w:ind w:firstLine="142"/>
        <w:jc w:val="both"/>
      </w:pPr>
      <w:r>
        <w:rPr>
          <w:noProof/>
        </w:rPr>
        <w:drawing>
          <wp:inline distT="0" distB="0" distL="0" distR="0" wp14:anchorId="59A4978F" wp14:editId="46CD0839">
            <wp:extent cx="5600843" cy="2743200"/>
            <wp:effectExtent l="0" t="0" r="12700" b="2540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EDDA76" w14:textId="3DB0D02C" w:rsidR="00C3775B" w:rsidRDefault="00FE2D07" w:rsidP="009D7629">
      <w:pPr>
        <w:pStyle w:val="Beschriftung"/>
        <w:jc w:val="both"/>
      </w:pPr>
      <w:r>
        <w:t xml:space="preserve">Abbildung </w:t>
      </w:r>
      <w:fldSimple w:instr=" SEQ Abbildung \* ARABIC ">
        <w:r w:rsidR="00B86830">
          <w:rPr>
            <w:noProof/>
          </w:rPr>
          <w:t>8</w:t>
        </w:r>
      </w:fldSimple>
      <w:r>
        <w:t>: Konsumraten</w:t>
      </w:r>
      <w:r w:rsidR="002A05FC">
        <w:t xml:space="preserve"> (</w:t>
      </w:r>
      <w:r w:rsidR="00711B18">
        <w:t>„</w:t>
      </w:r>
      <w:r w:rsidR="002A05FC">
        <w:t>ein Mal pro Monat</w:t>
      </w:r>
      <w:r w:rsidR="00711B18">
        <w:t>“</w:t>
      </w:r>
      <w:r w:rsidR="002A05FC">
        <w:t>)</w:t>
      </w:r>
      <w:r>
        <w:t xml:space="preserve"> in der Bevölkerung des Bundesstaates Colorado nach A</w:t>
      </w:r>
      <w:r>
        <w:t>l</w:t>
      </w:r>
      <w:r>
        <w:t>tersgruppen</w:t>
      </w:r>
      <w:r w:rsidR="002A05FC">
        <w:t xml:space="preserve"> und im Zeitverlauf</w:t>
      </w:r>
      <w:r w:rsidR="006E0374">
        <w:t xml:space="preserve"> (vgl. SAMHSA 2012 und 2015</w:t>
      </w:r>
      <w:r>
        <w:t>)</w:t>
      </w:r>
    </w:p>
    <w:p w14:paraId="16C4B477" w14:textId="4CC7C907" w:rsidR="00054178" w:rsidRDefault="009D7629" w:rsidP="00054178">
      <w:pPr>
        <w:spacing w:line="276" w:lineRule="auto"/>
        <w:jc w:val="both"/>
        <w:rPr>
          <w:rFonts w:cs="Times New Roman"/>
          <w:szCs w:val="22"/>
        </w:rPr>
      </w:pPr>
      <w:r>
        <w:rPr>
          <w:rFonts w:cs="Times New Roman"/>
          <w:szCs w:val="22"/>
        </w:rPr>
        <w:t>Interessant ist, dass sich bezogen auf den Neugier-Konsum in Colorado ein ähnliches Bild da</w:t>
      </w:r>
      <w:r>
        <w:rPr>
          <w:rFonts w:cs="Times New Roman"/>
          <w:szCs w:val="22"/>
        </w:rPr>
        <w:t>r</w:t>
      </w:r>
      <w:r>
        <w:rPr>
          <w:rFonts w:cs="Times New Roman"/>
          <w:szCs w:val="22"/>
        </w:rPr>
        <w:t xml:space="preserve">stellt, wie bereits </w:t>
      </w:r>
      <w:r w:rsidR="00711B18">
        <w:rPr>
          <w:rFonts w:cs="Times New Roman"/>
          <w:szCs w:val="22"/>
        </w:rPr>
        <w:t>im</w:t>
      </w:r>
      <w:r>
        <w:rPr>
          <w:rFonts w:cs="Times New Roman"/>
          <w:szCs w:val="22"/>
        </w:rPr>
        <w:t xml:space="preserve"> Bundesstaat Washington:</w:t>
      </w:r>
      <w:r w:rsidR="00054178">
        <w:rPr>
          <w:rFonts w:cs="Times New Roman"/>
          <w:szCs w:val="22"/>
        </w:rPr>
        <w:t xml:space="preserve"> Auch </w:t>
      </w:r>
      <w:r w:rsidR="00711B18">
        <w:rPr>
          <w:rFonts w:cs="Times New Roman"/>
          <w:szCs w:val="22"/>
        </w:rPr>
        <w:t>hier</w:t>
      </w:r>
      <w:r w:rsidR="00054178">
        <w:rPr>
          <w:rFonts w:cs="Times New Roman"/>
          <w:szCs w:val="22"/>
        </w:rPr>
        <w:t xml:space="preserve"> stiegen die Raten für einen sporad</w:t>
      </w:r>
      <w:r w:rsidR="00054178">
        <w:rPr>
          <w:rFonts w:cs="Times New Roman"/>
          <w:szCs w:val="22"/>
        </w:rPr>
        <w:t>i</w:t>
      </w:r>
      <w:r w:rsidR="00054178">
        <w:rPr>
          <w:rFonts w:cs="Times New Roman"/>
          <w:szCs w:val="22"/>
        </w:rPr>
        <w:t>schen Konsum (</w:t>
      </w:r>
      <w:r w:rsidR="00711B18">
        <w:rPr>
          <w:rFonts w:cs="Times New Roman"/>
          <w:szCs w:val="22"/>
        </w:rPr>
        <w:t>„E</w:t>
      </w:r>
      <w:r w:rsidR="00054178">
        <w:rPr>
          <w:rFonts w:cs="Times New Roman"/>
          <w:szCs w:val="22"/>
        </w:rPr>
        <w:t>in Mal pro Jahr</w:t>
      </w:r>
      <w:r w:rsidR="00711B18">
        <w:rPr>
          <w:rFonts w:cs="Times New Roman"/>
          <w:szCs w:val="22"/>
        </w:rPr>
        <w:t>“</w:t>
      </w:r>
      <w:r w:rsidR="00054178">
        <w:rPr>
          <w:rFonts w:cs="Times New Roman"/>
          <w:szCs w:val="22"/>
        </w:rPr>
        <w:t xml:space="preserve">) </w:t>
      </w:r>
      <w:r w:rsidR="008B5D38">
        <w:rPr>
          <w:rFonts w:cs="Times New Roman"/>
          <w:szCs w:val="22"/>
        </w:rPr>
        <w:t>mit Beginn</w:t>
      </w:r>
      <w:r w:rsidR="00054178">
        <w:rPr>
          <w:rFonts w:cs="Times New Roman"/>
          <w:szCs w:val="22"/>
        </w:rPr>
        <w:t xml:space="preserve"> der </w:t>
      </w:r>
      <w:r w:rsidR="00D01097">
        <w:rPr>
          <w:rFonts w:cs="Times New Roman"/>
          <w:szCs w:val="22"/>
        </w:rPr>
        <w:t>Regulierung</w:t>
      </w:r>
      <w:r w:rsidR="008B5D38">
        <w:rPr>
          <w:rFonts w:cs="Times New Roman"/>
          <w:szCs w:val="22"/>
        </w:rPr>
        <w:t>sprozesse</w:t>
      </w:r>
      <w:r w:rsidR="00054178">
        <w:rPr>
          <w:rFonts w:cs="Times New Roman"/>
          <w:szCs w:val="22"/>
        </w:rPr>
        <w:t xml:space="preserve"> </w:t>
      </w:r>
      <w:r w:rsidR="00711B18">
        <w:rPr>
          <w:rFonts w:cs="Times New Roman"/>
          <w:szCs w:val="22"/>
        </w:rPr>
        <w:t xml:space="preserve">vor allem </w:t>
      </w:r>
      <w:r w:rsidR="00054178">
        <w:rPr>
          <w:rFonts w:cs="Times New Roman"/>
          <w:szCs w:val="22"/>
        </w:rPr>
        <w:t>in der Gru</w:t>
      </w:r>
      <w:r w:rsidR="00054178">
        <w:rPr>
          <w:rFonts w:cs="Times New Roman"/>
          <w:szCs w:val="22"/>
        </w:rPr>
        <w:t>p</w:t>
      </w:r>
      <w:r w:rsidR="00054178">
        <w:rPr>
          <w:rFonts w:cs="Times New Roman"/>
          <w:szCs w:val="22"/>
        </w:rPr>
        <w:t>pe der Älteren (älter als 26 Jahre) sprunghaft an, während von anderen Altersgruppen eher stabile (12-17</w:t>
      </w:r>
      <w:r w:rsidR="00711B18">
        <w:rPr>
          <w:rFonts w:cs="Times New Roman"/>
          <w:szCs w:val="22"/>
        </w:rPr>
        <w:t>-Jährige</w:t>
      </w:r>
      <w:r w:rsidR="00054178">
        <w:rPr>
          <w:rFonts w:cs="Times New Roman"/>
          <w:szCs w:val="22"/>
        </w:rPr>
        <w:t>) oder sogar rückläufige Raten berichtet werden (</w:t>
      </w:r>
      <w:r w:rsidR="00054178">
        <w:rPr>
          <w:szCs w:val="22"/>
        </w:rPr>
        <w:t>SAMHSA 2012 und 2015</w:t>
      </w:r>
      <w:r w:rsidR="0059452E">
        <w:rPr>
          <w:szCs w:val="22"/>
        </w:rPr>
        <w:t>)(vgl. Abbildung 9</w:t>
      </w:r>
      <w:r w:rsidR="00054178" w:rsidRPr="002A05FC">
        <w:rPr>
          <w:szCs w:val="22"/>
        </w:rPr>
        <w:t>).</w:t>
      </w:r>
      <w:r w:rsidR="00054178">
        <w:rPr>
          <w:rFonts w:cs="Times New Roman"/>
          <w:szCs w:val="22"/>
        </w:rPr>
        <w:t xml:space="preserve"> </w:t>
      </w:r>
    </w:p>
    <w:p w14:paraId="3CEB1C9B" w14:textId="014031D7" w:rsidR="009D7629" w:rsidRPr="009D7629" w:rsidRDefault="009D7629" w:rsidP="009D7629">
      <w:pPr>
        <w:jc w:val="both"/>
      </w:pPr>
    </w:p>
    <w:p w14:paraId="65D6E7CB" w14:textId="3DA2C8A3" w:rsidR="00C3775B" w:rsidRDefault="00DC2AAE" w:rsidP="001E7306">
      <w:pPr>
        <w:keepNext/>
        <w:spacing w:line="276" w:lineRule="auto"/>
        <w:ind w:firstLine="142"/>
        <w:jc w:val="both"/>
      </w:pPr>
      <w:r>
        <w:rPr>
          <w:noProof/>
        </w:rPr>
        <w:drawing>
          <wp:inline distT="0" distB="0" distL="0" distR="0" wp14:anchorId="28F7DE46" wp14:editId="40485BC9">
            <wp:extent cx="5600843" cy="2743200"/>
            <wp:effectExtent l="0" t="0" r="12700" b="2540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2963C86" w14:textId="567DA4A0" w:rsidR="00AA327C" w:rsidRDefault="00C3775B" w:rsidP="009D7629">
      <w:pPr>
        <w:pStyle w:val="Beschriftung"/>
        <w:spacing w:line="276" w:lineRule="auto"/>
        <w:jc w:val="both"/>
      </w:pPr>
      <w:r>
        <w:t xml:space="preserve">Abbildung </w:t>
      </w:r>
      <w:fldSimple w:instr=" SEQ Abbildung \* ARABIC ">
        <w:r w:rsidR="00B86830">
          <w:rPr>
            <w:noProof/>
          </w:rPr>
          <w:t>9</w:t>
        </w:r>
      </w:fldSimple>
      <w:r>
        <w:t xml:space="preserve">: Entwicklung der Konsumraten für </w:t>
      </w:r>
      <w:r w:rsidR="002A05FC">
        <w:t>Neugier</w:t>
      </w:r>
      <w:r>
        <w:t xml:space="preserve">-Konsum (Konsum im letzten </w:t>
      </w:r>
      <w:r w:rsidR="002A05FC">
        <w:t>Jahr</w:t>
      </w:r>
      <w:r>
        <w:t xml:space="preserve">) </w:t>
      </w:r>
      <w:r w:rsidR="002A05FC">
        <w:t xml:space="preserve">im Bundesstaat Colorado </w:t>
      </w:r>
      <w:r>
        <w:t xml:space="preserve">nach Altersgruppen </w:t>
      </w:r>
      <w:r w:rsidR="002A05FC">
        <w:t>und im Zeitve</w:t>
      </w:r>
      <w:r w:rsidR="006E0374">
        <w:t>rlauf (vgl. SAMHSA 2012 und 2015</w:t>
      </w:r>
      <w:r w:rsidR="002A05FC">
        <w:t>)</w:t>
      </w:r>
      <w:r>
        <w:t xml:space="preserve"> </w:t>
      </w:r>
    </w:p>
    <w:p w14:paraId="643226FA" w14:textId="74861AE8" w:rsidR="00D47191" w:rsidRPr="00AF3BA7" w:rsidRDefault="00D47191" w:rsidP="009D7629">
      <w:pPr>
        <w:pStyle w:val="berschrift2"/>
        <w:spacing w:line="276" w:lineRule="auto"/>
        <w:jc w:val="both"/>
      </w:pPr>
      <w:bookmarkStart w:id="25" w:name="_Toc349300354"/>
      <w:r w:rsidRPr="00AF3BA7">
        <w:t>Drogenpolitische Schlussfolgerungen</w:t>
      </w:r>
      <w:bookmarkEnd w:id="25"/>
    </w:p>
    <w:p w14:paraId="53065FC5" w14:textId="007D5FBF" w:rsidR="00812F1E" w:rsidRDefault="00CE46B8" w:rsidP="009D7629">
      <w:pPr>
        <w:spacing w:line="276" w:lineRule="auto"/>
        <w:jc w:val="both"/>
      </w:pPr>
      <w:r w:rsidRPr="002E78A9">
        <w:t xml:space="preserve">Die vorliegenden </w:t>
      </w:r>
      <w:r w:rsidR="00711B18">
        <w:t xml:space="preserve">Daten zur </w:t>
      </w:r>
      <w:r w:rsidR="00711B18">
        <w:rPr>
          <w:szCs w:val="22"/>
        </w:rPr>
        <w:t>30-Tage-Prävalenz</w:t>
      </w:r>
      <w:r w:rsidRPr="002E78A9">
        <w:t xml:space="preserve"> und </w:t>
      </w:r>
      <w:r w:rsidR="00711B18">
        <w:t>zu sporadischem</w:t>
      </w:r>
      <w:r w:rsidRPr="002E78A9">
        <w:t xml:space="preserve"> Konsum</w:t>
      </w:r>
      <w:r w:rsidR="00711B18">
        <w:t xml:space="preserve"> </w:t>
      </w:r>
      <w:r w:rsidR="00307346">
        <w:t>(</w:t>
      </w:r>
      <w:r w:rsidR="00711B18">
        <w:t xml:space="preserve">„Ein Mal </w:t>
      </w:r>
      <w:r w:rsidR="00307346">
        <w:t>im let</w:t>
      </w:r>
      <w:r w:rsidR="00307346">
        <w:t>z</w:t>
      </w:r>
      <w:r w:rsidR="00307346">
        <w:t>ten Jahr</w:t>
      </w:r>
      <w:r w:rsidR="00711B18">
        <w:t>“</w:t>
      </w:r>
      <w:r w:rsidR="00307346">
        <w:t xml:space="preserve">) </w:t>
      </w:r>
      <w:r w:rsidRPr="002E78A9">
        <w:t xml:space="preserve">stützen die Hypothese, dass drogenpolitische Regelungen nur bedingt Einfluss auf die Verbreitung des Konsums einer </w:t>
      </w:r>
      <w:r w:rsidR="00711B18">
        <w:t xml:space="preserve">psycho-aktiven </w:t>
      </w:r>
      <w:r w:rsidRPr="002E78A9">
        <w:t>Sub</w:t>
      </w:r>
      <w:r w:rsidR="00984009" w:rsidRPr="002E78A9">
        <w:t>stanz in der Bevölkerung haben</w:t>
      </w:r>
      <w:r w:rsidR="00307346">
        <w:t xml:space="preserve">. </w:t>
      </w:r>
      <w:r w:rsidR="0082324E">
        <w:t xml:space="preserve">Auch nach </w:t>
      </w:r>
      <w:r w:rsidR="008B5D38">
        <w:t xml:space="preserve">Beginn </w:t>
      </w:r>
      <w:r w:rsidR="0082324E">
        <w:t xml:space="preserve">der </w:t>
      </w:r>
      <w:r w:rsidR="00D01097">
        <w:t>Regulierung</w:t>
      </w:r>
      <w:r w:rsidR="008B5D38">
        <w:t>sprozesse</w:t>
      </w:r>
      <w:r w:rsidR="0082324E">
        <w:t xml:space="preserve"> haben sich in beiden Bundesstaaten die schon länger erken</w:t>
      </w:r>
      <w:r w:rsidR="0082324E">
        <w:t>n</w:t>
      </w:r>
      <w:r w:rsidR="0082324E">
        <w:t xml:space="preserve">baren Tendenzen des Anstieges der </w:t>
      </w:r>
      <w:r w:rsidR="00711B18">
        <w:t>Marihuana-</w:t>
      </w:r>
      <w:r w:rsidR="0082324E">
        <w:t xml:space="preserve">Konsumraten in allen Altersgruppen fortgesetzt. Dabei unterscheiden sich die beiden Bundesstaaten darin, welche Altersgruppen jeweils an dem Gesamtanstieg der </w:t>
      </w:r>
      <w:r w:rsidR="002D6028">
        <w:rPr>
          <w:szCs w:val="22"/>
        </w:rPr>
        <w:t>30-Tage-Prävalenz</w:t>
      </w:r>
      <w:r w:rsidR="0082324E">
        <w:t xml:space="preserve"> beteiligt sind</w:t>
      </w:r>
      <w:r w:rsidR="006E0374">
        <w:t>. Diese Unterschiede sind insofern beme</w:t>
      </w:r>
      <w:r w:rsidR="006E0374">
        <w:t>r</w:t>
      </w:r>
      <w:r w:rsidR="006E0374">
        <w:t>kenswert</w:t>
      </w:r>
      <w:r w:rsidR="0082324E">
        <w:t xml:space="preserve">, </w:t>
      </w:r>
      <w:r w:rsidR="006E0374">
        <w:t>da</w:t>
      </w:r>
      <w:r w:rsidR="0082324E">
        <w:t xml:space="preserve"> in beiden Bundesstaaten für Jugendliche und Heranwachsende (12-25 Jahre) ve</w:t>
      </w:r>
      <w:r w:rsidR="0082324E">
        <w:t>r</w:t>
      </w:r>
      <w:r w:rsidR="0082324E">
        <w:t>gleichbare prohibitive Regeln vorliegen. Dies unterstreicht, dass drogengesetzgeberische Reg</w:t>
      </w:r>
      <w:r w:rsidR="0082324E">
        <w:t>e</w:t>
      </w:r>
      <w:r w:rsidR="0082324E">
        <w:t xml:space="preserve">lungen </w:t>
      </w:r>
      <w:r w:rsidR="002A05FC">
        <w:t xml:space="preserve">im Vergleich zu anderen sozialen Bezügen </w:t>
      </w:r>
      <w:r w:rsidR="0082324E">
        <w:t>relativ wenig Einfluss auf die Verbreitung e</w:t>
      </w:r>
      <w:r w:rsidR="0082324E">
        <w:t>i</w:t>
      </w:r>
      <w:r w:rsidR="0082324E">
        <w:t>ner Substanz haben.</w:t>
      </w:r>
      <w:r w:rsidR="00812F1E">
        <w:t xml:space="preserve"> </w:t>
      </w:r>
    </w:p>
    <w:p w14:paraId="02A1580E" w14:textId="77777777" w:rsidR="006E0374" w:rsidRDefault="006E0374" w:rsidP="009D7629">
      <w:pPr>
        <w:spacing w:line="276" w:lineRule="auto"/>
        <w:jc w:val="both"/>
      </w:pPr>
    </w:p>
    <w:p w14:paraId="5A23E033" w14:textId="13D4F3B8" w:rsidR="00812F1E" w:rsidRDefault="002D6028" w:rsidP="009D7629">
      <w:pPr>
        <w:spacing w:line="276" w:lineRule="auto"/>
        <w:jc w:val="both"/>
      </w:pPr>
      <w:r>
        <w:t xml:space="preserve">Die </w:t>
      </w:r>
      <w:r w:rsidR="00984009" w:rsidRPr="002E78A9">
        <w:t>Hypothese</w:t>
      </w:r>
      <w:r w:rsidR="00307346">
        <w:t xml:space="preserve"> </w:t>
      </w:r>
      <w:r>
        <w:t>vo</w:t>
      </w:r>
      <w:r w:rsidR="00711B18">
        <w:t xml:space="preserve">m </w:t>
      </w:r>
      <w:r w:rsidR="006E0374">
        <w:t>geringen Einfluss drogenpolitischer Regelungen auf die Konsumra</w:t>
      </w:r>
      <w:r w:rsidR="00711B18">
        <w:t>ten ist</w:t>
      </w:r>
      <w:r w:rsidR="002A05FC">
        <w:t xml:space="preserve"> nicht neu, sondern </w:t>
      </w:r>
      <w:r w:rsidR="00307346">
        <w:t xml:space="preserve">wurde </w:t>
      </w:r>
      <w:r w:rsidR="00711B18" w:rsidRPr="002E78A9">
        <w:t xml:space="preserve">bereits von </w:t>
      </w:r>
      <w:r w:rsidR="00711B18" w:rsidRPr="00711B18">
        <w:rPr>
          <w:i/>
        </w:rPr>
        <w:t>Reuband</w:t>
      </w:r>
      <w:r w:rsidR="00711B18" w:rsidRPr="002E78A9">
        <w:t xml:space="preserve"> </w:t>
      </w:r>
      <w:r w:rsidR="00984009" w:rsidRPr="002E78A9">
        <w:t xml:space="preserve">mit Blick auf die Gleichzeitigkeit </w:t>
      </w:r>
      <w:r w:rsidR="00AF3BA7" w:rsidRPr="002E78A9">
        <w:t>epidemiolog</w:t>
      </w:r>
      <w:r w:rsidR="00AF3BA7" w:rsidRPr="002E78A9">
        <w:t>i</w:t>
      </w:r>
      <w:r w:rsidR="00AF3BA7" w:rsidRPr="002E78A9">
        <w:t>scher</w:t>
      </w:r>
      <w:r w:rsidR="00984009" w:rsidRPr="002E78A9">
        <w:t xml:space="preserve"> Entwicklungen </w:t>
      </w:r>
      <w:r w:rsidR="00711B18">
        <w:t>rund um den Drogenkonsum</w:t>
      </w:r>
      <w:r w:rsidR="00984009" w:rsidRPr="002E78A9">
        <w:t xml:space="preserve"> in den europäischen Ländern </w:t>
      </w:r>
      <w:r w:rsidR="00AF3BA7" w:rsidRPr="002E78A9">
        <w:t xml:space="preserve">und </w:t>
      </w:r>
      <w:r w:rsidR="002E78A9" w:rsidRPr="002E78A9">
        <w:t xml:space="preserve">damit </w:t>
      </w:r>
      <w:r w:rsidR="00AF3BA7" w:rsidRPr="002E78A9">
        <w:t>u</w:t>
      </w:r>
      <w:r w:rsidR="00AF3BA7" w:rsidRPr="002E78A9">
        <w:t>n</w:t>
      </w:r>
      <w:r w:rsidR="00AF3BA7" w:rsidRPr="002E78A9">
        <w:t xml:space="preserve">abhängig von den jeweils praktizierten Politikmodellen </w:t>
      </w:r>
      <w:r w:rsidR="001E15D6">
        <w:t>formuliert und belegt</w:t>
      </w:r>
      <w:r w:rsidR="00AF3BA7" w:rsidRPr="002E78A9">
        <w:t xml:space="preserve"> (vgl. Reuband 2009, S. 187)</w:t>
      </w:r>
      <w:r w:rsidR="001E15D6">
        <w:t>. Diese</w:t>
      </w:r>
      <w:r w:rsidR="00711B18">
        <w:t xml:space="preserve"> findet nun im Zuge der </w:t>
      </w:r>
      <w:r w:rsidR="00D01097">
        <w:t>Regulierung</w:t>
      </w:r>
      <w:r w:rsidR="00307346">
        <w:t xml:space="preserve"> des </w:t>
      </w:r>
      <w:r w:rsidR="00711B18">
        <w:t>Marihuana-</w:t>
      </w:r>
      <w:r w:rsidR="00307346">
        <w:t xml:space="preserve">Freizeitkonsums in Bundesstaaten </w:t>
      </w:r>
      <w:r w:rsidR="00711B18">
        <w:t xml:space="preserve">der USA </w:t>
      </w:r>
      <w:r w:rsidR="00307346">
        <w:t xml:space="preserve">erneut </w:t>
      </w:r>
      <w:r w:rsidR="001E15D6">
        <w:t>ihre</w:t>
      </w:r>
      <w:r w:rsidR="00307346">
        <w:t xml:space="preserve"> Bestätigung</w:t>
      </w:r>
      <w:r w:rsidR="00AF3BA7" w:rsidRPr="002E78A9">
        <w:t xml:space="preserve">. Bis heute </w:t>
      </w:r>
      <w:r w:rsidR="00711B18">
        <w:t xml:space="preserve">allerdings </w:t>
      </w:r>
      <w:r w:rsidR="00AF3BA7" w:rsidRPr="002E78A9">
        <w:t xml:space="preserve">ist unklar, wieweit </w:t>
      </w:r>
      <w:r>
        <w:t>verä</w:t>
      </w:r>
      <w:r>
        <w:t>n</w:t>
      </w:r>
      <w:r>
        <w:t>derte</w:t>
      </w:r>
      <w:r w:rsidR="00AF3BA7" w:rsidRPr="002E78A9">
        <w:t xml:space="preserve"> Le</w:t>
      </w:r>
      <w:r w:rsidR="00984009" w:rsidRPr="002E78A9">
        <w:t>bensstile der Jugendlichen, eine andere Wahrnehmung der Risiken, ein Umstieg auf l</w:t>
      </w:r>
      <w:r w:rsidR="00984009" w:rsidRPr="002E78A9">
        <w:t>e</w:t>
      </w:r>
      <w:r w:rsidR="00984009" w:rsidRPr="002E78A9">
        <w:t xml:space="preserve">gale </w:t>
      </w:r>
      <w:r w:rsidR="00AF3BA7" w:rsidRPr="002E78A9">
        <w:t>(</w:t>
      </w:r>
      <w:r w:rsidR="00984009" w:rsidRPr="002E78A9">
        <w:t>Alkohol</w:t>
      </w:r>
      <w:r w:rsidR="00AF3BA7" w:rsidRPr="002E78A9">
        <w:t xml:space="preserve">) oder </w:t>
      </w:r>
      <w:r>
        <w:t xml:space="preserve">auf </w:t>
      </w:r>
      <w:r w:rsidR="00AF3BA7" w:rsidRPr="002E78A9">
        <w:t>andere illegalisierte Drogen</w:t>
      </w:r>
      <w:r w:rsidR="00307346">
        <w:t>,</w:t>
      </w:r>
      <w:r w:rsidR="00AF3BA7" w:rsidRPr="002E78A9">
        <w:t xml:space="preserve"> </w:t>
      </w:r>
      <w:r>
        <w:t>ein</w:t>
      </w:r>
      <w:r w:rsidR="00984009" w:rsidRPr="002E78A9">
        <w:t xml:space="preserve"> </w:t>
      </w:r>
      <w:r w:rsidR="002E78A9" w:rsidRPr="002E78A9">
        <w:t>rückläufige</w:t>
      </w:r>
      <w:r>
        <w:t>r</w:t>
      </w:r>
      <w:r w:rsidR="00984009" w:rsidRPr="002E78A9">
        <w:t xml:space="preserve"> Zigarettenkonsum</w:t>
      </w:r>
      <w:r w:rsidR="00AF3BA7" w:rsidRPr="002E78A9">
        <w:t xml:space="preserve"> </w:t>
      </w:r>
      <w:r w:rsidR="00307346" w:rsidRPr="002E78A9">
        <w:t xml:space="preserve">oder </w:t>
      </w:r>
      <w:r w:rsidR="00307346">
        <w:t xml:space="preserve">noch ganz andere Faktoren </w:t>
      </w:r>
      <w:r w:rsidR="00307346" w:rsidRPr="002E78A9">
        <w:t>Einfluss</w:t>
      </w:r>
      <w:r w:rsidR="00307346">
        <w:t xml:space="preserve"> auf </w:t>
      </w:r>
      <w:r w:rsidR="00AF3BA7" w:rsidRPr="002E78A9">
        <w:t xml:space="preserve">die Verbreitung des </w:t>
      </w:r>
      <w:r w:rsidR="00984009" w:rsidRPr="002E78A9">
        <w:t xml:space="preserve">Cannabiskonsums </w:t>
      </w:r>
      <w:r w:rsidR="00307346">
        <w:t>haben</w:t>
      </w:r>
      <w:r w:rsidR="00AF3BA7" w:rsidRPr="002E78A9">
        <w:t xml:space="preserve"> (vgl. ebe</w:t>
      </w:r>
      <w:r w:rsidR="00AF3BA7" w:rsidRPr="002E78A9">
        <w:t>n</w:t>
      </w:r>
      <w:r w:rsidR="00AF3BA7" w:rsidRPr="002E78A9">
        <w:t xml:space="preserve">da). </w:t>
      </w:r>
      <w:r>
        <w:t>Diesen Bezügen</w:t>
      </w:r>
      <w:r w:rsidR="006E0374">
        <w:t xml:space="preserve"> sollte deshalb in Forschungen </w:t>
      </w:r>
      <w:r w:rsidR="00711B18">
        <w:t xml:space="preserve">weiter </w:t>
      </w:r>
      <w:r w:rsidR="006E0374">
        <w:t>nachgegangen werden.</w:t>
      </w:r>
    </w:p>
    <w:p w14:paraId="5064BB36" w14:textId="08C682A7" w:rsidR="007C1A22" w:rsidRDefault="00307346" w:rsidP="009D7629">
      <w:pPr>
        <w:spacing w:line="276" w:lineRule="auto"/>
        <w:jc w:val="both"/>
        <w:rPr>
          <w:szCs w:val="22"/>
        </w:rPr>
      </w:pPr>
      <w:r>
        <w:t>In den</w:t>
      </w:r>
      <w:r w:rsidR="002E78A9" w:rsidRPr="002E78A9">
        <w:t xml:space="preserve"> bisher vorliegenden Erfahrungen mit </w:t>
      </w:r>
      <w:r w:rsidR="00D01097">
        <w:t>Regulierung</w:t>
      </w:r>
      <w:r w:rsidR="008B5D38">
        <w:t>sprozessen</w:t>
      </w:r>
      <w:r w:rsidR="002E78A9" w:rsidRPr="002E78A9">
        <w:t xml:space="preserve"> in Washington und Color</w:t>
      </w:r>
      <w:r w:rsidR="002E78A9" w:rsidRPr="002E78A9">
        <w:t>a</w:t>
      </w:r>
      <w:r w:rsidR="002E78A9" w:rsidRPr="002E78A9">
        <w:t xml:space="preserve">do </w:t>
      </w:r>
      <w:r>
        <w:t xml:space="preserve">scheint auf, </w:t>
      </w:r>
      <w:r w:rsidR="002E78A9" w:rsidRPr="002E78A9">
        <w:t xml:space="preserve">dass es vor allem die als besonders wichtig angesehenen Normen </w:t>
      </w:r>
      <w:r w:rsidR="000E7234">
        <w:t>(</w:t>
      </w:r>
      <w:r w:rsidR="00711B18">
        <w:t>im A</w:t>
      </w:r>
      <w:r w:rsidR="002E78A9">
        <w:t>llgeme</w:t>
      </w:r>
      <w:r w:rsidR="002E78A9">
        <w:t>i</w:t>
      </w:r>
      <w:r w:rsidR="002E78A9">
        <w:t>nen und bezoge</w:t>
      </w:r>
      <w:r w:rsidR="007C1A22">
        <w:t>n auf den Umgang mit Drogen im B</w:t>
      </w:r>
      <w:r w:rsidR="002E78A9">
        <w:t>esonderen</w:t>
      </w:r>
      <w:r w:rsidR="000E7234">
        <w:t>)</w:t>
      </w:r>
      <w:r w:rsidR="007C1A22">
        <w:t xml:space="preserve"> </w:t>
      </w:r>
      <w:r w:rsidR="002E78A9" w:rsidRPr="002E78A9">
        <w:t>innerhalb einer Peer-Gruppe oder eines kulturellen Milieus sind, die über die Aufnahme und den Fortbestand eines Drogenko</w:t>
      </w:r>
      <w:r w:rsidR="002E78A9" w:rsidRPr="002E78A9">
        <w:t>n</w:t>
      </w:r>
      <w:r w:rsidR="002E78A9" w:rsidRPr="002E78A9">
        <w:t xml:space="preserve">sums entscheiden </w:t>
      </w:r>
      <w:r w:rsidR="002E78A9">
        <w:t>(vgl.</w:t>
      </w:r>
      <w:r w:rsidR="007C1A22">
        <w:t xml:space="preserve"> u. a. </w:t>
      </w:r>
      <w:r w:rsidR="002E78A9">
        <w:t xml:space="preserve"> </w:t>
      </w:r>
      <w:r w:rsidR="007C1A22">
        <w:rPr>
          <w:szCs w:val="22"/>
        </w:rPr>
        <w:t>Martens, Page, Mowry, Damann, Tayl</w:t>
      </w:r>
      <w:r w:rsidR="00B339D8">
        <w:rPr>
          <w:szCs w:val="22"/>
        </w:rPr>
        <w:t>or und Cimini 2006</w:t>
      </w:r>
      <w:r w:rsidR="007C1A22">
        <w:rPr>
          <w:szCs w:val="22"/>
        </w:rPr>
        <w:t xml:space="preserve">). </w:t>
      </w:r>
      <w:r w:rsidR="000E7234">
        <w:rPr>
          <w:szCs w:val="22"/>
        </w:rPr>
        <w:t xml:space="preserve">Diese Faktoren sind </w:t>
      </w:r>
      <w:r w:rsidR="00711B18">
        <w:rPr>
          <w:szCs w:val="22"/>
        </w:rPr>
        <w:t xml:space="preserve">jedoch </w:t>
      </w:r>
      <w:r w:rsidR="000E7234">
        <w:rPr>
          <w:szCs w:val="22"/>
        </w:rPr>
        <w:t>einer direkten politischen Einflussnahme eher nicht zugänglich.</w:t>
      </w:r>
    </w:p>
    <w:p w14:paraId="428F07A0" w14:textId="77777777" w:rsidR="00711B18" w:rsidRDefault="00711B18" w:rsidP="009D7629">
      <w:pPr>
        <w:spacing w:line="276" w:lineRule="auto"/>
        <w:jc w:val="both"/>
        <w:rPr>
          <w:szCs w:val="22"/>
        </w:rPr>
      </w:pPr>
    </w:p>
    <w:p w14:paraId="08F3B458" w14:textId="76AC1960" w:rsidR="00AF26CF" w:rsidRDefault="00711B18" w:rsidP="009D7629">
      <w:pPr>
        <w:spacing w:line="276" w:lineRule="auto"/>
        <w:jc w:val="both"/>
        <w:rPr>
          <w:szCs w:val="22"/>
        </w:rPr>
      </w:pPr>
      <w:r>
        <w:rPr>
          <w:szCs w:val="22"/>
        </w:rPr>
        <w:t xml:space="preserve">Zudem </w:t>
      </w:r>
      <w:r w:rsidR="007C1A22">
        <w:rPr>
          <w:szCs w:val="22"/>
        </w:rPr>
        <w:t xml:space="preserve">sollte der </w:t>
      </w:r>
      <w:r w:rsidR="000E7234">
        <w:rPr>
          <w:szCs w:val="22"/>
        </w:rPr>
        <w:t>indirekte</w:t>
      </w:r>
      <w:r w:rsidR="00AE34A2" w:rsidRPr="00762252">
        <w:rPr>
          <w:szCs w:val="22"/>
        </w:rPr>
        <w:t xml:space="preserve"> Einfluss von </w:t>
      </w:r>
      <w:r w:rsidR="002D38C5">
        <w:rPr>
          <w:szCs w:val="22"/>
        </w:rPr>
        <w:t>Maßnahmen der Entkrimi</w:t>
      </w:r>
      <w:r w:rsidR="00AE34A2" w:rsidRPr="00762252">
        <w:rPr>
          <w:szCs w:val="22"/>
        </w:rPr>
        <w:t xml:space="preserve">nalisierung und Regulierung </w:t>
      </w:r>
      <w:r w:rsidR="000E7234">
        <w:rPr>
          <w:szCs w:val="22"/>
        </w:rPr>
        <w:t xml:space="preserve">auf die Verbreitung des Konsums </w:t>
      </w:r>
      <w:r w:rsidR="007C1A22">
        <w:rPr>
          <w:szCs w:val="22"/>
        </w:rPr>
        <w:t xml:space="preserve">in den Blick </w:t>
      </w:r>
      <w:r w:rsidR="000E7234">
        <w:rPr>
          <w:szCs w:val="22"/>
        </w:rPr>
        <w:t xml:space="preserve">geprüft </w:t>
      </w:r>
      <w:r w:rsidR="007C1A22">
        <w:rPr>
          <w:szCs w:val="22"/>
        </w:rPr>
        <w:t>werden</w:t>
      </w:r>
      <w:r>
        <w:rPr>
          <w:szCs w:val="22"/>
        </w:rPr>
        <w:t>:</w:t>
      </w:r>
      <w:r w:rsidR="00AE34A2" w:rsidRPr="00762252">
        <w:rPr>
          <w:szCs w:val="22"/>
        </w:rPr>
        <w:t xml:space="preserve"> </w:t>
      </w:r>
      <w:r w:rsidR="00E12C08">
        <w:rPr>
          <w:szCs w:val="22"/>
        </w:rPr>
        <w:t>Hypothetisch lässt sich anne</w:t>
      </w:r>
      <w:r w:rsidR="00E12C08">
        <w:rPr>
          <w:szCs w:val="22"/>
        </w:rPr>
        <w:t>h</w:t>
      </w:r>
      <w:r w:rsidR="00E12C08">
        <w:rPr>
          <w:szCs w:val="22"/>
        </w:rPr>
        <w:t xml:space="preserve">men, dass </w:t>
      </w:r>
      <w:r w:rsidR="000E7234">
        <w:rPr>
          <w:szCs w:val="22"/>
        </w:rPr>
        <w:t>Liberalisierungsmaßnahmen</w:t>
      </w:r>
      <w:r w:rsidR="00AE34A2" w:rsidRPr="00762252">
        <w:rPr>
          <w:szCs w:val="22"/>
        </w:rPr>
        <w:t xml:space="preserve"> auf der einen Seite eine Entstigmatisierung von Kons</w:t>
      </w:r>
      <w:r w:rsidR="00AE34A2" w:rsidRPr="00762252">
        <w:rPr>
          <w:szCs w:val="22"/>
        </w:rPr>
        <w:t>u</w:t>
      </w:r>
      <w:r w:rsidR="00AE34A2" w:rsidRPr="00762252">
        <w:rPr>
          <w:szCs w:val="22"/>
        </w:rPr>
        <w:t>menten an</w:t>
      </w:r>
      <w:r w:rsidR="00E12C08" w:rsidRPr="00762252">
        <w:rPr>
          <w:szCs w:val="22"/>
        </w:rPr>
        <w:t>schieben</w:t>
      </w:r>
      <w:r w:rsidR="00AE34A2" w:rsidRPr="00762252">
        <w:rPr>
          <w:szCs w:val="22"/>
        </w:rPr>
        <w:t>, weshalb sich mehr potentielle Konsumenten zu einem Konsum von Mar</w:t>
      </w:r>
      <w:r w:rsidR="00AE34A2" w:rsidRPr="00762252">
        <w:rPr>
          <w:szCs w:val="22"/>
        </w:rPr>
        <w:t>i</w:t>
      </w:r>
      <w:r w:rsidR="00AE34A2" w:rsidRPr="00762252">
        <w:rPr>
          <w:szCs w:val="22"/>
        </w:rPr>
        <w:t xml:space="preserve">huana entschließen. </w:t>
      </w:r>
      <w:r w:rsidR="00E12C08">
        <w:rPr>
          <w:szCs w:val="22"/>
        </w:rPr>
        <w:t>Auf der anderen Seite</w:t>
      </w:r>
      <w:r w:rsidR="00AE34A2" w:rsidRPr="00762252">
        <w:rPr>
          <w:szCs w:val="22"/>
        </w:rPr>
        <w:t xml:space="preserve"> kommt aber auch eine Normalisierung des Umgangs mit dieser Substanz in Gang, der sich damit weniger gut als Statussymbol und Distinktion</w:t>
      </w:r>
      <w:r w:rsidR="009A27C2">
        <w:rPr>
          <w:szCs w:val="22"/>
        </w:rPr>
        <w:t>s</w:t>
      </w:r>
      <w:r w:rsidR="00AE34A2" w:rsidRPr="00762252">
        <w:rPr>
          <w:szCs w:val="22"/>
        </w:rPr>
        <w:t>med</w:t>
      </w:r>
      <w:r w:rsidR="00AE34A2" w:rsidRPr="00762252">
        <w:rPr>
          <w:szCs w:val="22"/>
        </w:rPr>
        <w:t>i</w:t>
      </w:r>
      <w:r w:rsidR="00AE34A2" w:rsidRPr="00762252">
        <w:rPr>
          <w:szCs w:val="22"/>
        </w:rPr>
        <w:t>um für opponieren</w:t>
      </w:r>
      <w:r w:rsidR="00AF26CF" w:rsidRPr="00762252">
        <w:rPr>
          <w:szCs w:val="22"/>
        </w:rPr>
        <w:t>de Lebensstile eig</w:t>
      </w:r>
      <w:r w:rsidR="007C1A22">
        <w:rPr>
          <w:szCs w:val="22"/>
        </w:rPr>
        <w:t>net</w:t>
      </w:r>
      <w:r w:rsidR="000E7234">
        <w:rPr>
          <w:szCs w:val="22"/>
        </w:rPr>
        <w:t>. Des</w:t>
      </w:r>
      <w:r w:rsidR="00AF26CF" w:rsidRPr="00762252">
        <w:rPr>
          <w:szCs w:val="22"/>
        </w:rPr>
        <w:t xml:space="preserve">halb </w:t>
      </w:r>
      <w:r w:rsidR="000E7234" w:rsidRPr="00762252">
        <w:rPr>
          <w:szCs w:val="22"/>
        </w:rPr>
        <w:t xml:space="preserve">verliert </w:t>
      </w:r>
      <w:r w:rsidR="00AF26CF" w:rsidRPr="00762252">
        <w:rPr>
          <w:szCs w:val="22"/>
        </w:rPr>
        <w:t xml:space="preserve">dieser Konsum für </w:t>
      </w:r>
      <w:r>
        <w:rPr>
          <w:szCs w:val="22"/>
        </w:rPr>
        <w:t>bestimmte</w:t>
      </w:r>
      <w:r w:rsidR="00AF26CF" w:rsidRPr="00762252">
        <w:rPr>
          <w:szCs w:val="22"/>
        </w:rPr>
        <w:t xml:space="preserve"> Bevö</w:t>
      </w:r>
      <w:r w:rsidR="00AF26CF" w:rsidRPr="00762252">
        <w:rPr>
          <w:szCs w:val="22"/>
        </w:rPr>
        <w:t>l</w:t>
      </w:r>
      <w:r w:rsidR="00AF26CF" w:rsidRPr="00762252">
        <w:rPr>
          <w:szCs w:val="22"/>
        </w:rPr>
        <w:t xml:space="preserve">kerungsgruppe an Attraktivität. </w:t>
      </w:r>
      <w:r w:rsidR="00E12C08">
        <w:rPr>
          <w:szCs w:val="22"/>
        </w:rPr>
        <w:t xml:space="preserve">Insofern können sich </w:t>
      </w:r>
      <w:r w:rsidR="00AF26CF" w:rsidRPr="00762252">
        <w:rPr>
          <w:szCs w:val="22"/>
        </w:rPr>
        <w:t>überlagernde Entwicklungen</w:t>
      </w:r>
      <w:r w:rsidR="00E12C08">
        <w:rPr>
          <w:szCs w:val="22"/>
        </w:rPr>
        <w:t xml:space="preserve"> angeno</w:t>
      </w:r>
      <w:r w:rsidR="00E12C08">
        <w:rPr>
          <w:szCs w:val="22"/>
        </w:rPr>
        <w:t>m</w:t>
      </w:r>
      <w:r w:rsidR="00E12C08">
        <w:rPr>
          <w:szCs w:val="22"/>
        </w:rPr>
        <w:t>men werden</w:t>
      </w:r>
      <w:r w:rsidR="00AF26CF" w:rsidRPr="00762252">
        <w:rPr>
          <w:szCs w:val="22"/>
        </w:rPr>
        <w:t xml:space="preserve">, </w:t>
      </w:r>
      <w:r w:rsidR="000E7234">
        <w:rPr>
          <w:szCs w:val="22"/>
        </w:rPr>
        <w:t xml:space="preserve">die sich </w:t>
      </w:r>
      <w:r w:rsidR="000E7234" w:rsidRPr="000E7234">
        <w:rPr>
          <w:i/>
          <w:szCs w:val="22"/>
        </w:rPr>
        <w:t>erstens</w:t>
      </w:r>
      <w:r w:rsidR="000E7234">
        <w:rPr>
          <w:szCs w:val="22"/>
        </w:rPr>
        <w:t xml:space="preserve"> mit den bisher durchgeführten Studiendesigns nicht erfassen la</w:t>
      </w:r>
      <w:r w:rsidR="000E7234">
        <w:rPr>
          <w:szCs w:val="22"/>
        </w:rPr>
        <w:t>s</w:t>
      </w:r>
      <w:r w:rsidR="000E7234">
        <w:rPr>
          <w:szCs w:val="22"/>
        </w:rPr>
        <w:t xml:space="preserve">sen, </w:t>
      </w:r>
      <w:r w:rsidR="00AF26CF" w:rsidRPr="00762252">
        <w:rPr>
          <w:szCs w:val="22"/>
        </w:rPr>
        <w:t xml:space="preserve">die </w:t>
      </w:r>
      <w:r w:rsidR="000E7234" w:rsidRPr="000E7234">
        <w:rPr>
          <w:i/>
          <w:szCs w:val="22"/>
        </w:rPr>
        <w:t>zweitens</w:t>
      </w:r>
      <w:r w:rsidR="000E7234">
        <w:rPr>
          <w:szCs w:val="22"/>
        </w:rPr>
        <w:t xml:space="preserve"> </w:t>
      </w:r>
      <w:r w:rsidR="00AF26CF" w:rsidRPr="00762252">
        <w:rPr>
          <w:szCs w:val="22"/>
        </w:rPr>
        <w:t xml:space="preserve">keine direkten Folgen drogenpolitischer Maßnahmen sind, aber </w:t>
      </w:r>
      <w:r w:rsidR="000E7234" w:rsidRPr="000E7234">
        <w:rPr>
          <w:i/>
          <w:szCs w:val="22"/>
        </w:rPr>
        <w:t>drittens</w:t>
      </w:r>
      <w:r w:rsidR="000E7234">
        <w:rPr>
          <w:szCs w:val="22"/>
        </w:rPr>
        <w:t xml:space="preserve"> </w:t>
      </w:r>
      <w:r w:rsidR="00AF26CF" w:rsidRPr="00762252">
        <w:rPr>
          <w:szCs w:val="22"/>
        </w:rPr>
        <w:t>von diesen beeinflusst werden</w:t>
      </w:r>
      <w:r w:rsidR="000E7234">
        <w:rPr>
          <w:szCs w:val="22"/>
        </w:rPr>
        <w:t xml:space="preserve">. </w:t>
      </w:r>
      <w:r w:rsidR="002D6028">
        <w:rPr>
          <w:szCs w:val="22"/>
        </w:rPr>
        <w:t>Auch hier zeichnet sich erheblicher Forschungsbedarf ab.</w:t>
      </w:r>
    </w:p>
    <w:p w14:paraId="3FF80FFE" w14:textId="77777777" w:rsidR="002A05FC" w:rsidRDefault="002A05FC" w:rsidP="009D7629">
      <w:pPr>
        <w:spacing w:line="276" w:lineRule="auto"/>
        <w:jc w:val="both"/>
        <w:rPr>
          <w:szCs w:val="22"/>
        </w:rPr>
      </w:pPr>
    </w:p>
    <w:p w14:paraId="52C70AD4" w14:textId="435674A1" w:rsidR="00E12C08" w:rsidRDefault="00E12C08" w:rsidP="009D7629">
      <w:pPr>
        <w:spacing w:line="276" w:lineRule="auto"/>
        <w:jc w:val="both"/>
        <w:rPr>
          <w:szCs w:val="22"/>
        </w:rPr>
      </w:pPr>
      <w:r>
        <w:rPr>
          <w:szCs w:val="22"/>
        </w:rPr>
        <w:t>Es mehren sich allerdings die Hinweise darauf</w:t>
      </w:r>
      <w:r w:rsidR="002A05FC">
        <w:rPr>
          <w:szCs w:val="22"/>
        </w:rPr>
        <w:t xml:space="preserve">, dass im Gefolge </w:t>
      </w:r>
      <w:r w:rsidR="008B5D38">
        <w:rPr>
          <w:szCs w:val="22"/>
        </w:rPr>
        <w:t>von</w:t>
      </w:r>
      <w:r w:rsidR="002A05FC">
        <w:rPr>
          <w:szCs w:val="22"/>
        </w:rPr>
        <w:t xml:space="preserve"> </w:t>
      </w:r>
      <w:r w:rsidR="00D01097">
        <w:rPr>
          <w:szCs w:val="22"/>
        </w:rPr>
        <w:t>Regulierung</w:t>
      </w:r>
      <w:r w:rsidR="008B5D38">
        <w:rPr>
          <w:szCs w:val="22"/>
        </w:rPr>
        <w:t>sprozessen</w:t>
      </w:r>
      <w:r w:rsidR="002A05FC">
        <w:rPr>
          <w:szCs w:val="22"/>
        </w:rPr>
        <w:t xml:space="preserve"> d</w:t>
      </w:r>
      <w:r w:rsidR="002A05FC">
        <w:rPr>
          <w:szCs w:val="22"/>
        </w:rPr>
        <w:t>a</w:t>
      </w:r>
      <w:r w:rsidR="002A05FC">
        <w:rPr>
          <w:szCs w:val="22"/>
        </w:rPr>
        <w:t>mit zu rechnen ist, dass bestimmte Bevölkerungsgruppen – in der Regel ältere Erwachsene</w:t>
      </w:r>
      <w:r>
        <w:rPr>
          <w:szCs w:val="22"/>
        </w:rPr>
        <w:t>,</w:t>
      </w:r>
      <w:r w:rsidR="002A05FC">
        <w:rPr>
          <w:szCs w:val="22"/>
        </w:rPr>
        <w:t xml:space="preserve"> die mit Blick auf die angedrohten weitreichenden Strafen bisher auf den Konsum verzichtet haben</w:t>
      </w:r>
      <w:r>
        <w:rPr>
          <w:szCs w:val="22"/>
        </w:rPr>
        <w:t xml:space="preserve"> – </w:t>
      </w:r>
      <w:r w:rsidR="002A05FC">
        <w:rPr>
          <w:szCs w:val="22"/>
        </w:rPr>
        <w:t xml:space="preserve">mit einem legalen Zugang die Chance nutzen, Erfahrungen mit diesem Konsum nachzuholen, ohne diesen </w:t>
      </w:r>
      <w:r w:rsidR="002D6028">
        <w:rPr>
          <w:szCs w:val="22"/>
        </w:rPr>
        <w:t xml:space="preserve">als </w:t>
      </w:r>
      <w:r w:rsidR="002A05FC">
        <w:rPr>
          <w:szCs w:val="22"/>
        </w:rPr>
        <w:t>regelmäßig</w:t>
      </w:r>
      <w:r w:rsidR="002D6028">
        <w:rPr>
          <w:szCs w:val="22"/>
        </w:rPr>
        <w:t>en Konsum</w:t>
      </w:r>
      <w:r>
        <w:rPr>
          <w:szCs w:val="22"/>
        </w:rPr>
        <w:t xml:space="preserve"> in ihren Lebensstil zu integrieren</w:t>
      </w:r>
      <w:r w:rsidR="002A05FC">
        <w:rPr>
          <w:szCs w:val="22"/>
        </w:rPr>
        <w:t>. Drogenerziehung und Prävention sollte diese sich offensichtlich regelmäßig einstellenden Entwicklungen im Auge h</w:t>
      </w:r>
      <w:r w:rsidR="002A05FC">
        <w:rPr>
          <w:szCs w:val="22"/>
        </w:rPr>
        <w:t>a</w:t>
      </w:r>
      <w:r w:rsidR="002A05FC">
        <w:rPr>
          <w:szCs w:val="22"/>
        </w:rPr>
        <w:t>ben und mit entsprechender Information, Aufklärung und begleitenden Angeboten dazu beitr</w:t>
      </w:r>
      <w:r w:rsidR="002A05FC">
        <w:rPr>
          <w:szCs w:val="22"/>
        </w:rPr>
        <w:t>a</w:t>
      </w:r>
      <w:r w:rsidR="002A05FC">
        <w:rPr>
          <w:szCs w:val="22"/>
        </w:rPr>
        <w:t>gen, dass dieser Neugier-Konsum ohne physische, psychische und soziale Folgen bleiben kann.</w:t>
      </w:r>
    </w:p>
    <w:p w14:paraId="022F0FD6" w14:textId="77777777" w:rsidR="00E12C08" w:rsidRDefault="00E12C08" w:rsidP="009D7629">
      <w:pPr>
        <w:spacing w:line="276" w:lineRule="auto"/>
        <w:jc w:val="both"/>
        <w:rPr>
          <w:szCs w:val="22"/>
        </w:rPr>
      </w:pPr>
    </w:p>
    <w:p w14:paraId="5709FC7D" w14:textId="38F74C18" w:rsidR="001346A5" w:rsidRDefault="00233556" w:rsidP="00C31CDF">
      <w:pPr>
        <w:pStyle w:val="berschrift2"/>
        <w:numPr>
          <w:ilvl w:val="0"/>
          <w:numId w:val="0"/>
        </w:numPr>
        <w:jc w:val="both"/>
      </w:pPr>
      <w:bookmarkStart w:id="26" w:name="_Toc349300355"/>
      <w:r>
        <w:t>Literatur</w:t>
      </w:r>
      <w:bookmarkEnd w:id="26"/>
    </w:p>
    <w:p w14:paraId="56611AF7" w14:textId="77777777" w:rsidR="00B339D8" w:rsidRPr="00515C56" w:rsidRDefault="00B339D8" w:rsidP="009D7629">
      <w:pPr>
        <w:pStyle w:val="KeinLeerraum"/>
        <w:ind w:left="284" w:hanging="284"/>
        <w:jc w:val="both"/>
        <w:rPr>
          <w:rFonts w:ascii="Times" w:hAnsi="Times" w:cs="Times"/>
          <w:szCs w:val="22"/>
        </w:rPr>
      </w:pPr>
      <w:r w:rsidRPr="00515C56">
        <w:rPr>
          <w:rFonts w:ascii="Times" w:hAnsi="Times" w:cs="Times"/>
          <w:szCs w:val="22"/>
        </w:rPr>
        <w:t xml:space="preserve">American Psychiatric Association (1994): </w:t>
      </w:r>
      <w:r w:rsidRPr="00515C56">
        <w:rPr>
          <w:rFonts w:ascii="Times" w:hAnsi="Times" w:cs="Times"/>
          <w:i/>
          <w:iCs/>
          <w:szCs w:val="22"/>
        </w:rPr>
        <w:t xml:space="preserve">Diagnostic and statistical manual of mental disorders </w:t>
      </w:r>
      <w:r w:rsidRPr="00515C56">
        <w:rPr>
          <w:rFonts w:ascii="Times" w:hAnsi="Times" w:cs="Times"/>
          <w:szCs w:val="22"/>
        </w:rPr>
        <w:t>(DSM-IV) (4th ed.). Washington, DC </w:t>
      </w:r>
    </w:p>
    <w:p w14:paraId="665464A4" w14:textId="77777777" w:rsidR="00B339D8" w:rsidRPr="00515C56" w:rsidRDefault="00B339D8" w:rsidP="009D7629">
      <w:pPr>
        <w:pStyle w:val="KeinLeerraum"/>
        <w:ind w:left="284" w:hanging="284"/>
        <w:jc w:val="both"/>
        <w:rPr>
          <w:rFonts w:ascii="Times" w:hAnsi="Times" w:cs="Times New Roman"/>
          <w:szCs w:val="22"/>
        </w:rPr>
      </w:pPr>
      <w:r w:rsidRPr="002D6028">
        <w:rPr>
          <w:rFonts w:ascii="AGaramondPro" w:hAnsi="AGaramondPro" w:cs="Times New Roman"/>
          <w:szCs w:val="22"/>
        </w:rPr>
        <w:t xml:space="preserve">Center for Behavioral Health Statistics and Quality (2015). </w:t>
      </w:r>
      <w:r w:rsidRPr="002D6028">
        <w:rPr>
          <w:rFonts w:ascii="AGaramondPro" w:hAnsi="AGaramondPro" w:cs="Times New Roman"/>
          <w:iCs/>
          <w:szCs w:val="22"/>
        </w:rPr>
        <w:t xml:space="preserve">Behavioral health trends in the United States: Results from the 2014 National Survey on Drug Use and Health </w:t>
      </w:r>
      <w:r w:rsidRPr="002D6028">
        <w:rPr>
          <w:rFonts w:ascii="AGaramondPro" w:hAnsi="AGaramondPro" w:cs="Times New Roman"/>
          <w:szCs w:val="22"/>
        </w:rPr>
        <w:t>(HHS Publication No.</w:t>
      </w:r>
      <w:r w:rsidRPr="00515C56">
        <w:rPr>
          <w:rFonts w:ascii="AGaramondPro" w:hAnsi="AGaramondPro" w:cs="Times New Roman"/>
          <w:szCs w:val="22"/>
        </w:rPr>
        <w:t xml:space="preserve"> SMA 15-4927, NSDUH Series H-50). Retrieved from http://www.samhsa.gov/ data/ </w:t>
      </w:r>
    </w:p>
    <w:p w14:paraId="4EA5D952" w14:textId="77777777" w:rsidR="00B339D8" w:rsidRPr="00515C56" w:rsidRDefault="00B339D8" w:rsidP="009D7629">
      <w:pPr>
        <w:pStyle w:val="KeinLeerraum"/>
        <w:ind w:left="284" w:hanging="284"/>
        <w:jc w:val="both"/>
        <w:rPr>
          <w:rFonts w:cs="SourceSansPro-Regular"/>
          <w:szCs w:val="22"/>
        </w:rPr>
      </w:pPr>
      <w:r w:rsidRPr="00515C56">
        <w:rPr>
          <w:rFonts w:cs="SourceSansPro-Regular"/>
          <w:szCs w:val="22"/>
        </w:rPr>
        <w:t xml:space="preserve">Clarke, Chelsey; Harlow, Grwady; Wong, Kevin (2016): </w:t>
      </w:r>
      <w:r w:rsidRPr="00515C56">
        <w:rPr>
          <w:rFonts w:cs="Times"/>
          <w:bCs/>
          <w:szCs w:val="22"/>
        </w:rPr>
        <w:t>The Legalization of Marijuana in Color</w:t>
      </w:r>
      <w:r w:rsidRPr="00515C56">
        <w:rPr>
          <w:rFonts w:cs="Times"/>
          <w:bCs/>
          <w:szCs w:val="22"/>
        </w:rPr>
        <w:t>a</w:t>
      </w:r>
      <w:r w:rsidRPr="00515C56">
        <w:rPr>
          <w:rFonts w:cs="Times"/>
          <w:bCs/>
          <w:szCs w:val="22"/>
        </w:rPr>
        <w:t xml:space="preserve">do: The Impact. Vol. 4/September 2016, </w:t>
      </w:r>
      <w:r w:rsidRPr="00515C56">
        <w:rPr>
          <w:rFonts w:cs="SourceSansPro-Regular"/>
          <w:szCs w:val="22"/>
        </w:rPr>
        <w:t>Rocky Mountain HIDTA, Investigation Support Ce</w:t>
      </w:r>
      <w:r w:rsidRPr="00515C56">
        <w:rPr>
          <w:rFonts w:cs="SourceSansPro-Regular"/>
          <w:szCs w:val="22"/>
        </w:rPr>
        <w:t>n</w:t>
      </w:r>
      <w:r w:rsidRPr="00515C56">
        <w:rPr>
          <w:rFonts w:cs="SourceSansPro-Regular"/>
          <w:szCs w:val="22"/>
        </w:rPr>
        <w:t xml:space="preserve">ter, Strategic Intelligence Unit. </w:t>
      </w:r>
    </w:p>
    <w:p w14:paraId="4B8EEE4A" w14:textId="77777777" w:rsidR="00B339D8" w:rsidRPr="00596DBA" w:rsidRDefault="00B339D8" w:rsidP="009D7629">
      <w:pPr>
        <w:pStyle w:val="KeinLeerraum"/>
        <w:ind w:left="284" w:hanging="284"/>
        <w:jc w:val="both"/>
      </w:pPr>
      <w:r w:rsidRPr="00D978F0">
        <w:t xml:space="preserve">Drug Policy Alliance (2015): Statusreport: Marihujana Legalization one year to retail sales  and two years to decriminalisation. In: </w:t>
      </w:r>
      <w:hyperlink r:id="rId44" w:anchor="download&amp;from_embed" w:history="1">
        <w:r w:rsidRPr="00D978F0">
          <w:rPr>
            <w:rStyle w:val="Link"/>
            <w:bCs/>
            <w:color w:val="auto"/>
            <w:szCs w:val="22"/>
          </w:rPr>
          <w:t>https://de.scribd.com/document/251755107/Colorado-Marijuana-Legalization-One-Year-Status-Report-pdf#download&amp;from_embed</w:t>
        </w:r>
      </w:hyperlink>
      <w:r w:rsidRPr="00D978F0">
        <w:t xml:space="preserve"> vom</w:t>
      </w:r>
      <w:r>
        <w:t xml:space="preserve"> 16. N</w:t>
      </w:r>
      <w:r>
        <w:t>o</w:t>
      </w:r>
      <w:r>
        <w:t xml:space="preserve">vember 2016 </w:t>
      </w:r>
    </w:p>
    <w:p w14:paraId="45585C02" w14:textId="77777777" w:rsidR="00B339D8" w:rsidRPr="00515C56" w:rsidRDefault="00B339D8" w:rsidP="009D7629">
      <w:pPr>
        <w:pStyle w:val="KeinLeerraum"/>
        <w:ind w:left="284" w:hanging="284"/>
        <w:jc w:val="both"/>
        <w:rPr>
          <w:rFonts w:cs="Arial"/>
          <w:bCs/>
          <w:szCs w:val="22"/>
        </w:rPr>
      </w:pPr>
      <w:r>
        <w:rPr>
          <w:rFonts w:cs="Arial"/>
          <w:bCs/>
          <w:szCs w:val="22"/>
        </w:rPr>
        <w:t>Gold, J. Gregg;</w:t>
      </w:r>
      <w:r w:rsidRPr="00515C56">
        <w:rPr>
          <w:rFonts w:cs="Arial"/>
          <w:bCs/>
          <w:szCs w:val="22"/>
        </w:rPr>
        <w:t xml:space="preserve"> Nguyen, Alyssat (2009): Comparing entering Freshmen’s perceptions of campus marijuana and alcohol use to reported us. In: J. drig education, Vol. 39(2) 2009, 133-148</w:t>
      </w:r>
    </w:p>
    <w:p w14:paraId="69CE8B5F" w14:textId="77777777" w:rsidR="00B339D8" w:rsidRPr="00515C56" w:rsidRDefault="00B339D8" w:rsidP="009D7629">
      <w:pPr>
        <w:pStyle w:val="KeinLeerraum"/>
        <w:ind w:left="284" w:hanging="284"/>
        <w:jc w:val="both"/>
        <w:rPr>
          <w:bCs/>
          <w:szCs w:val="22"/>
        </w:rPr>
      </w:pPr>
      <w:r w:rsidRPr="00515C56">
        <w:rPr>
          <w:szCs w:val="22"/>
        </w:rPr>
        <w:t>Hughes, Arthur; Rachel; M.S.; Lipari, N.; Williams, Matthew R. (2016): Marijuana use and perce</w:t>
      </w:r>
      <w:r w:rsidRPr="00515C56">
        <w:rPr>
          <w:szCs w:val="22"/>
        </w:rPr>
        <w:t>i</w:t>
      </w:r>
      <w:r w:rsidRPr="00515C56">
        <w:rPr>
          <w:szCs w:val="22"/>
        </w:rPr>
        <w:t>ved risk of harm from Marijuana use varies within and across States</w:t>
      </w:r>
      <w:r w:rsidRPr="00515C56">
        <w:rPr>
          <w:bCs/>
          <w:szCs w:val="22"/>
        </w:rPr>
        <w:t xml:space="preserve">. In: SAMHSA(2016): CBHSQ-Report from July 26. 2016. In: </w:t>
      </w:r>
      <w:hyperlink r:id="rId45" w:history="1">
        <w:r w:rsidRPr="00515C56">
          <w:rPr>
            <w:rStyle w:val="Link"/>
            <w:rFonts w:cs="Lucida Grande"/>
            <w:bCs/>
            <w:color w:val="auto"/>
            <w:szCs w:val="22"/>
          </w:rPr>
          <w:t>http://www.samhsa.gov/data/sites/default/files/report_2404/ShortReport-2404.html</w:t>
        </w:r>
      </w:hyperlink>
      <w:r w:rsidRPr="00515C56">
        <w:rPr>
          <w:bCs/>
          <w:szCs w:val="22"/>
        </w:rPr>
        <w:t xml:space="preserve"> vom 30. Oktober 2016 </w:t>
      </w:r>
    </w:p>
    <w:p w14:paraId="33C5A2C4" w14:textId="77777777" w:rsidR="00B339D8" w:rsidRPr="00515C56" w:rsidRDefault="00B339D8" w:rsidP="009D7629">
      <w:pPr>
        <w:pStyle w:val="KeinLeerraum"/>
        <w:ind w:left="284" w:hanging="284"/>
        <w:jc w:val="both"/>
        <w:rPr>
          <w:rFonts w:cs="Arial"/>
          <w:szCs w:val="22"/>
          <w:u w:color="262626"/>
        </w:rPr>
      </w:pPr>
      <w:r w:rsidRPr="00515C56">
        <w:rPr>
          <w:rFonts w:cs="Arial"/>
          <w:szCs w:val="22"/>
        </w:rPr>
        <w:t>Martens</w:t>
      </w:r>
      <w:r>
        <w:rPr>
          <w:rFonts w:cs="Arial"/>
          <w:szCs w:val="22"/>
        </w:rPr>
        <w:t>,</w:t>
      </w:r>
      <w:r w:rsidRPr="00515C56">
        <w:rPr>
          <w:rFonts w:cs="Arial"/>
          <w:szCs w:val="22"/>
        </w:rPr>
        <w:t xml:space="preserve"> MP; </w:t>
      </w:r>
      <w:hyperlink r:id="rId46" w:history="1">
        <w:r w:rsidRPr="00515C56">
          <w:rPr>
            <w:rFonts w:cs="Arial"/>
            <w:szCs w:val="22"/>
          </w:rPr>
          <w:t>Page</w:t>
        </w:r>
        <w:r>
          <w:rPr>
            <w:rFonts w:cs="Arial"/>
            <w:szCs w:val="22"/>
          </w:rPr>
          <w:t>,</w:t>
        </w:r>
        <w:r w:rsidRPr="00515C56">
          <w:rPr>
            <w:rFonts w:cs="Arial"/>
            <w:szCs w:val="22"/>
          </w:rPr>
          <w:t xml:space="preserve"> JC</w:t>
        </w:r>
      </w:hyperlink>
      <w:r w:rsidRPr="00515C56">
        <w:rPr>
          <w:rFonts w:cs="Arial"/>
          <w:szCs w:val="22"/>
        </w:rPr>
        <w:t xml:space="preserve">; </w:t>
      </w:r>
      <w:hyperlink r:id="rId47" w:history="1">
        <w:r w:rsidRPr="00515C56">
          <w:rPr>
            <w:rFonts w:cs="Arial"/>
            <w:szCs w:val="22"/>
          </w:rPr>
          <w:t>Mowry, ES</w:t>
        </w:r>
      </w:hyperlink>
      <w:r w:rsidRPr="00515C56">
        <w:rPr>
          <w:rFonts w:cs="Arial"/>
          <w:szCs w:val="22"/>
        </w:rPr>
        <w:t xml:space="preserve">; </w:t>
      </w:r>
      <w:hyperlink r:id="rId48" w:history="1">
        <w:r w:rsidRPr="00515C56">
          <w:rPr>
            <w:rFonts w:cs="Arial"/>
            <w:szCs w:val="22"/>
          </w:rPr>
          <w:t>Damann</w:t>
        </w:r>
        <w:r>
          <w:rPr>
            <w:rFonts w:cs="Arial"/>
            <w:szCs w:val="22"/>
          </w:rPr>
          <w:t>,</w:t>
        </w:r>
        <w:r w:rsidRPr="00515C56">
          <w:rPr>
            <w:rFonts w:cs="Arial"/>
            <w:szCs w:val="22"/>
          </w:rPr>
          <w:t xml:space="preserve"> KM</w:t>
        </w:r>
      </w:hyperlink>
      <w:r>
        <w:rPr>
          <w:rFonts w:cs="Arial"/>
          <w:szCs w:val="22"/>
        </w:rPr>
        <w:t>;</w:t>
      </w:r>
      <w:r w:rsidRPr="00515C56">
        <w:rPr>
          <w:rFonts w:cs="Arial"/>
          <w:szCs w:val="22"/>
        </w:rPr>
        <w:t xml:space="preserve"> </w:t>
      </w:r>
      <w:hyperlink r:id="rId49" w:history="1">
        <w:r w:rsidRPr="00515C56">
          <w:rPr>
            <w:rFonts w:cs="Arial"/>
            <w:szCs w:val="22"/>
          </w:rPr>
          <w:t>Taylor</w:t>
        </w:r>
        <w:r>
          <w:rPr>
            <w:rFonts w:cs="Arial"/>
            <w:szCs w:val="22"/>
          </w:rPr>
          <w:t>,</w:t>
        </w:r>
        <w:r w:rsidRPr="00515C56">
          <w:rPr>
            <w:rFonts w:cs="Arial"/>
            <w:szCs w:val="22"/>
          </w:rPr>
          <w:t xml:space="preserve"> KK</w:t>
        </w:r>
      </w:hyperlink>
      <w:r>
        <w:rPr>
          <w:rFonts w:cs="Arial"/>
          <w:szCs w:val="22"/>
        </w:rPr>
        <w:t>;</w:t>
      </w:r>
      <w:r w:rsidRPr="00515C56">
        <w:rPr>
          <w:rFonts w:cs="Arial"/>
          <w:szCs w:val="22"/>
        </w:rPr>
        <w:t xml:space="preserve"> </w:t>
      </w:r>
      <w:hyperlink r:id="rId50" w:history="1">
        <w:r w:rsidRPr="00515C56">
          <w:rPr>
            <w:rFonts w:cs="Arial"/>
            <w:szCs w:val="22"/>
          </w:rPr>
          <w:t>Cimini</w:t>
        </w:r>
        <w:r>
          <w:rPr>
            <w:rFonts w:cs="Arial"/>
            <w:szCs w:val="22"/>
          </w:rPr>
          <w:t>,</w:t>
        </w:r>
        <w:r w:rsidRPr="00515C56">
          <w:rPr>
            <w:rFonts w:cs="Arial"/>
            <w:szCs w:val="22"/>
          </w:rPr>
          <w:t xml:space="preserve"> MD</w:t>
        </w:r>
      </w:hyperlink>
      <w:r>
        <w:rPr>
          <w:rFonts w:cs="Arial"/>
          <w:szCs w:val="22"/>
        </w:rPr>
        <w:t xml:space="preserve"> (2016): </w:t>
      </w:r>
      <w:r w:rsidRPr="00515C56">
        <w:rPr>
          <w:rFonts w:cs="Arial"/>
          <w:bCs/>
          <w:szCs w:val="22"/>
          <w:u w:color="262626"/>
        </w:rPr>
        <w:t>Differences between actual and perceived student norms: an examination of alcohol use, drug use, and sexual behavior.</w:t>
      </w:r>
      <w:r w:rsidRPr="00515C56">
        <w:rPr>
          <w:rFonts w:cs="Arial"/>
          <w:szCs w:val="22"/>
          <w:u w:val="single" w:color="262626"/>
        </w:rPr>
        <w:t xml:space="preserve"> </w:t>
      </w:r>
      <w:r>
        <w:rPr>
          <w:rFonts w:cs="Arial"/>
          <w:szCs w:val="22"/>
          <w:u w:val="single" w:color="262626"/>
        </w:rPr>
        <w:t xml:space="preserve">In: </w:t>
      </w:r>
      <w:r w:rsidRPr="00515C56">
        <w:rPr>
          <w:rFonts w:cs="Arial"/>
          <w:szCs w:val="22"/>
          <w:u w:val="single" w:color="262626"/>
        </w:rPr>
        <w:t>J Am Coll Health.</w:t>
      </w:r>
      <w:r>
        <w:rPr>
          <w:rFonts w:cs="Arial"/>
          <w:szCs w:val="22"/>
          <w:u w:color="262626"/>
        </w:rPr>
        <w:t xml:space="preserve"> 2006 Mar-Apr;54(5), S. </w:t>
      </w:r>
      <w:r w:rsidRPr="00515C56">
        <w:rPr>
          <w:rFonts w:cs="Arial"/>
          <w:szCs w:val="22"/>
          <w:u w:color="262626"/>
        </w:rPr>
        <w:t>295-300.</w:t>
      </w:r>
    </w:p>
    <w:p w14:paraId="4001F838" w14:textId="77777777" w:rsidR="00B339D8" w:rsidRPr="00515C56" w:rsidRDefault="00B339D8" w:rsidP="009D7629">
      <w:pPr>
        <w:pStyle w:val="KeinLeerraum"/>
        <w:ind w:left="284" w:hanging="284"/>
        <w:jc w:val="both"/>
        <w:rPr>
          <w:bCs/>
          <w:szCs w:val="22"/>
        </w:rPr>
      </w:pPr>
      <w:r w:rsidRPr="00515C56">
        <w:rPr>
          <w:rFonts w:cs="Times New Roman"/>
          <w:szCs w:val="22"/>
        </w:rPr>
        <w:t>Reuband, Karl-Heinz (2009):</w:t>
      </w:r>
      <w:r w:rsidRPr="00515C56">
        <w:rPr>
          <w:szCs w:val="22"/>
        </w:rPr>
        <w:t xml:space="preserve"> Entwicklungen des Drogenkonsums in Deutschland </w:t>
      </w:r>
      <w:r w:rsidRPr="00515C56">
        <w:rPr>
          <w:rFonts w:cs="Times New Roman"/>
          <w:szCs w:val="22"/>
        </w:rPr>
        <w:t>und die b</w:t>
      </w:r>
      <w:r w:rsidRPr="00515C56">
        <w:rPr>
          <w:rFonts w:cs="Times New Roman"/>
          <w:szCs w:val="22"/>
        </w:rPr>
        <w:t>e</w:t>
      </w:r>
      <w:r w:rsidRPr="00515C56">
        <w:rPr>
          <w:rFonts w:cs="Times New Roman"/>
          <w:szCs w:val="22"/>
        </w:rPr>
        <w:t xml:space="preserve">grenzte Wirksamkeit der Kriminalpolitik. In:  </w:t>
      </w:r>
      <w:r w:rsidRPr="00515C56">
        <w:rPr>
          <w:rFonts w:cs="Arial"/>
          <w:bCs/>
          <w:szCs w:val="22"/>
        </w:rPr>
        <w:t xml:space="preserve">Soziale Probleme: </w:t>
      </w:r>
      <w:r w:rsidRPr="00515C56">
        <w:rPr>
          <w:szCs w:val="22"/>
        </w:rPr>
        <w:t>Zeitschrift für soziale Pro</w:t>
      </w:r>
      <w:r w:rsidRPr="00515C56">
        <w:rPr>
          <w:szCs w:val="22"/>
        </w:rPr>
        <w:t>b</w:t>
      </w:r>
      <w:r w:rsidRPr="00515C56">
        <w:rPr>
          <w:szCs w:val="22"/>
        </w:rPr>
        <w:t xml:space="preserve">leme und soziale Kontrolle. </w:t>
      </w:r>
      <w:r w:rsidRPr="00515C56">
        <w:rPr>
          <w:bCs/>
          <w:szCs w:val="22"/>
        </w:rPr>
        <w:t xml:space="preserve">20. Jahrgang, 2009, Heft 1/2, S. 182-206 </w:t>
      </w:r>
    </w:p>
    <w:p w14:paraId="269C4CF8" w14:textId="77777777" w:rsidR="00B339D8" w:rsidRPr="00515C56" w:rsidRDefault="00B339D8" w:rsidP="009D7629">
      <w:pPr>
        <w:pStyle w:val="KeinLeerraum"/>
        <w:ind w:left="284" w:hanging="284"/>
        <w:jc w:val="both"/>
        <w:rPr>
          <w:szCs w:val="22"/>
        </w:rPr>
      </w:pPr>
      <w:r w:rsidRPr="00515C56">
        <w:rPr>
          <w:szCs w:val="22"/>
        </w:rPr>
        <w:t>Simons, J. S., Neal, D.; Gaher, R. M. (2016): Risk of marihuana-related problems among college students: An application of zero-inflated negative binomial regression. In: American Journal of Drug and Alcohol Abuse 32(1), S. 41-53</w:t>
      </w:r>
    </w:p>
    <w:p w14:paraId="55418AA7" w14:textId="77777777" w:rsidR="00B339D8" w:rsidRPr="00515C56" w:rsidRDefault="00B339D8" w:rsidP="009D7629">
      <w:pPr>
        <w:pStyle w:val="KeinLeerraum"/>
        <w:ind w:left="284" w:hanging="284"/>
        <w:jc w:val="both"/>
        <w:rPr>
          <w:szCs w:val="22"/>
        </w:rPr>
      </w:pPr>
      <w:r w:rsidRPr="00515C56">
        <w:rPr>
          <w:szCs w:val="22"/>
        </w:rPr>
        <w:t>Substance Abuse and Mental Health Services Administration</w:t>
      </w:r>
      <w:r w:rsidRPr="00515C56">
        <w:rPr>
          <w:bCs/>
          <w:szCs w:val="22"/>
        </w:rPr>
        <w:t xml:space="preserve"> (SAMHSA)(2015): Behavioral Health Trends in the United States: </w:t>
      </w:r>
      <w:r w:rsidRPr="00515C56">
        <w:rPr>
          <w:szCs w:val="22"/>
        </w:rPr>
        <w:t xml:space="preserve">Results from the 2014 National Survey on Drug Use and Health </w:t>
      </w:r>
    </w:p>
    <w:p w14:paraId="4E710A39" w14:textId="77777777" w:rsidR="00B339D8" w:rsidRPr="00515C56" w:rsidRDefault="00B339D8" w:rsidP="009D7629">
      <w:pPr>
        <w:pStyle w:val="KeinLeerraum"/>
        <w:ind w:left="284" w:hanging="284"/>
        <w:jc w:val="both"/>
        <w:rPr>
          <w:rFonts w:cs="Times New Roman"/>
          <w:szCs w:val="22"/>
        </w:rPr>
      </w:pPr>
      <w:r w:rsidRPr="00515C56">
        <w:rPr>
          <w:szCs w:val="22"/>
        </w:rPr>
        <w:t>Substance Abuse and Mental Health Services Administration</w:t>
      </w:r>
      <w:r w:rsidRPr="00515C56">
        <w:rPr>
          <w:bCs/>
          <w:szCs w:val="22"/>
        </w:rPr>
        <w:t xml:space="preserve"> (</w:t>
      </w:r>
      <w:r w:rsidRPr="00515C56">
        <w:rPr>
          <w:rFonts w:cs="Times New Roman"/>
          <w:szCs w:val="22"/>
        </w:rPr>
        <w:t xml:space="preserve">SAMHSA) (2012): National Survey on Drug Use and Health: Comparison of 2002-2003 and 2010-2011 Model-Based Prevalence Estimates (50 States and the District of Columbia), table 1. In:  </w:t>
      </w:r>
      <w:hyperlink r:id="rId51" w:history="1">
        <w:r w:rsidRPr="00D978F0">
          <w:rPr>
            <w:rStyle w:val="Link"/>
            <w:rFonts w:cs="Times New Roman"/>
            <w:color w:val="auto"/>
            <w:szCs w:val="22"/>
          </w:rPr>
          <w:t>http://www.samhsa.gov/data/sites/default/files/NSDUHStateEst2010-2011_v2/279/TrendTabs/NSDUHsaeTrendTabs2011.pdf</w:t>
        </w:r>
      </w:hyperlink>
      <w:r w:rsidRPr="00D978F0">
        <w:rPr>
          <w:rFonts w:cs="Times New Roman"/>
          <w:szCs w:val="22"/>
        </w:rPr>
        <w:t xml:space="preserve"> </w:t>
      </w:r>
      <w:r w:rsidRPr="00515C56">
        <w:rPr>
          <w:rFonts w:cs="Times New Roman"/>
          <w:szCs w:val="22"/>
        </w:rPr>
        <w:t>vom 30. Oktober 2016</w:t>
      </w:r>
    </w:p>
    <w:p w14:paraId="61A21993" w14:textId="77777777" w:rsidR="00B339D8" w:rsidRPr="00515C56" w:rsidRDefault="00B339D8" w:rsidP="009D7629">
      <w:pPr>
        <w:pStyle w:val="KeinLeerraum"/>
        <w:spacing w:line="276" w:lineRule="auto"/>
        <w:ind w:left="284" w:hanging="284"/>
        <w:jc w:val="both"/>
        <w:rPr>
          <w:rFonts w:cs="SourceSansPro-Regular"/>
          <w:szCs w:val="22"/>
        </w:rPr>
      </w:pPr>
    </w:p>
    <w:p w14:paraId="0E904FD7" w14:textId="77777777" w:rsidR="00B339D8" w:rsidRDefault="00B339D8" w:rsidP="009D7629">
      <w:pPr>
        <w:jc w:val="both"/>
        <w:rPr>
          <w:szCs w:val="22"/>
        </w:rPr>
        <w:sectPr w:rsidR="00B339D8" w:rsidSect="008901F7">
          <w:pgSz w:w="11900" w:h="16840"/>
          <w:pgMar w:top="1417" w:right="1417" w:bottom="1134" w:left="1417" w:header="708" w:footer="708" w:gutter="0"/>
          <w:cols w:space="708"/>
          <w:docGrid w:linePitch="360"/>
        </w:sectPr>
      </w:pPr>
    </w:p>
    <w:p w14:paraId="690AD204" w14:textId="35D1016E" w:rsidR="00DB78D9" w:rsidRDefault="00700A10" w:rsidP="009D7629">
      <w:pPr>
        <w:pStyle w:val="berschrift1"/>
        <w:spacing w:line="276" w:lineRule="auto"/>
        <w:jc w:val="both"/>
      </w:pPr>
      <w:bookmarkStart w:id="27" w:name="_Toc349300356"/>
      <w:r>
        <w:t xml:space="preserve">Auswirkungen </w:t>
      </w:r>
      <w:r w:rsidR="00A8485D">
        <w:t>einer</w:t>
      </w:r>
      <w:r>
        <w:t xml:space="preserve"> </w:t>
      </w:r>
      <w:r w:rsidR="00D01097">
        <w:t>Regulierung</w:t>
      </w:r>
      <w:r>
        <w:t xml:space="preserve"> von Marihuana </w:t>
      </w:r>
      <w:r w:rsidR="00DB78D9">
        <w:t>auf Jugendliche</w:t>
      </w:r>
      <w:bookmarkEnd w:id="27"/>
    </w:p>
    <w:p w14:paraId="70FAD645" w14:textId="75EAC693" w:rsidR="00741D23" w:rsidRDefault="00741D23" w:rsidP="009D7629">
      <w:pPr>
        <w:pStyle w:val="berschrift2"/>
        <w:spacing w:line="276" w:lineRule="auto"/>
        <w:jc w:val="both"/>
      </w:pPr>
      <w:bookmarkStart w:id="28" w:name="_Toc349300357"/>
      <w:r>
        <w:t>Drogenpolitische Grundannahmen</w:t>
      </w:r>
      <w:bookmarkEnd w:id="28"/>
    </w:p>
    <w:p w14:paraId="61FB048F" w14:textId="34CAE6CB" w:rsidR="00741D23" w:rsidRPr="00F648D4" w:rsidRDefault="0050454B" w:rsidP="009D7629">
      <w:pPr>
        <w:spacing w:line="276" w:lineRule="auto"/>
        <w:jc w:val="both"/>
      </w:pPr>
      <w:r>
        <w:t xml:space="preserve">Welchen Einfluss </w:t>
      </w:r>
      <w:r w:rsidR="00D01097">
        <w:t>Regulierung</w:t>
      </w:r>
      <w:r w:rsidR="008B5D38">
        <w:t>sprozesse</w:t>
      </w:r>
      <w:r w:rsidR="00741D23" w:rsidRPr="00741D23">
        <w:t xml:space="preserve"> auf die gesundheitliche und soziale Entwicklung J</w:t>
      </w:r>
      <w:r w:rsidR="00741D23" w:rsidRPr="00741D23">
        <w:t>u</w:t>
      </w:r>
      <w:r w:rsidR="00741D23" w:rsidRPr="00741D23">
        <w:t>gendlicher</w:t>
      </w:r>
      <w:r w:rsidR="00B82321">
        <w:t xml:space="preserve"> (12-17 </w:t>
      </w:r>
      <w:r w:rsidR="006412B0">
        <w:t>Jahre)</w:t>
      </w:r>
      <w:r w:rsidR="00741D23" w:rsidRPr="00741D23">
        <w:t xml:space="preserve"> und Heranwachsender </w:t>
      </w:r>
      <w:r w:rsidR="006412B0">
        <w:t xml:space="preserve">(18-21 Jahre) </w:t>
      </w:r>
      <w:r>
        <w:t xml:space="preserve">haben wird, </w:t>
      </w:r>
      <w:r w:rsidR="006412B0">
        <w:t>gehört</w:t>
      </w:r>
      <w:r w:rsidR="00741D23" w:rsidRPr="00741D23">
        <w:t xml:space="preserve"> in droge</w:t>
      </w:r>
      <w:r w:rsidR="00741D23" w:rsidRPr="00741D23">
        <w:t>n</w:t>
      </w:r>
      <w:r w:rsidR="00741D23" w:rsidRPr="00741D23">
        <w:t xml:space="preserve">politischen Diskussionen </w:t>
      </w:r>
      <w:r w:rsidR="00516767">
        <w:t xml:space="preserve">zu </w:t>
      </w:r>
      <w:r w:rsidR="006412B0">
        <w:t xml:space="preserve">den wichtigsten </w:t>
      </w:r>
      <w:r>
        <w:t>Fragen</w:t>
      </w:r>
      <w:r w:rsidR="00741D23" w:rsidRPr="00741D23">
        <w:t>.</w:t>
      </w:r>
      <w:r w:rsidR="00741D23">
        <w:t xml:space="preserve"> </w:t>
      </w:r>
      <w:r w:rsidR="004A68E3">
        <w:t xml:space="preserve">Hypothetisch wird </w:t>
      </w:r>
      <w:r w:rsidR="00753673">
        <w:t xml:space="preserve">einerseits </w:t>
      </w:r>
      <w:r w:rsidR="004A68E3">
        <w:t>angeno</w:t>
      </w:r>
      <w:r w:rsidR="004A68E3">
        <w:t>m</w:t>
      </w:r>
      <w:r w:rsidR="004A68E3">
        <w:t xml:space="preserve">men, dass die Verfügbarkeit einer Substanz bei Jugendlichen und Heranwachsenden </w:t>
      </w:r>
      <w:r w:rsidR="00B82321">
        <w:t>beso</w:t>
      </w:r>
      <w:r w:rsidR="00B82321">
        <w:t>n</w:t>
      </w:r>
      <w:r w:rsidR="00B82321">
        <w:t>dere</w:t>
      </w:r>
      <w:r w:rsidR="004A68E3">
        <w:t xml:space="preserve"> epidemiologische E</w:t>
      </w:r>
      <w:r w:rsidR="00B82321">
        <w:t xml:space="preserve">ntwicklungen auszulösen vermag. </w:t>
      </w:r>
      <w:r w:rsidR="004A68E3">
        <w:t>Verwiesen wird auf das jugendt</w:t>
      </w:r>
      <w:r w:rsidR="004A68E3">
        <w:t>y</w:t>
      </w:r>
      <w:r w:rsidR="004A68E3">
        <w:t xml:space="preserve">pische Streben nach Grenzüberschreitung und außergewöhnlichen Erfahrungen sowie die oppositionelle Grundhaltung </w:t>
      </w:r>
      <w:r w:rsidR="00753673">
        <w:t xml:space="preserve">vieler Jugendlicher </w:t>
      </w:r>
      <w:r w:rsidR="004A68E3">
        <w:t xml:space="preserve">gegenüber dem Mainstream. Vor diesem Hintergrund wird für </w:t>
      </w:r>
      <w:r w:rsidR="00EE5DD9">
        <w:t>die</w:t>
      </w:r>
      <w:r w:rsidR="006412B0">
        <w:t>se</w:t>
      </w:r>
      <w:r w:rsidR="00EE5DD9">
        <w:t xml:space="preserve"> Altersgruppen befürchtet, dass </w:t>
      </w:r>
      <w:r w:rsidR="004A68E3">
        <w:t>eine</w:t>
      </w:r>
      <w:r w:rsidR="00EE5DD9">
        <w:t xml:space="preserve"> größere Verfügbarkeit von Cannabis </w:t>
      </w:r>
      <w:r w:rsidR="000E77DD">
        <w:t xml:space="preserve">in einer Bevölkerung </w:t>
      </w:r>
      <w:r w:rsidR="00EE5DD9">
        <w:t xml:space="preserve">auch die Konsumraten ankurbeln werde. </w:t>
      </w:r>
      <w:r w:rsidR="00B82321">
        <w:t>Insofern</w:t>
      </w:r>
      <w:r w:rsidR="00EE5DD9">
        <w:t xml:space="preserve"> werden schwerwiegende Folgen für eine erfolgreiche Bewältigung jugendlicher Entwicklungsaufg</w:t>
      </w:r>
      <w:r w:rsidR="00EE5DD9">
        <w:t>a</w:t>
      </w:r>
      <w:r w:rsidR="00EE5DD9">
        <w:t>ben abgeleitet, die zu langwierigen und schwer zu kompensierenden Einschnitten in der pe</w:t>
      </w:r>
      <w:r w:rsidR="00EE5DD9">
        <w:t>r</w:t>
      </w:r>
      <w:r w:rsidR="00EE5DD9">
        <w:t xml:space="preserve">sönlichen Entwicklung führen. In </w:t>
      </w:r>
      <w:r w:rsidR="00EE5DD9" w:rsidRPr="00F648D4">
        <w:t xml:space="preserve">diesem Zusammenhang </w:t>
      </w:r>
      <w:r w:rsidR="00516767">
        <w:t>werden negative Entwicklungen in folgenden Bereichen angenommen</w:t>
      </w:r>
      <w:r w:rsidR="004B3101">
        <w:t xml:space="preserve">; </w:t>
      </w:r>
      <w:r w:rsidR="000E77DD">
        <w:t xml:space="preserve">weshalb </w:t>
      </w:r>
      <w:r w:rsidR="004B3101">
        <w:t xml:space="preserve">hier </w:t>
      </w:r>
      <w:r w:rsidR="00753673">
        <w:t xml:space="preserve">auch nach empirischen Anhaltspunkten für eine Bewertung von </w:t>
      </w:r>
      <w:r w:rsidR="00D01097">
        <w:t>Regulierung</w:t>
      </w:r>
      <w:r w:rsidR="00753673">
        <w:t>seffekten gesucht</w:t>
      </w:r>
      <w:r w:rsidR="000E77DD" w:rsidRPr="000E77DD">
        <w:t xml:space="preserve"> </w:t>
      </w:r>
      <w:r w:rsidR="000E77DD">
        <w:t>wird</w:t>
      </w:r>
      <w:r w:rsidR="00516767">
        <w:t>:</w:t>
      </w:r>
    </w:p>
    <w:p w14:paraId="575FFDD9" w14:textId="6704D95A" w:rsidR="00DB78D9" w:rsidRPr="00F648D4" w:rsidRDefault="00DB78D9" w:rsidP="00F67143">
      <w:pPr>
        <w:pStyle w:val="Listenabsatz"/>
        <w:numPr>
          <w:ilvl w:val="0"/>
          <w:numId w:val="8"/>
        </w:numPr>
        <w:spacing w:line="276" w:lineRule="auto"/>
        <w:jc w:val="both"/>
      </w:pPr>
      <w:r w:rsidRPr="00F648D4">
        <w:t>Störungen in der Ausbildung, die in der Regel a</w:t>
      </w:r>
      <w:r w:rsidR="00B00CAA">
        <w:t>n der Zahl von Schulverweisen, A</w:t>
      </w:r>
      <w:r w:rsidRPr="00F648D4">
        <w:t>u</w:t>
      </w:r>
      <w:r w:rsidRPr="00F648D4">
        <w:t>s</w:t>
      </w:r>
      <w:r w:rsidRPr="00F648D4">
        <w:t xml:space="preserve">schlüssen aus der Schule und </w:t>
      </w:r>
      <w:r w:rsidR="00B00CAA">
        <w:t xml:space="preserve">schulischen </w:t>
      </w:r>
      <w:r w:rsidR="00516767">
        <w:t xml:space="preserve">Überstellungen </w:t>
      </w:r>
      <w:r w:rsidR="00B00CAA">
        <w:t xml:space="preserve">von </w:t>
      </w:r>
      <w:r w:rsidR="00B00CAA" w:rsidRPr="00F648D4">
        <w:t xml:space="preserve">Jugendlichen </w:t>
      </w:r>
      <w:r w:rsidR="00B00CAA">
        <w:t>an die P</w:t>
      </w:r>
      <w:r w:rsidRPr="00F648D4">
        <w:t>o</w:t>
      </w:r>
      <w:r w:rsidRPr="00F648D4">
        <w:t>lizei</w:t>
      </w:r>
      <w:r w:rsidR="00B00CAA">
        <w:t xml:space="preserve"> </w:t>
      </w:r>
      <w:r w:rsidR="000E77DD">
        <w:t>festgemacht werden</w:t>
      </w:r>
      <w:r w:rsidRPr="00F648D4">
        <w:t>.</w:t>
      </w:r>
    </w:p>
    <w:p w14:paraId="6D2B9581" w14:textId="45FACDF4" w:rsidR="00516767" w:rsidRDefault="00C81EE3" w:rsidP="00F67143">
      <w:pPr>
        <w:pStyle w:val="Listenabsatz"/>
        <w:numPr>
          <w:ilvl w:val="0"/>
          <w:numId w:val="8"/>
        </w:numPr>
        <w:spacing w:line="276" w:lineRule="auto"/>
        <w:jc w:val="both"/>
      </w:pPr>
      <w:r w:rsidRPr="00F648D4">
        <w:t>Störungen</w:t>
      </w:r>
      <w:r w:rsidR="00EE5DD9" w:rsidRPr="00F648D4">
        <w:t xml:space="preserve"> in der intellektuellen Entwicklung, die sich im Schulversagen, abgebroch</w:t>
      </w:r>
      <w:r w:rsidR="00EE5DD9" w:rsidRPr="00F648D4">
        <w:t>e</w:t>
      </w:r>
      <w:r w:rsidR="00B82321">
        <w:t xml:space="preserve">nen Bildungsverläufen und </w:t>
      </w:r>
      <w:r w:rsidR="00EE5DD9" w:rsidRPr="00F648D4">
        <w:t xml:space="preserve">der Zahl </w:t>
      </w:r>
      <w:r w:rsidR="00B82321">
        <w:t>der Schulabbrüche</w:t>
      </w:r>
      <w:r w:rsidR="00EE5DD9" w:rsidRPr="00F648D4">
        <w:t xml:space="preserve"> niederschlagen.</w:t>
      </w:r>
      <w:r w:rsidR="00516767" w:rsidRPr="00516767">
        <w:t xml:space="preserve"> </w:t>
      </w:r>
    </w:p>
    <w:p w14:paraId="4B07E68E" w14:textId="4BD6B8F3" w:rsidR="00C81EE3" w:rsidRPr="00F648D4" w:rsidRDefault="00516767" w:rsidP="00F67143">
      <w:pPr>
        <w:pStyle w:val="Listenabsatz"/>
        <w:numPr>
          <w:ilvl w:val="0"/>
          <w:numId w:val="8"/>
        </w:numPr>
        <w:spacing w:line="276" w:lineRule="auto"/>
        <w:jc w:val="both"/>
      </w:pPr>
      <w:r w:rsidRPr="00F648D4">
        <w:t xml:space="preserve">Störungen in der gesundheitlichen Entwicklung, für die in der Regel </w:t>
      </w:r>
      <w:r>
        <w:t xml:space="preserve">auf </w:t>
      </w:r>
      <w:r w:rsidRPr="00F648D4">
        <w:t>die Zahl m</w:t>
      </w:r>
      <w:r w:rsidRPr="00F648D4">
        <w:t>e</w:t>
      </w:r>
      <w:r w:rsidR="00B82321">
        <w:t>dizinischer</w:t>
      </w:r>
      <w:r w:rsidRPr="00F648D4">
        <w:t xml:space="preserve"> Notfälle, Erkrankungen und Krankenhauseinweisungen in Zusamme</w:t>
      </w:r>
      <w:r w:rsidRPr="00F648D4">
        <w:t>n</w:t>
      </w:r>
      <w:r w:rsidRPr="00F648D4">
        <w:t xml:space="preserve">hang mit dem </w:t>
      </w:r>
      <w:r w:rsidR="00B82321">
        <w:t>Marihuana-</w:t>
      </w:r>
      <w:r w:rsidRPr="00F648D4">
        <w:t xml:space="preserve">Konsum sowie auf Nachfragen im Drogenhilfesystem und </w:t>
      </w:r>
      <w:r w:rsidR="00B82321">
        <w:t>auf Aufnahmen in eine</w:t>
      </w:r>
      <w:r w:rsidRPr="00F648D4">
        <w:t xml:space="preserve"> Therapie zurückgegriffen wird.</w:t>
      </w:r>
    </w:p>
    <w:p w14:paraId="0FAC275E" w14:textId="266443BB" w:rsidR="00B00CAA" w:rsidRDefault="00F648D4" w:rsidP="009D7629">
      <w:pPr>
        <w:spacing w:line="276" w:lineRule="auto"/>
        <w:jc w:val="both"/>
      </w:pPr>
      <w:r>
        <w:t xml:space="preserve">Unübersehbar ist allerdings, dass </w:t>
      </w:r>
      <w:r w:rsidR="0050454B">
        <w:t xml:space="preserve">Daten und Kennziffern in der Regel als </w:t>
      </w:r>
      <w:r>
        <w:t>Marker für die Beu</w:t>
      </w:r>
      <w:r>
        <w:t>r</w:t>
      </w:r>
      <w:r>
        <w:t>teilung von</w:t>
      </w:r>
      <w:r w:rsidRPr="00F648D4">
        <w:t xml:space="preserve"> </w:t>
      </w:r>
      <w:r w:rsidR="00D01097">
        <w:t>Regulierung</w:t>
      </w:r>
      <w:r>
        <w:t>seffekten</w:t>
      </w:r>
      <w:r w:rsidR="0050454B">
        <w:t xml:space="preserve"> nicht </w:t>
      </w:r>
      <w:r w:rsidR="00B82321">
        <w:t xml:space="preserve">gut </w:t>
      </w:r>
      <w:r w:rsidR="0050454B">
        <w:t>geeignet sind. Es gehört zu den zentralen Wi</w:t>
      </w:r>
      <w:r w:rsidR="0050454B">
        <w:t>s</w:t>
      </w:r>
      <w:r w:rsidR="0050454B">
        <w:t xml:space="preserve">sensbeständen </w:t>
      </w:r>
      <w:r w:rsidR="00B82321">
        <w:t>kriminologischer</w:t>
      </w:r>
      <w:r w:rsidR="0050454B">
        <w:t xml:space="preserve"> Forschung, dass das Ausmaß störenden Verhaltens </w:t>
      </w:r>
      <w:r w:rsidRPr="00F648D4">
        <w:t>wesen</w:t>
      </w:r>
      <w:r w:rsidRPr="00F648D4">
        <w:t>t</w:t>
      </w:r>
      <w:r w:rsidRPr="00F648D4">
        <w:t xml:space="preserve">lich </w:t>
      </w:r>
      <w:r w:rsidR="0050454B" w:rsidRPr="00F648D4">
        <w:t>abhäng</w:t>
      </w:r>
      <w:r w:rsidR="0050454B">
        <w:t xml:space="preserve">t </w:t>
      </w:r>
      <w:r w:rsidR="0050454B" w:rsidRPr="004A68E3">
        <w:rPr>
          <w:i/>
        </w:rPr>
        <w:t>erstens</w:t>
      </w:r>
      <w:r w:rsidR="0050454B">
        <w:t xml:space="preserve"> von den Leitideen, wie eine Störung bei Jugendlichen zu bewerten und zu sanktionieren </w:t>
      </w:r>
      <w:r w:rsidR="004A68E3">
        <w:t>sei</w:t>
      </w:r>
      <w:r w:rsidR="0050454B">
        <w:t xml:space="preserve">; </w:t>
      </w:r>
      <w:r w:rsidR="0050454B" w:rsidRPr="004A68E3">
        <w:rPr>
          <w:i/>
        </w:rPr>
        <w:t>zweitens</w:t>
      </w:r>
      <w:r w:rsidR="0050454B">
        <w:t xml:space="preserve"> </w:t>
      </w:r>
      <w:r w:rsidRPr="00F648D4">
        <w:t xml:space="preserve">von der Aufmerksamkeits- und Ermittlungsintensität, mit der unter Jugendlichen nach derartigen Delikten gesucht </w:t>
      </w:r>
      <w:r w:rsidR="004A68E3">
        <w:t>wird und</w:t>
      </w:r>
      <w:r w:rsidRPr="00F648D4">
        <w:t xml:space="preserve"> </w:t>
      </w:r>
      <w:r w:rsidR="0050454B" w:rsidRPr="004A68E3">
        <w:rPr>
          <w:i/>
        </w:rPr>
        <w:t>drittens</w:t>
      </w:r>
      <w:r w:rsidR="004A68E3">
        <w:t>,</w:t>
      </w:r>
      <w:r w:rsidR="0050454B">
        <w:t xml:space="preserve"> mit welchen Mustern </w:t>
      </w:r>
      <w:r w:rsidRPr="00F648D4">
        <w:t xml:space="preserve">für </w:t>
      </w:r>
      <w:r w:rsidR="004A68E3">
        <w:t>offensichtliche</w:t>
      </w:r>
      <w:r w:rsidR="0050454B">
        <w:t xml:space="preserve"> Störungen </w:t>
      </w:r>
      <w:r w:rsidRPr="00F648D4">
        <w:t xml:space="preserve">ein </w:t>
      </w:r>
      <w:r w:rsidR="004B3101">
        <w:t xml:space="preserve">ursächlicher </w:t>
      </w:r>
      <w:r w:rsidRPr="00F648D4">
        <w:t xml:space="preserve">Zusammenhang zu </w:t>
      </w:r>
      <w:r w:rsidR="0050454B">
        <w:t>anderen Bezügen</w:t>
      </w:r>
      <w:r w:rsidR="004B3101">
        <w:t xml:space="preserve"> </w:t>
      </w:r>
      <w:r w:rsidR="004A68E3">
        <w:t>–</w:t>
      </w:r>
      <w:r w:rsidR="004B3101">
        <w:t xml:space="preserve"> hier dem</w:t>
      </w:r>
      <w:r w:rsidR="004A68E3">
        <w:t xml:space="preserve"> Marihuana-Konsum –</w:t>
      </w:r>
      <w:r w:rsidRPr="00F648D4">
        <w:t xml:space="preserve"> </w:t>
      </w:r>
      <w:r w:rsidR="004A68E3">
        <w:t xml:space="preserve">herausgestellt </w:t>
      </w:r>
      <w:r w:rsidRPr="00F648D4">
        <w:t>wird</w:t>
      </w:r>
      <w:r w:rsidR="000E77DD">
        <w:t xml:space="preserve"> (vgl. Lamnek 1983)</w:t>
      </w:r>
      <w:r w:rsidR="0050454B">
        <w:t>. Diese</w:t>
      </w:r>
      <w:r w:rsidR="00753673">
        <w:t xml:space="preserve">s kriminologische Basiswissen muss auch in der Auseinandersetzung mit Daten zum Marihuana-Konsum </w:t>
      </w:r>
      <w:r w:rsidR="00B82321">
        <w:t>z</w:t>
      </w:r>
      <w:r w:rsidR="00B82321">
        <w:t>u</w:t>
      </w:r>
      <w:r w:rsidR="00B82321">
        <w:t>grunde gelegt</w:t>
      </w:r>
      <w:r w:rsidR="00753673">
        <w:t xml:space="preserve"> werden.</w:t>
      </w:r>
      <w:r w:rsidR="0050454B">
        <w:t xml:space="preserve">   </w:t>
      </w:r>
    </w:p>
    <w:p w14:paraId="2C5AB3F6" w14:textId="5A6F02C9" w:rsidR="00F648D4" w:rsidRDefault="00F648D4" w:rsidP="009D7629">
      <w:pPr>
        <w:spacing w:line="276" w:lineRule="auto"/>
        <w:jc w:val="both"/>
      </w:pPr>
      <w:r w:rsidRPr="00F648D4">
        <w:t xml:space="preserve"> </w:t>
      </w:r>
    </w:p>
    <w:p w14:paraId="7BE0E71A" w14:textId="3A8D7AC0" w:rsidR="00D978F0" w:rsidRDefault="00EE5DD9" w:rsidP="009D7629">
      <w:pPr>
        <w:spacing w:line="276" w:lineRule="auto"/>
        <w:jc w:val="both"/>
        <w:rPr>
          <w:rFonts w:cs="Verdana"/>
        </w:rPr>
      </w:pPr>
      <w:r w:rsidRPr="00F648D4">
        <w:t>In anderen Sicht</w:t>
      </w:r>
      <w:r w:rsidRPr="0081426E">
        <w:t xml:space="preserve">weisen wird nicht nur </w:t>
      </w:r>
      <w:r w:rsidR="002164BC">
        <w:t>ein</w:t>
      </w:r>
      <w:r w:rsidRPr="0081426E">
        <w:t xml:space="preserve"> Automatismus zwischen höherer Verfügbarkeit und </w:t>
      </w:r>
      <w:r w:rsidR="002164BC">
        <w:t>steigenden</w:t>
      </w:r>
      <w:r w:rsidRPr="0081426E">
        <w:t xml:space="preserve"> Konsumraten</w:t>
      </w:r>
      <w:r w:rsidR="00D427BC" w:rsidRPr="0081426E">
        <w:t xml:space="preserve"> unter Jugendlichen</w:t>
      </w:r>
      <w:r w:rsidRPr="0081426E">
        <w:t xml:space="preserve"> in Frage gestellt</w:t>
      </w:r>
      <w:r w:rsidR="006412B0">
        <w:t>. Nicht akzeptiert wird z</w:t>
      </w:r>
      <w:r w:rsidR="006412B0">
        <w:t>u</w:t>
      </w:r>
      <w:r w:rsidR="006412B0">
        <w:t xml:space="preserve">gleich </w:t>
      </w:r>
      <w:r w:rsidRPr="0081426E">
        <w:t>d</w:t>
      </w:r>
      <w:r w:rsidR="005E5C91" w:rsidRPr="0081426E">
        <w:t xml:space="preserve">ie aus den </w:t>
      </w:r>
      <w:r w:rsidR="001A4AB0">
        <w:t>19</w:t>
      </w:r>
      <w:r w:rsidR="005E5C91" w:rsidRPr="0081426E">
        <w:t xml:space="preserve">80er Jahren bekannte </w:t>
      </w:r>
      <w:r w:rsidRPr="0081426E">
        <w:t>Hypo</w:t>
      </w:r>
      <w:r w:rsidR="00D427BC" w:rsidRPr="0081426E">
        <w:t>these</w:t>
      </w:r>
      <w:r w:rsidR="00436444" w:rsidRPr="0081426E">
        <w:t xml:space="preserve"> von einem</w:t>
      </w:r>
      <w:r w:rsidR="001A4AB0" w:rsidRPr="001A4AB0">
        <w:t xml:space="preserve"> </w:t>
      </w:r>
      <w:r w:rsidR="001A4AB0" w:rsidRPr="0081426E">
        <w:t>amotivationalen</w:t>
      </w:r>
      <w:r w:rsidR="001A4AB0" w:rsidRPr="001A4AB0">
        <w:t xml:space="preserve"> </w:t>
      </w:r>
      <w:r w:rsidR="001A4AB0" w:rsidRPr="0081426E">
        <w:t>Syndrom</w:t>
      </w:r>
      <w:r w:rsidR="00436444" w:rsidRPr="0081426E">
        <w:t>,</w:t>
      </w:r>
      <w:r w:rsidRPr="0081426E">
        <w:t xml:space="preserve"> </w:t>
      </w:r>
      <w:r w:rsidR="007A2CCC">
        <w:t xml:space="preserve">das </w:t>
      </w:r>
      <w:r w:rsidR="00436444" w:rsidRPr="0081426E">
        <w:t>durch Cannabis</w:t>
      </w:r>
      <w:r w:rsidR="00D427BC" w:rsidRPr="0081426E">
        <w:t>konsum</w:t>
      </w:r>
      <w:r w:rsidR="00436444" w:rsidRPr="0081426E">
        <w:t xml:space="preserve"> </w:t>
      </w:r>
      <w:r w:rsidR="007A2CCC" w:rsidRPr="0081426E">
        <w:t>aus</w:t>
      </w:r>
      <w:r w:rsidR="007A2CCC">
        <w:t>gelöst</w:t>
      </w:r>
      <w:r w:rsidR="007A2CCC" w:rsidRPr="0081426E">
        <w:t xml:space="preserve"> </w:t>
      </w:r>
      <w:r w:rsidR="007A2CCC">
        <w:t xml:space="preserve">wird </w:t>
      </w:r>
      <w:r w:rsidR="00436444" w:rsidRPr="0081426E">
        <w:t>(vgl.</w:t>
      </w:r>
      <w:r w:rsidR="00C26D4E" w:rsidRPr="0081426E">
        <w:t xml:space="preserve"> u.</w:t>
      </w:r>
      <w:r w:rsidR="007A2CCC">
        <w:t xml:space="preserve"> </w:t>
      </w:r>
      <w:r w:rsidR="00C26D4E" w:rsidRPr="0081426E">
        <w:t>a. Täschner 1994, Eisenmeier 2003)</w:t>
      </w:r>
      <w:r w:rsidR="007A2CCC">
        <w:t xml:space="preserve"> und </w:t>
      </w:r>
      <w:r w:rsidR="000E77DD">
        <w:t xml:space="preserve">die befürchteten </w:t>
      </w:r>
      <w:r w:rsidR="004B3101">
        <w:t>problematische</w:t>
      </w:r>
      <w:r w:rsidR="000E77DD">
        <w:t>n</w:t>
      </w:r>
      <w:r w:rsidR="004B3101">
        <w:t xml:space="preserve"> Entwicklungen in</w:t>
      </w:r>
      <w:r w:rsidR="007A2CCC">
        <w:t xml:space="preserve"> Schule und Ausbildung begründet. Di</w:t>
      </w:r>
      <w:r w:rsidR="007A2CCC">
        <w:t>e</w:t>
      </w:r>
      <w:r w:rsidR="007A2CCC">
        <w:t>ses monokausale</w:t>
      </w:r>
      <w:r w:rsidR="005E5C91" w:rsidRPr="0081426E">
        <w:t xml:space="preserve"> Muster </w:t>
      </w:r>
      <w:r w:rsidR="007A2CCC">
        <w:t xml:space="preserve">gilt </w:t>
      </w:r>
      <w:r w:rsidR="00D427BC" w:rsidRPr="0081426E">
        <w:t xml:space="preserve">heute </w:t>
      </w:r>
      <w:r w:rsidR="005E5C91" w:rsidRPr="0081426E">
        <w:t>als nich</w:t>
      </w:r>
      <w:r w:rsidR="00D427BC" w:rsidRPr="0081426E">
        <w:t xml:space="preserve">t mehr haltbar (vgl. u. a. Wenk 2014, </w:t>
      </w:r>
      <w:r w:rsidR="00044F18" w:rsidRPr="0081426E">
        <w:t>Grotenhe</w:t>
      </w:r>
      <w:r w:rsidR="00044F18" w:rsidRPr="0081426E">
        <w:t>r</w:t>
      </w:r>
      <w:r w:rsidR="00044F18" w:rsidRPr="0081426E">
        <w:t xml:space="preserve">men 2006). </w:t>
      </w:r>
      <w:r w:rsidR="00D978F0">
        <w:t xml:space="preserve">Deshalb </w:t>
      </w:r>
      <w:r w:rsidR="007A2CCC">
        <w:t xml:space="preserve">ist </w:t>
      </w:r>
      <w:r w:rsidR="00D978F0">
        <w:t>den komplexen Hintergründen für Schulausschlüsse und abgebr</w:t>
      </w:r>
      <w:r w:rsidR="00D978F0">
        <w:t>o</w:t>
      </w:r>
      <w:r w:rsidR="00D978F0">
        <w:t xml:space="preserve">chenen Bildungswegen ebenso nachzugehen, wie </w:t>
      </w:r>
      <w:r w:rsidR="007A2CCC">
        <w:t>Daten</w:t>
      </w:r>
      <w:r w:rsidR="00D978F0">
        <w:t>, die gravierende gesundheitliche Störungen in Folge des Marihuana-Konsums herausstellen.</w:t>
      </w:r>
      <w:r w:rsidR="000E77DD">
        <w:t xml:space="preserve"> </w:t>
      </w:r>
      <w:r w:rsidR="007A2CCC">
        <w:t xml:space="preserve">Zu hinterfragen ist </w:t>
      </w:r>
      <w:r w:rsidR="00E55F28">
        <w:t>a</w:t>
      </w:r>
      <w:r w:rsidR="00303CFF">
        <w:t xml:space="preserve">uch </w:t>
      </w:r>
      <w:r w:rsidR="00D427BC" w:rsidRPr="0081426E">
        <w:t>die</w:t>
      </w:r>
      <w:r w:rsidR="005E5C91" w:rsidRPr="0081426E">
        <w:t xml:space="preserve"> in einigen Studien </w:t>
      </w:r>
      <w:r w:rsidR="007A2CCC">
        <w:t>angenommene</w:t>
      </w:r>
      <w:r w:rsidR="005E5C91" w:rsidRPr="0081426E">
        <w:t xml:space="preserve"> </w:t>
      </w:r>
      <w:r w:rsidR="00D427BC" w:rsidRPr="0081426E">
        <w:t xml:space="preserve">monokausale </w:t>
      </w:r>
      <w:r w:rsidR="005E5C91" w:rsidRPr="0081426E">
        <w:t xml:space="preserve">Hypothese </w:t>
      </w:r>
      <w:r w:rsidR="00D427BC" w:rsidRPr="0081426E">
        <w:t xml:space="preserve">von einem </w:t>
      </w:r>
      <w:r w:rsidR="005E5C91" w:rsidRPr="0081426E">
        <w:t>negativen Effek</w:t>
      </w:r>
      <w:r w:rsidR="00D427BC" w:rsidRPr="0081426E">
        <w:t>t</w:t>
      </w:r>
      <w:r w:rsidR="005E5C91" w:rsidRPr="0081426E">
        <w:t xml:space="preserve"> des Ca</w:t>
      </w:r>
      <w:r w:rsidR="005E5C91" w:rsidRPr="0081426E">
        <w:t>n</w:t>
      </w:r>
      <w:r w:rsidR="005E5C91" w:rsidRPr="0081426E">
        <w:t xml:space="preserve">nabiskonsums auf die Entwicklung </w:t>
      </w:r>
      <w:r w:rsidR="007A2CCC">
        <w:t>der kognitiven</w:t>
      </w:r>
      <w:r w:rsidR="005E5C91" w:rsidRPr="0081426E">
        <w:t xml:space="preserve">, insbesondere </w:t>
      </w:r>
      <w:r w:rsidR="007A2CCC">
        <w:t xml:space="preserve">der </w:t>
      </w:r>
      <w:r w:rsidR="005E5C91" w:rsidRPr="0081426E">
        <w:t>intellektuel</w:t>
      </w:r>
      <w:r w:rsidR="007A2CCC">
        <w:t>len</w:t>
      </w:r>
      <w:r w:rsidR="005E5C91" w:rsidRPr="0081426E">
        <w:t xml:space="preserve"> Lei</w:t>
      </w:r>
      <w:r w:rsidR="005E5C91" w:rsidRPr="0081426E">
        <w:t>s</w:t>
      </w:r>
      <w:r w:rsidR="005E5C91" w:rsidRPr="0081426E">
        <w:t xml:space="preserve">tungsfähigkeit von Jugendlichen (vgl. </w:t>
      </w:r>
      <w:r w:rsidR="006128FE" w:rsidRPr="0081426E">
        <w:t>Moffitt, Meier, Caspi, Poul</w:t>
      </w:r>
      <w:r w:rsidR="0081426E">
        <w:t xml:space="preserve"> 2013</w:t>
      </w:r>
      <w:r w:rsidR="007A2CCC">
        <w:t xml:space="preserve">, Einwänden dazu </w:t>
      </w:r>
      <w:r w:rsidR="00D427BC" w:rsidRPr="0081426E">
        <w:t xml:space="preserve">u. a. </w:t>
      </w:r>
      <w:r w:rsidR="00D427BC" w:rsidRPr="0081426E">
        <w:rPr>
          <w:rFonts w:cs="Verdana"/>
        </w:rPr>
        <w:t>Volkow 2013)</w:t>
      </w:r>
      <w:r w:rsidR="00753673">
        <w:rPr>
          <w:rFonts w:cs="Verdana"/>
        </w:rPr>
        <w:t xml:space="preserve">. </w:t>
      </w:r>
    </w:p>
    <w:p w14:paraId="368B683F" w14:textId="2EF49AF8" w:rsidR="00753673" w:rsidRDefault="007A2CCC" w:rsidP="009D7629">
      <w:pPr>
        <w:spacing w:line="276" w:lineRule="auto"/>
        <w:jc w:val="both"/>
        <w:rPr>
          <w:rFonts w:cs="Verdana"/>
        </w:rPr>
      </w:pPr>
      <w:r>
        <w:rPr>
          <w:rFonts w:cs="Verdana"/>
        </w:rPr>
        <w:t>Auch aus diesen Zusammenhängen erschließt sich</w:t>
      </w:r>
      <w:r w:rsidR="00E55F28">
        <w:rPr>
          <w:rFonts w:cs="Verdana"/>
        </w:rPr>
        <w:t xml:space="preserve">, dass </w:t>
      </w:r>
      <w:r w:rsidR="00303CFF">
        <w:rPr>
          <w:rFonts w:cs="Verdana"/>
        </w:rPr>
        <w:t xml:space="preserve">sich derartige Marker nicht </w:t>
      </w:r>
      <w:r w:rsidR="00E55F28">
        <w:rPr>
          <w:rFonts w:cs="Verdana"/>
        </w:rPr>
        <w:t>unbes</w:t>
      </w:r>
      <w:r w:rsidR="00E55F28">
        <w:rPr>
          <w:rFonts w:cs="Verdana"/>
        </w:rPr>
        <w:t>e</w:t>
      </w:r>
      <w:r w:rsidR="00E55F28">
        <w:rPr>
          <w:rFonts w:cs="Verdana"/>
        </w:rPr>
        <w:t xml:space="preserve">hen </w:t>
      </w:r>
      <w:r w:rsidR="00303CFF">
        <w:rPr>
          <w:rFonts w:cs="Verdana"/>
        </w:rPr>
        <w:t xml:space="preserve">für eine Beurteilung </w:t>
      </w:r>
      <w:r w:rsidR="00273877">
        <w:rPr>
          <w:rFonts w:cs="Verdana"/>
        </w:rPr>
        <w:t xml:space="preserve">von </w:t>
      </w:r>
      <w:r w:rsidR="00D01097">
        <w:rPr>
          <w:rFonts w:cs="Verdana"/>
        </w:rPr>
        <w:t>Regulierung</w:t>
      </w:r>
      <w:r w:rsidR="00273877">
        <w:rPr>
          <w:rFonts w:cs="Verdana"/>
        </w:rPr>
        <w:t>seffekten</w:t>
      </w:r>
      <w:r w:rsidR="00E55F28" w:rsidRPr="00E55F28">
        <w:rPr>
          <w:rFonts w:cs="Verdana"/>
        </w:rPr>
        <w:t xml:space="preserve"> </w:t>
      </w:r>
      <w:r w:rsidR="00E55F28">
        <w:rPr>
          <w:rFonts w:cs="Verdana"/>
        </w:rPr>
        <w:t>eignen</w:t>
      </w:r>
      <w:r w:rsidR="0081426E" w:rsidRPr="0081426E">
        <w:rPr>
          <w:rFonts w:cs="Verdana"/>
        </w:rPr>
        <w:t xml:space="preserve">. </w:t>
      </w:r>
      <w:r w:rsidR="00303CFF">
        <w:rPr>
          <w:rFonts w:cs="Verdana"/>
        </w:rPr>
        <w:t xml:space="preserve">Hypothetisch lässt sich entgegnen, dass </w:t>
      </w:r>
      <w:r w:rsidRPr="007A2CCC">
        <w:rPr>
          <w:rFonts w:cs="Verdana"/>
          <w:i/>
        </w:rPr>
        <w:t>erstens</w:t>
      </w:r>
      <w:r>
        <w:rPr>
          <w:rFonts w:cs="Verdana"/>
        </w:rPr>
        <w:t xml:space="preserve"> </w:t>
      </w:r>
      <w:r w:rsidR="0081426E" w:rsidRPr="0081426E">
        <w:rPr>
          <w:rFonts w:cs="Verdana"/>
        </w:rPr>
        <w:t xml:space="preserve">eine verbesserte Zugänglichkeit </w:t>
      </w:r>
      <w:r>
        <w:rPr>
          <w:rFonts w:cs="Verdana"/>
        </w:rPr>
        <w:t>zu</w:t>
      </w:r>
      <w:r w:rsidR="0081426E" w:rsidRPr="0081426E">
        <w:rPr>
          <w:rFonts w:cs="Verdana"/>
        </w:rPr>
        <w:t xml:space="preserve"> Cannabis den Konsum dieser Substanz als Distinktionsmittel </w:t>
      </w:r>
      <w:r w:rsidR="001346A5">
        <w:rPr>
          <w:rFonts w:cs="Verdana"/>
        </w:rPr>
        <w:t xml:space="preserve">oppositioneller Lebensstile </w:t>
      </w:r>
      <w:r w:rsidR="0081426E">
        <w:rPr>
          <w:rFonts w:cs="Verdana"/>
        </w:rPr>
        <w:t xml:space="preserve">für Jugendliche </w:t>
      </w:r>
      <w:r w:rsidR="0081426E" w:rsidRPr="0081426E">
        <w:rPr>
          <w:rFonts w:cs="Verdana"/>
        </w:rPr>
        <w:t>weniger attraktiv werden lässt</w:t>
      </w:r>
      <w:r>
        <w:rPr>
          <w:rFonts w:cs="Verdana"/>
        </w:rPr>
        <w:t>;</w:t>
      </w:r>
      <w:r w:rsidR="0081426E" w:rsidRPr="0081426E">
        <w:rPr>
          <w:rFonts w:cs="Verdana"/>
        </w:rPr>
        <w:t xml:space="preserve"> </w:t>
      </w:r>
      <w:r w:rsidR="00303CFF">
        <w:rPr>
          <w:rFonts w:cs="Verdana"/>
        </w:rPr>
        <w:t xml:space="preserve">sich </w:t>
      </w:r>
      <w:r w:rsidRPr="007A2CCC">
        <w:rPr>
          <w:rFonts w:cs="Verdana"/>
          <w:i/>
        </w:rPr>
        <w:t>zweitens</w:t>
      </w:r>
      <w:r>
        <w:rPr>
          <w:rFonts w:cs="Verdana"/>
        </w:rPr>
        <w:t xml:space="preserve"> </w:t>
      </w:r>
      <w:r w:rsidR="0081426E" w:rsidRPr="0081426E">
        <w:rPr>
          <w:rFonts w:cs="Verdana"/>
        </w:rPr>
        <w:t>Prozesse der Sozialisation und des Lernens des Umganges mit dieser Substanz besser kontrol</w:t>
      </w:r>
      <w:r w:rsidR="00303CFF">
        <w:rPr>
          <w:rFonts w:cs="Verdana"/>
        </w:rPr>
        <w:t>lieren</w:t>
      </w:r>
      <w:r w:rsidR="0081426E" w:rsidRPr="0081426E">
        <w:rPr>
          <w:rFonts w:cs="Verdana"/>
        </w:rPr>
        <w:t xml:space="preserve"> und begleite</w:t>
      </w:r>
      <w:r w:rsidR="00303CFF">
        <w:rPr>
          <w:rFonts w:cs="Verdana"/>
        </w:rPr>
        <w:t>n lassen</w:t>
      </w:r>
      <w:r>
        <w:rPr>
          <w:rFonts w:cs="Verdana"/>
        </w:rPr>
        <w:t xml:space="preserve">; </w:t>
      </w:r>
      <w:r w:rsidRPr="007A2CCC">
        <w:rPr>
          <w:rFonts w:cs="Verdana"/>
          <w:i/>
        </w:rPr>
        <w:t>drittens</w:t>
      </w:r>
      <w:r>
        <w:rPr>
          <w:rFonts w:cs="Verdana"/>
        </w:rPr>
        <w:t xml:space="preserve"> </w:t>
      </w:r>
      <w:r w:rsidR="0081426E">
        <w:rPr>
          <w:rFonts w:cs="Verdana"/>
        </w:rPr>
        <w:t>entstigmatisierende und entkriminalisi</w:t>
      </w:r>
      <w:r w:rsidR="0081426E">
        <w:rPr>
          <w:rFonts w:cs="Verdana"/>
        </w:rPr>
        <w:t>e</w:t>
      </w:r>
      <w:r w:rsidR="0081426E">
        <w:rPr>
          <w:rFonts w:cs="Verdana"/>
        </w:rPr>
        <w:t xml:space="preserve">rende Effekte </w:t>
      </w:r>
      <w:r w:rsidR="008B5D38">
        <w:rPr>
          <w:rFonts w:cs="Verdana"/>
        </w:rPr>
        <w:t>von</w:t>
      </w:r>
      <w:r w:rsidR="0081426E">
        <w:rPr>
          <w:rFonts w:cs="Verdana"/>
        </w:rPr>
        <w:t xml:space="preserve"> </w:t>
      </w:r>
      <w:r w:rsidR="00D01097">
        <w:rPr>
          <w:rFonts w:cs="Verdana"/>
        </w:rPr>
        <w:t>Regulierung</w:t>
      </w:r>
      <w:r w:rsidR="008B5D38">
        <w:rPr>
          <w:rFonts w:cs="Verdana"/>
        </w:rPr>
        <w:t>sprozessen</w:t>
      </w:r>
      <w:r w:rsidR="0081426E">
        <w:rPr>
          <w:rFonts w:cs="Verdana"/>
        </w:rPr>
        <w:t xml:space="preserve"> nicht nur zu weniger schwer</w:t>
      </w:r>
      <w:r>
        <w:rPr>
          <w:rFonts w:cs="Verdana"/>
        </w:rPr>
        <w:t xml:space="preserve">en </w:t>
      </w:r>
      <w:r w:rsidR="0081426E">
        <w:rPr>
          <w:rFonts w:cs="Verdana"/>
        </w:rPr>
        <w:t>Eingriffen i</w:t>
      </w:r>
      <w:r w:rsidR="001346A5">
        <w:rPr>
          <w:rFonts w:cs="Verdana"/>
        </w:rPr>
        <w:t>n j</w:t>
      </w:r>
      <w:r w:rsidR="001346A5">
        <w:rPr>
          <w:rFonts w:cs="Verdana"/>
        </w:rPr>
        <w:t>u</w:t>
      </w:r>
      <w:r w:rsidR="001346A5">
        <w:rPr>
          <w:rFonts w:cs="Verdana"/>
        </w:rPr>
        <w:t xml:space="preserve">gendliche Biographien </w:t>
      </w:r>
      <w:r w:rsidR="006412B0">
        <w:rPr>
          <w:rFonts w:cs="Verdana"/>
        </w:rPr>
        <w:t xml:space="preserve">führen </w:t>
      </w:r>
      <w:r w:rsidR="00273877">
        <w:rPr>
          <w:rFonts w:cs="Verdana"/>
        </w:rPr>
        <w:t>(z. B. durch Schulverweise, polizeiliche Ermittlungen, gerichtl</w:t>
      </w:r>
      <w:r w:rsidR="00273877">
        <w:rPr>
          <w:rFonts w:cs="Verdana"/>
        </w:rPr>
        <w:t>i</w:t>
      </w:r>
      <w:r w:rsidR="00273877">
        <w:rPr>
          <w:rFonts w:cs="Verdana"/>
        </w:rPr>
        <w:t>che Strafen)</w:t>
      </w:r>
      <w:r w:rsidR="0081426E">
        <w:rPr>
          <w:rFonts w:cs="Verdana"/>
        </w:rPr>
        <w:t xml:space="preserve">, sondern </w:t>
      </w:r>
      <w:r w:rsidRPr="007A2CCC">
        <w:rPr>
          <w:rFonts w:cs="Verdana"/>
          <w:i/>
        </w:rPr>
        <w:t>viertens</w:t>
      </w:r>
      <w:r>
        <w:rPr>
          <w:rFonts w:cs="Verdana"/>
        </w:rPr>
        <w:t xml:space="preserve"> </w:t>
      </w:r>
      <w:r w:rsidR="0081426E">
        <w:rPr>
          <w:rFonts w:cs="Verdana"/>
        </w:rPr>
        <w:t>die Suche nach Hilfe und Unterstüt</w:t>
      </w:r>
      <w:r w:rsidR="004B3101">
        <w:rPr>
          <w:rFonts w:cs="Verdana"/>
        </w:rPr>
        <w:t>zung im Fall</w:t>
      </w:r>
      <w:r w:rsidR="0081426E">
        <w:rPr>
          <w:rFonts w:cs="Verdana"/>
        </w:rPr>
        <w:t xml:space="preserve"> problemat</w:t>
      </w:r>
      <w:r w:rsidR="0081426E">
        <w:rPr>
          <w:rFonts w:cs="Verdana"/>
        </w:rPr>
        <w:t>i</w:t>
      </w:r>
      <w:r w:rsidR="0081426E">
        <w:rPr>
          <w:rFonts w:cs="Verdana"/>
        </w:rPr>
        <w:t>scher Konsumepisoden schneller erfolg</w:t>
      </w:r>
      <w:r>
        <w:rPr>
          <w:rFonts w:cs="Verdana"/>
        </w:rPr>
        <w:t xml:space="preserve">t </w:t>
      </w:r>
      <w:r w:rsidR="00AF1C4A">
        <w:rPr>
          <w:rFonts w:cs="Verdana"/>
        </w:rPr>
        <w:t>(vgl. u. a. Schneider 2007, Stöver 1996</w:t>
      </w:r>
      <w:r w:rsidR="001346A5">
        <w:rPr>
          <w:rFonts w:cs="Verdana"/>
        </w:rPr>
        <w:t>)</w:t>
      </w:r>
      <w:r w:rsidR="0081426E">
        <w:rPr>
          <w:rFonts w:cs="Verdana"/>
        </w:rPr>
        <w:t xml:space="preserve">. </w:t>
      </w:r>
      <w:r w:rsidR="006412B0">
        <w:rPr>
          <w:rFonts w:cs="Verdana"/>
        </w:rPr>
        <w:t>Geschlus</w:t>
      </w:r>
      <w:r w:rsidR="006412B0">
        <w:rPr>
          <w:rFonts w:cs="Verdana"/>
        </w:rPr>
        <w:t>s</w:t>
      </w:r>
      <w:r w:rsidR="006412B0">
        <w:rPr>
          <w:rFonts w:cs="Verdana"/>
        </w:rPr>
        <w:t>folgert wird, dass</w:t>
      </w:r>
      <w:r w:rsidR="0081426E">
        <w:rPr>
          <w:rFonts w:cs="Verdana"/>
        </w:rPr>
        <w:t xml:space="preserve"> zwar die</w:t>
      </w:r>
      <w:r w:rsidR="00C25785">
        <w:rPr>
          <w:rFonts w:cs="Verdana"/>
        </w:rPr>
        <w:t xml:space="preserve"> </w:t>
      </w:r>
      <w:r w:rsidR="00B504FD">
        <w:rPr>
          <w:rFonts w:cs="Verdana"/>
        </w:rPr>
        <w:t xml:space="preserve">Lebenszeitprävalenz </w:t>
      </w:r>
      <w:r w:rsidR="001346A5">
        <w:rPr>
          <w:rFonts w:cs="Verdana"/>
        </w:rPr>
        <w:t xml:space="preserve">und </w:t>
      </w:r>
      <w:r w:rsidR="00B504FD">
        <w:rPr>
          <w:rFonts w:cs="Verdana"/>
        </w:rPr>
        <w:t>die Prävalenz des</w:t>
      </w:r>
      <w:r w:rsidR="00C25785">
        <w:rPr>
          <w:rFonts w:cs="Verdana"/>
        </w:rPr>
        <w:t xml:space="preserve"> Gelegenheitskonsum</w:t>
      </w:r>
      <w:r w:rsidR="00B504FD">
        <w:rPr>
          <w:rFonts w:cs="Verdana"/>
        </w:rPr>
        <w:t>s</w:t>
      </w:r>
      <w:r w:rsidR="00C25785">
        <w:rPr>
          <w:rFonts w:cs="Verdana"/>
        </w:rPr>
        <w:t xml:space="preserve"> </w:t>
      </w:r>
      <w:r w:rsidR="00B504FD">
        <w:rPr>
          <w:rFonts w:cs="Verdana"/>
        </w:rPr>
        <w:t xml:space="preserve">nicht </w:t>
      </w:r>
      <w:r w:rsidR="00C25785">
        <w:rPr>
          <w:rFonts w:cs="Verdana"/>
        </w:rPr>
        <w:t>sinken</w:t>
      </w:r>
      <w:r>
        <w:rPr>
          <w:rFonts w:cs="Verdana"/>
        </w:rPr>
        <w:t xml:space="preserve"> wird</w:t>
      </w:r>
      <w:r w:rsidR="00C25785">
        <w:rPr>
          <w:rFonts w:cs="Verdana"/>
        </w:rPr>
        <w:t xml:space="preserve">, </w:t>
      </w:r>
      <w:r>
        <w:rPr>
          <w:rFonts w:cs="Verdana"/>
        </w:rPr>
        <w:t xml:space="preserve">bestenfalls </w:t>
      </w:r>
      <w:r w:rsidR="00C25785">
        <w:rPr>
          <w:rFonts w:cs="Verdana"/>
        </w:rPr>
        <w:t xml:space="preserve">aber die </w:t>
      </w:r>
      <w:r w:rsidR="0081426E">
        <w:rPr>
          <w:rFonts w:cs="Verdana"/>
        </w:rPr>
        <w:t>Zahl</w:t>
      </w:r>
      <w:r w:rsidR="00C25785">
        <w:rPr>
          <w:rFonts w:cs="Verdana"/>
        </w:rPr>
        <w:t xml:space="preserve"> prob</w:t>
      </w:r>
      <w:r w:rsidR="001346A5">
        <w:rPr>
          <w:rFonts w:cs="Verdana"/>
        </w:rPr>
        <w:t xml:space="preserve">lematisch Konsumierender, </w:t>
      </w:r>
      <w:r w:rsidR="00303CFF">
        <w:rPr>
          <w:rFonts w:cs="Verdana"/>
        </w:rPr>
        <w:t xml:space="preserve">ebenso wie </w:t>
      </w:r>
      <w:r w:rsidR="001346A5">
        <w:rPr>
          <w:rFonts w:cs="Verdana"/>
        </w:rPr>
        <w:t>die Zahl schwerwiegender Drogennotfälle infolge toxischer Verunreinigungen und Überdosi</w:t>
      </w:r>
      <w:r w:rsidR="001346A5">
        <w:rPr>
          <w:rFonts w:cs="Verdana"/>
        </w:rPr>
        <w:t>e</w:t>
      </w:r>
      <w:r w:rsidR="001346A5">
        <w:rPr>
          <w:rFonts w:cs="Verdana"/>
        </w:rPr>
        <w:t>run</w:t>
      </w:r>
      <w:r w:rsidR="00F648D4">
        <w:rPr>
          <w:rFonts w:cs="Verdana"/>
        </w:rPr>
        <w:t>gen</w:t>
      </w:r>
      <w:r w:rsidR="00303CFF">
        <w:rPr>
          <w:rFonts w:cs="Verdana"/>
        </w:rPr>
        <w:t xml:space="preserve"> und </w:t>
      </w:r>
      <w:r w:rsidR="001346A5">
        <w:rPr>
          <w:rFonts w:cs="Verdana"/>
        </w:rPr>
        <w:t>die Nachfrage</w:t>
      </w:r>
      <w:r w:rsidR="00F648D4">
        <w:rPr>
          <w:rFonts w:cs="Verdana"/>
        </w:rPr>
        <w:t xml:space="preserve"> </w:t>
      </w:r>
      <w:r w:rsidR="00B00CAA">
        <w:rPr>
          <w:rFonts w:cs="Verdana"/>
        </w:rPr>
        <w:t xml:space="preserve">nach </w:t>
      </w:r>
      <w:r w:rsidR="00F648D4">
        <w:rPr>
          <w:rFonts w:cs="Verdana"/>
        </w:rPr>
        <w:t>langwierigen Therapieangeboten für komplex verelendete Konsumenten</w:t>
      </w:r>
      <w:r w:rsidR="00753673">
        <w:rPr>
          <w:rFonts w:cs="Verdana"/>
        </w:rPr>
        <w:t xml:space="preserve"> </w:t>
      </w:r>
      <w:r>
        <w:rPr>
          <w:rFonts w:cs="Verdana"/>
        </w:rPr>
        <w:t>abnimmt</w:t>
      </w:r>
      <w:r w:rsidR="001346A5">
        <w:rPr>
          <w:rFonts w:cs="Verdana"/>
        </w:rPr>
        <w:t xml:space="preserve">. </w:t>
      </w:r>
    </w:p>
    <w:p w14:paraId="43FF5C79" w14:textId="78E9E8F8" w:rsidR="00753673" w:rsidRDefault="007A2CCC" w:rsidP="009D7629">
      <w:pPr>
        <w:spacing w:line="276" w:lineRule="auto"/>
        <w:jc w:val="both"/>
        <w:rPr>
          <w:rFonts w:cs="Verdana"/>
          <w:szCs w:val="22"/>
        </w:rPr>
      </w:pPr>
      <w:r>
        <w:rPr>
          <w:rFonts w:cs="Verdana"/>
          <w:szCs w:val="22"/>
        </w:rPr>
        <w:t>Angesichts</w:t>
      </w:r>
      <w:r w:rsidR="00753673" w:rsidRPr="002528BF">
        <w:rPr>
          <w:rFonts w:cs="Verdana"/>
          <w:szCs w:val="22"/>
        </w:rPr>
        <w:t xml:space="preserve"> </w:t>
      </w:r>
      <w:r w:rsidR="00753673">
        <w:rPr>
          <w:rFonts w:cs="Verdana"/>
          <w:szCs w:val="22"/>
        </w:rPr>
        <w:t xml:space="preserve">derart </w:t>
      </w:r>
      <w:r>
        <w:rPr>
          <w:rFonts w:cs="Verdana"/>
          <w:szCs w:val="22"/>
        </w:rPr>
        <w:t>widerstreitender</w:t>
      </w:r>
      <w:r w:rsidR="00753673" w:rsidRPr="002528BF">
        <w:rPr>
          <w:rFonts w:cs="Verdana"/>
          <w:szCs w:val="22"/>
        </w:rPr>
        <w:t xml:space="preserve"> Hypothesen zu den </w:t>
      </w:r>
      <w:r w:rsidR="00D01097">
        <w:rPr>
          <w:rFonts w:cs="Verdana"/>
          <w:szCs w:val="22"/>
        </w:rPr>
        <w:t>Regulierung</w:t>
      </w:r>
      <w:r w:rsidR="00753673" w:rsidRPr="002528BF">
        <w:rPr>
          <w:rFonts w:cs="Verdana"/>
          <w:szCs w:val="22"/>
        </w:rPr>
        <w:t>seffekten für Jugendli</w:t>
      </w:r>
      <w:r>
        <w:rPr>
          <w:rFonts w:cs="Verdana"/>
          <w:szCs w:val="22"/>
        </w:rPr>
        <w:t>che und junge Erwachsene</w:t>
      </w:r>
      <w:r w:rsidR="00753673" w:rsidRPr="002528BF">
        <w:rPr>
          <w:rFonts w:cs="Verdana"/>
          <w:szCs w:val="22"/>
        </w:rPr>
        <w:t xml:space="preserve"> wird interessant, wie sich diese Entwicklun</w:t>
      </w:r>
      <w:r>
        <w:rPr>
          <w:rFonts w:cs="Verdana"/>
          <w:szCs w:val="22"/>
        </w:rPr>
        <w:t xml:space="preserve">gen </w:t>
      </w:r>
      <w:r w:rsidR="00753673" w:rsidRPr="002528BF">
        <w:rPr>
          <w:rFonts w:cs="Verdana"/>
          <w:szCs w:val="22"/>
        </w:rPr>
        <w:t xml:space="preserve">in Colorado und Washington darstellen. </w:t>
      </w:r>
    </w:p>
    <w:p w14:paraId="634D93EE" w14:textId="3984AE30" w:rsidR="00A72483" w:rsidRDefault="00A72483" w:rsidP="009D7629">
      <w:pPr>
        <w:pStyle w:val="berschrift2"/>
        <w:spacing w:line="276" w:lineRule="auto"/>
        <w:jc w:val="both"/>
      </w:pPr>
      <w:bookmarkStart w:id="29" w:name="_Toc349300358"/>
      <w:r>
        <w:t>U.S.-amerikanische Jugendliche und Marihuana</w:t>
      </w:r>
      <w:bookmarkEnd w:id="29"/>
      <w:r>
        <w:t xml:space="preserve"> </w:t>
      </w:r>
    </w:p>
    <w:p w14:paraId="4E800888" w14:textId="014E5D41" w:rsidR="00E178C1" w:rsidRDefault="00A72483" w:rsidP="009D7629">
      <w:pPr>
        <w:pStyle w:val="berschrift3"/>
        <w:spacing w:line="276" w:lineRule="auto"/>
        <w:jc w:val="both"/>
      </w:pPr>
      <w:bookmarkStart w:id="30" w:name="_Toc349300359"/>
      <w:r>
        <w:t xml:space="preserve">Zur U.S.-amerikanischen </w:t>
      </w:r>
      <w:r w:rsidR="00415A1B">
        <w:t>Daten</w:t>
      </w:r>
      <w:r>
        <w:t>lage</w:t>
      </w:r>
      <w:bookmarkEnd w:id="30"/>
      <w:r w:rsidR="00E178C1">
        <w:t xml:space="preserve"> </w:t>
      </w:r>
    </w:p>
    <w:p w14:paraId="1C20DDBA" w14:textId="59BBACF0" w:rsidR="00F30F9A" w:rsidRPr="002528BF" w:rsidRDefault="007A2CCC" w:rsidP="009D7629">
      <w:pPr>
        <w:spacing w:line="276" w:lineRule="auto"/>
        <w:jc w:val="both"/>
        <w:rPr>
          <w:rFonts w:cs="Verdana"/>
          <w:szCs w:val="22"/>
        </w:rPr>
      </w:pPr>
      <w:r>
        <w:rPr>
          <w:szCs w:val="22"/>
        </w:rPr>
        <w:t>Für das Verstehen der</w:t>
      </w:r>
      <w:r w:rsidR="00753673">
        <w:rPr>
          <w:szCs w:val="22"/>
        </w:rPr>
        <w:t xml:space="preserve"> </w:t>
      </w:r>
      <w:r w:rsidR="00D01097">
        <w:rPr>
          <w:szCs w:val="22"/>
        </w:rPr>
        <w:t>Regulierung</w:t>
      </w:r>
      <w:r>
        <w:rPr>
          <w:szCs w:val="22"/>
        </w:rPr>
        <w:t>seffekte</w:t>
      </w:r>
      <w:r w:rsidR="00753673">
        <w:rPr>
          <w:szCs w:val="22"/>
        </w:rPr>
        <w:t xml:space="preserve"> </w:t>
      </w:r>
      <w:r>
        <w:rPr>
          <w:szCs w:val="22"/>
        </w:rPr>
        <w:t>für Jugendliche</w:t>
      </w:r>
      <w:r w:rsidR="00753673">
        <w:rPr>
          <w:szCs w:val="22"/>
        </w:rPr>
        <w:t xml:space="preserve"> </w:t>
      </w:r>
      <w:r>
        <w:rPr>
          <w:szCs w:val="22"/>
        </w:rPr>
        <w:t>muss</w:t>
      </w:r>
      <w:r w:rsidR="00E17F51" w:rsidRPr="002528BF">
        <w:rPr>
          <w:szCs w:val="22"/>
        </w:rPr>
        <w:t xml:space="preserve"> </w:t>
      </w:r>
      <w:r w:rsidR="00FA13F6" w:rsidRPr="002528BF">
        <w:rPr>
          <w:szCs w:val="22"/>
        </w:rPr>
        <w:t>zweifellos</w:t>
      </w:r>
      <w:r w:rsidR="00083FE1" w:rsidRPr="002528BF">
        <w:rPr>
          <w:szCs w:val="22"/>
        </w:rPr>
        <w:t xml:space="preserve"> </w:t>
      </w:r>
      <w:r w:rsidR="00E17F51" w:rsidRPr="002528BF">
        <w:rPr>
          <w:szCs w:val="22"/>
        </w:rPr>
        <w:t>die</w:t>
      </w:r>
      <w:r w:rsidR="00FA13F6" w:rsidRPr="002528BF">
        <w:rPr>
          <w:szCs w:val="22"/>
        </w:rPr>
        <w:t xml:space="preserve"> </w:t>
      </w:r>
      <w:r w:rsidR="00E17F51" w:rsidRPr="002528BF">
        <w:rPr>
          <w:szCs w:val="22"/>
        </w:rPr>
        <w:t>besondere</w:t>
      </w:r>
      <w:r w:rsidR="00FA13F6" w:rsidRPr="002528BF">
        <w:rPr>
          <w:szCs w:val="22"/>
        </w:rPr>
        <w:t xml:space="preserve"> </w:t>
      </w:r>
      <w:r w:rsidR="00303CFF" w:rsidRPr="002528BF">
        <w:rPr>
          <w:szCs w:val="22"/>
        </w:rPr>
        <w:t>Bedeutung</w:t>
      </w:r>
      <w:r w:rsidR="00FA13F6" w:rsidRPr="002528BF">
        <w:rPr>
          <w:szCs w:val="22"/>
        </w:rPr>
        <w:t xml:space="preserve"> </w:t>
      </w:r>
      <w:r w:rsidR="00E17F51" w:rsidRPr="002528BF">
        <w:rPr>
          <w:szCs w:val="22"/>
        </w:rPr>
        <w:t xml:space="preserve">des sogenannten </w:t>
      </w:r>
      <w:r w:rsidR="00083FE1" w:rsidRPr="002528BF">
        <w:rPr>
          <w:szCs w:val="22"/>
        </w:rPr>
        <w:t>Cole-Memo</w:t>
      </w:r>
      <w:r w:rsidR="00FA13F6" w:rsidRPr="002528BF">
        <w:rPr>
          <w:szCs w:val="22"/>
        </w:rPr>
        <w:t xml:space="preserve">s </w:t>
      </w:r>
      <w:r>
        <w:rPr>
          <w:szCs w:val="22"/>
        </w:rPr>
        <w:t xml:space="preserve">nochmals </w:t>
      </w:r>
      <w:r w:rsidR="00E17F51" w:rsidRPr="002528BF">
        <w:rPr>
          <w:szCs w:val="22"/>
        </w:rPr>
        <w:t xml:space="preserve">in den Blick </w:t>
      </w:r>
      <w:r>
        <w:rPr>
          <w:szCs w:val="22"/>
        </w:rPr>
        <w:t>genommen werden (vgl. S. 25)</w:t>
      </w:r>
      <w:r w:rsidR="00303CFF" w:rsidRPr="002528BF">
        <w:rPr>
          <w:szCs w:val="22"/>
        </w:rPr>
        <w:t xml:space="preserve">: </w:t>
      </w:r>
      <w:r w:rsidR="00E17F51" w:rsidRPr="002528BF">
        <w:rPr>
          <w:szCs w:val="22"/>
        </w:rPr>
        <w:t>In diesem Forderungskatalog gehören die Nicht-Weitergabe von Marihuana an Minde</w:t>
      </w:r>
      <w:r w:rsidR="00E17F51" w:rsidRPr="002528BF">
        <w:rPr>
          <w:szCs w:val="22"/>
        </w:rPr>
        <w:t>r</w:t>
      </w:r>
      <w:r w:rsidR="00E17F51" w:rsidRPr="002528BF">
        <w:rPr>
          <w:szCs w:val="22"/>
        </w:rPr>
        <w:t xml:space="preserve">jährige und der Schutz der öffentlichen Gesundheit </w:t>
      </w:r>
      <w:r w:rsidR="0097654D" w:rsidRPr="002528BF">
        <w:rPr>
          <w:szCs w:val="22"/>
        </w:rPr>
        <w:t>zu den nicht hinterfragbaren Ansprüchen</w:t>
      </w:r>
      <w:r w:rsidR="00753673">
        <w:rPr>
          <w:szCs w:val="22"/>
        </w:rPr>
        <w:t xml:space="preserve"> an einen </w:t>
      </w:r>
      <w:r w:rsidR="007B016B">
        <w:rPr>
          <w:szCs w:val="22"/>
        </w:rPr>
        <w:t>drogenpolitischen W</w:t>
      </w:r>
      <w:r w:rsidR="00753673">
        <w:rPr>
          <w:szCs w:val="22"/>
        </w:rPr>
        <w:t>echsel</w:t>
      </w:r>
      <w:r w:rsidRPr="007A2CCC">
        <w:rPr>
          <w:szCs w:val="22"/>
        </w:rPr>
        <w:t xml:space="preserve"> </w:t>
      </w:r>
      <w:r>
        <w:rPr>
          <w:szCs w:val="22"/>
        </w:rPr>
        <w:t>auf bundesstaatlicher Ebene</w:t>
      </w:r>
      <w:r w:rsidR="0097654D" w:rsidRPr="002528BF">
        <w:rPr>
          <w:szCs w:val="22"/>
        </w:rPr>
        <w:t xml:space="preserve">. Wohl auch deshalb haben </w:t>
      </w:r>
      <w:r w:rsidR="00C75D68" w:rsidRPr="002528BF">
        <w:rPr>
          <w:szCs w:val="22"/>
        </w:rPr>
        <w:t>alle</w:t>
      </w:r>
      <w:r w:rsidR="0097654D" w:rsidRPr="002528BF">
        <w:rPr>
          <w:szCs w:val="22"/>
        </w:rPr>
        <w:t xml:space="preserve"> Bundesstaaten </w:t>
      </w:r>
      <w:r w:rsidR="00273877" w:rsidRPr="002528BF">
        <w:rPr>
          <w:szCs w:val="22"/>
        </w:rPr>
        <w:t>Jugendliche bis zum 21. Lebensjahr aus</w:t>
      </w:r>
      <w:r w:rsidR="0097654D" w:rsidRPr="002528BF">
        <w:rPr>
          <w:szCs w:val="22"/>
        </w:rPr>
        <w:t xml:space="preserve"> ihrem </w:t>
      </w:r>
      <w:r w:rsidR="00D01097">
        <w:rPr>
          <w:szCs w:val="22"/>
        </w:rPr>
        <w:t>Regulierung</w:t>
      </w:r>
      <w:r w:rsidR="0097654D" w:rsidRPr="002528BF">
        <w:rPr>
          <w:szCs w:val="22"/>
        </w:rPr>
        <w:t>smodell ausg</w:t>
      </w:r>
      <w:r w:rsidR="0097654D" w:rsidRPr="002528BF">
        <w:rPr>
          <w:szCs w:val="22"/>
        </w:rPr>
        <w:t>e</w:t>
      </w:r>
      <w:r w:rsidR="0097654D" w:rsidRPr="002528BF">
        <w:rPr>
          <w:szCs w:val="22"/>
        </w:rPr>
        <w:t>schlossen</w:t>
      </w:r>
      <w:r w:rsidR="00273877" w:rsidRPr="002528BF">
        <w:rPr>
          <w:szCs w:val="22"/>
        </w:rPr>
        <w:t>. Das heißt</w:t>
      </w:r>
      <w:r w:rsidR="0097654D" w:rsidRPr="002528BF">
        <w:rPr>
          <w:szCs w:val="22"/>
        </w:rPr>
        <w:t xml:space="preserve">, diese sind weiterhin einer Prohibition ausgesetzt, die </w:t>
      </w:r>
      <w:r w:rsidR="000E77DD">
        <w:rPr>
          <w:szCs w:val="22"/>
        </w:rPr>
        <w:t xml:space="preserve">zudem </w:t>
      </w:r>
      <w:r w:rsidR="0097654D" w:rsidRPr="002528BF">
        <w:rPr>
          <w:szCs w:val="22"/>
        </w:rPr>
        <w:t>mehr oder w</w:t>
      </w:r>
      <w:r w:rsidR="00273877" w:rsidRPr="002528BF">
        <w:rPr>
          <w:szCs w:val="22"/>
        </w:rPr>
        <w:t>eniger deutlich auch mit einer Z</w:t>
      </w:r>
      <w:r w:rsidR="0097654D" w:rsidRPr="002528BF">
        <w:rPr>
          <w:szCs w:val="22"/>
        </w:rPr>
        <w:t xml:space="preserve">ero-Tolerance-Politik durchgesetzt wird. </w:t>
      </w:r>
    </w:p>
    <w:p w14:paraId="05DD37B6" w14:textId="77777777" w:rsidR="00082D01" w:rsidRDefault="00082D01" w:rsidP="009D7629">
      <w:pPr>
        <w:spacing w:line="276" w:lineRule="auto"/>
        <w:jc w:val="both"/>
        <w:rPr>
          <w:bCs/>
          <w:szCs w:val="22"/>
        </w:rPr>
      </w:pPr>
    </w:p>
    <w:p w14:paraId="0DCC6E20" w14:textId="484E1272" w:rsidR="004D0B4A" w:rsidRDefault="00587349" w:rsidP="009D7629">
      <w:pPr>
        <w:spacing w:line="276" w:lineRule="auto"/>
        <w:jc w:val="both"/>
        <w:rPr>
          <w:rFonts w:cs="Verdana"/>
          <w:szCs w:val="22"/>
        </w:rPr>
      </w:pPr>
      <w:r w:rsidRPr="002528BF">
        <w:rPr>
          <w:bCs/>
          <w:szCs w:val="22"/>
        </w:rPr>
        <w:t>Bei der</w:t>
      </w:r>
      <w:r w:rsidRPr="002528BF">
        <w:rPr>
          <w:rFonts w:cs="Verdana"/>
          <w:szCs w:val="22"/>
        </w:rPr>
        <w:t xml:space="preserve"> Interpretation von Daten unterschiedlicher Surveys muss d</w:t>
      </w:r>
      <w:r w:rsidR="00B504FD" w:rsidRPr="002528BF">
        <w:rPr>
          <w:rFonts w:cs="Verdana"/>
          <w:szCs w:val="22"/>
        </w:rPr>
        <w:t>ie über viele Jahre prakt</w:t>
      </w:r>
      <w:r w:rsidR="00B504FD" w:rsidRPr="002528BF">
        <w:rPr>
          <w:rFonts w:cs="Verdana"/>
          <w:szCs w:val="22"/>
        </w:rPr>
        <w:t>i</w:t>
      </w:r>
      <w:r w:rsidR="00B504FD" w:rsidRPr="002528BF">
        <w:rPr>
          <w:rFonts w:cs="Verdana"/>
          <w:szCs w:val="22"/>
        </w:rPr>
        <w:t xml:space="preserve">zierte Zero-Tolerance-Politik </w:t>
      </w:r>
      <w:r w:rsidR="007A2CCC">
        <w:rPr>
          <w:rFonts w:cs="Verdana"/>
          <w:szCs w:val="22"/>
        </w:rPr>
        <w:t>bei</w:t>
      </w:r>
      <w:r w:rsidR="00B504FD" w:rsidRPr="002528BF">
        <w:rPr>
          <w:rFonts w:cs="Verdana"/>
          <w:szCs w:val="22"/>
        </w:rPr>
        <w:t xml:space="preserve"> Disziplinarverstöße</w:t>
      </w:r>
      <w:r w:rsidR="007A2CCC">
        <w:rPr>
          <w:rFonts w:cs="Verdana"/>
          <w:szCs w:val="22"/>
        </w:rPr>
        <w:t>n</w:t>
      </w:r>
      <w:r w:rsidR="00B504FD" w:rsidRPr="002528BF">
        <w:rPr>
          <w:rFonts w:cs="Verdana"/>
          <w:szCs w:val="22"/>
        </w:rPr>
        <w:t xml:space="preserve"> in </w:t>
      </w:r>
      <w:r w:rsidR="000444A4" w:rsidRPr="002528BF">
        <w:rPr>
          <w:rFonts w:cs="Verdana"/>
          <w:szCs w:val="22"/>
        </w:rPr>
        <w:t xml:space="preserve">öffentlichen </w:t>
      </w:r>
      <w:r w:rsidR="00B504FD" w:rsidRPr="002528BF">
        <w:rPr>
          <w:rFonts w:cs="Verdana"/>
          <w:szCs w:val="22"/>
        </w:rPr>
        <w:t>Einrichtungen für Ki</w:t>
      </w:r>
      <w:r w:rsidR="00B504FD" w:rsidRPr="002528BF">
        <w:rPr>
          <w:rFonts w:cs="Verdana"/>
          <w:szCs w:val="22"/>
        </w:rPr>
        <w:t>n</w:t>
      </w:r>
      <w:r w:rsidR="00B504FD" w:rsidRPr="002528BF">
        <w:rPr>
          <w:rFonts w:cs="Verdana"/>
          <w:szCs w:val="22"/>
        </w:rPr>
        <w:t>der und Jugendliche</w:t>
      </w:r>
      <w:r w:rsidRPr="002528BF">
        <w:rPr>
          <w:rFonts w:cs="Verdana"/>
          <w:szCs w:val="22"/>
        </w:rPr>
        <w:t xml:space="preserve"> </w:t>
      </w:r>
      <w:r w:rsidR="000444A4" w:rsidRPr="002528BF">
        <w:rPr>
          <w:rFonts w:cs="Verdana"/>
          <w:szCs w:val="22"/>
        </w:rPr>
        <w:t>mitgedacht werden:</w:t>
      </w:r>
      <w:r w:rsidRPr="002528BF">
        <w:rPr>
          <w:rFonts w:cs="Verdana"/>
          <w:szCs w:val="22"/>
        </w:rPr>
        <w:t xml:space="preserve"> In vielen Bundesstaaten ist </w:t>
      </w:r>
      <w:r w:rsidR="000444A4" w:rsidRPr="002528BF">
        <w:rPr>
          <w:rFonts w:cs="Verdana"/>
          <w:szCs w:val="22"/>
        </w:rPr>
        <w:t xml:space="preserve">beispielsweise </w:t>
      </w:r>
      <w:r w:rsidRPr="002528BF">
        <w:rPr>
          <w:rFonts w:cs="Verdana"/>
          <w:szCs w:val="22"/>
        </w:rPr>
        <w:t xml:space="preserve">in den jeweiligen Schulordnungen festgelegt, dass </w:t>
      </w:r>
      <w:r w:rsidR="004B3101">
        <w:rPr>
          <w:rFonts w:cs="Verdana"/>
          <w:szCs w:val="22"/>
        </w:rPr>
        <w:t>bei</w:t>
      </w:r>
      <w:r w:rsidRPr="002528BF">
        <w:rPr>
          <w:rFonts w:cs="Verdana"/>
          <w:szCs w:val="22"/>
        </w:rPr>
        <w:t xml:space="preserve"> </w:t>
      </w:r>
      <w:r w:rsidR="004B3101">
        <w:rPr>
          <w:rFonts w:cs="Verdana"/>
          <w:szCs w:val="22"/>
        </w:rPr>
        <w:t xml:space="preserve">den </w:t>
      </w:r>
      <w:r w:rsidRPr="002528BF">
        <w:rPr>
          <w:rFonts w:cs="Verdana"/>
          <w:szCs w:val="22"/>
        </w:rPr>
        <w:t>Delikte</w:t>
      </w:r>
      <w:r w:rsidR="004B3101">
        <w:rPr>
          <w:rFonts w:cs="Verdana"/>
          <w:szCs w:val="22"/>
        </w:rPr>
        <w:t>n</w:t>
      </w:r>
      <w:r w:rsidRPr="002528BF">
        <w:rPr>
          <w:rFonts w:cs="Verdana"/>
          <w:szCs w:val="22"/>
        </w:rPr>
        <w:t xml:space="preserve"> </w:t>
      </w:r>
      <w:r w:rsidR="004B3101">
        <w:rPr>
          <w:rFonts w:cs="Verdana"/>
          <w:szCs w:val="22"/>
        </w:rPr>
        <w:t>„</w:t>
      </w:r>
      <w:r w:rsidRPr="002528BF">
        <w:rPr>
          <w:rFonts w:cs="Verdana"/>
          <w:szCs w:val="22"/>
        </w:rPr>
        <w:t>Alkoholkonsum</w:t>
      </w:r>
      <w:r w:rsidR="004B3101">
        <w:rPr>
          <w:rFonts w:cs="Verdana"/>
          <w:szCs w:val="22"/>
        </w:rPr>
        <w:t>“</w:t>
      </w:r>
      <w:r w:rsidRPr="002528BF">
        <w:rPr>
          <w:rFonts w:cs="Verdana"/>
          <w:szCs w:val="22"/>
        </w:rPr>
        <w:t xml:space="preserve">, </w:t>
      </w:r>
      <w:r w:rsidR="004B3101">
        <w:rPr>
          <w:rFonts w:cs="Verdana"/>
          <w:szCs w:val="22"/>
        </w:rPr>
        <w:t>„</w:t>
      </w:r>
      <w:r w:rsidRPr="002528BF">
        <w:rPr>
          <w:rFonts w:cs="Verdana"/>
          <w:szCs w:val="22"/>
        </w:rPr>
        <w:t>Umgang mit Drogen auf dem Schulgelände</w:t>
      </w:r>
      <w:r w:rsidR="004B3101">
        <w:rPr>
          <w:rFonts w:cs="Verdana"/>
          <w:szCs w:val="22"/>
        </w:rPr>
        <w:t>“</w:t>
      </w:r>
      <w:r w:rsidRPr="002528BF">
        <w:rPr>
          <w:rFonts w:cs="Verdana"/>
          <w:szCs w:val="22"/>
        </w:rPr>
        <w:t>,</w:t>
      </w:r>
      <w:r w:rsidR="004B3101">
        <w:rPr>
          <w:rFonts w:cs="Verdana"/>
          <w:szCs w:val="22"/>
        </w:rPr>
        <w:t>„</w:t>
      </w:r>
      <w:r w:rsidRPr="002528BF">
        <w:rPr>
          <w:rFonts w:cs="Verdana"/>
          <w:szCs w:val="22"/>
        </w:rPr>
        <w:t>Tragen von Waffen</w:t>
      </w:r>
      <w:r w:rsidR="004B3101">
        <w:rPr>
          <w:rFonts w:cs="Verdana"/>
          <w:szCs w:val="22"/>
        </w:rPr>
        <w:t>“</w:t>
      </w:r>
      <w:r w:rsidRPr="002528BF">
        <w:rPr>
          <w:rFonts w:cs="Verdana"/>
          <w:szCs w:val="22"/>
        </w:rPr>
        <w:t xml:space="preserve"> und </w:t>
      </w:r>
      <w:r w:rsidR="004B3101">
        <w:rPr>
          <w:rFonts w:cs="Verdana"/>
          <w:szCs w:val="22"/>
        </w:rPr>
        <w:t>„</w:t>
      </w:r>
      <w:r w:rsidRPr="002528BF">
        <w:rPr>
          <w:rFonts w:cs="Verdana"/>
          <w:szCs w:val="22"/>
        </w:rPr>
        <w:t>körperliche Gewalt</w:t>
      </w:r>
      <w:r w:rsidR="004B3101">
        <w:rPr>
          <w:rFonts w:cs="Verdana"/>
          <w:szCs w:val="22"/>
        </w:rPr>
        <w:t>“</w:t>
      </w:r>
      <w:r w:rsidRPr="002528BF">
        <w:rPr>
          <w:rFonts w:cs="Verdana"/>
          <w:szCs w:val="22"/>
        </w:rPr>
        <w:t xml:space="preserve"> obligatorisch ein temporärer Schulausschluss von mindestens einem Tag zu erfolgen hat</w:t>
      </w:r>
      <w:r w:rsidR="004D0B4A">
        <w:rPr>
          <w:rFonts w:cs="Verdana"/>
          <w:szCs w:val="22"/>
        </w:rPr>
        <w:t xml:space="preserve">. </w:t>
      </w:r>
      <w:r w:rsidR="007A2CCC">
        <w:rPr>
          <w:rFonts w:cs="Verdana"/>
          <w:szCs w:val="22"/>
        </w:rPr>
        <w:t>Insofern</w:t>
      </w:r>
      <w:r w:rsidR="004D0B4A">
        <w:rPr>
          <w:rFonts w:cs="Verdana"/>
          <w:szCs w:val="22"/>
        </w:rPr>
        <w:t xml:space="preserve"> ist den Schulleitungen </w:t>
      </w:r>
      <w:r w:rsidRPr="002528BF">
        <w:rPr>
          <w:rFonts w:cs="Verdana"/>
          <w:szCs w:val="22"/>
        </w:rPr>
        <w:t xml:space="preserve">eine differenzierte Festlegung des Strafmaßes </w:t>
      </w:r>
      <w:r w:rsidR="00753673">
        <w:rPr>
          <w:rFonts w:cs="Verdana"/>
          <w:szCs w:val="22"/>
        </w:rPr>
        <w:t xml:space="preserve">quasi </w:t>
      </w:r>
      <w:r w:rsidRPr="002528BF">
        <w:rPr>
          <w:rFonts w:cs="Verdana"/>
          <w:szCs w:val="22"/>
        </w:rPr>
        <w:t xml:space="preserve">nicht möglich </w:t>
      </w:r>
      <w:r w:rsidR="000444A4" w:rsidRPr="002528BF">
        <w:rPr>
          <w:szCs w:val="22"/>
        </w:rPr>
        <w:t>(vgl. Zhang, Musu-Gillette, Oudekerk 2016)</w:t>
      </w:r>
      <w:r w:rsidRPr="002528BF">
        <w:rPr>
          <w:rFonts w:cs="Verdana"/>
          <w:szCs w:val="22"/>
        </w:rPr>
        <w:t xml:space="preserve">. </w:t>
      </w:r>
    </w:p>
    <w:p w14:paraId="465484F9" w14:textId="7684BF77" w:rsidR="000444A4" w:rsidRDefault="007A2CCC" w:rsidP="009D7629">
      <w:pPr>
        <w:spacing w:line="276" w:lineRule="auto"/>
        <w:jc w:val="both"/>
        <w:rPr>
          <w:bCs/>
          <w:szCs w:val="22"/>
        </w:rPr>
      </w:pPr>
      <w:r>
        <w:rPr>
          <w:rFonts w:cs="Verdana"/>
          <w:szCs w:val="22"/>
        </w:rPr>
        <w:t>Insgesamt hat die</w:t>
      </w:r>
      <w:r w:rsidR="00587349" w:rsidRPr="002528BF">
        <w:rPr>
          <w:rFonts w:cs="Verdana"/>
          <w:szCs w:val="22"/>
        </w:rPr>
        <w:t xml:space="preserve"> Zero-Tolerance-Politik der </w:t>
      </w:r>
      <w:r w:rsidR="000E77DD">
        <w:rPr>
          <w:rFonts w:cs="Verdana"/>
          <w:szCs w:val="22"/>
        </w:rPr>
        <w:t xml:space="preserve">öffentlichen </w:t>
      </w:r>
      <w:r w:rsidR="00587349" w:rsidRPr="002528BF">
        <w:rPr>
          <w:rFonts w:cs="Verdana"/>
          <w:szCs w:val="22"/>
        </w:rPr>
        <w:t>Bildungseinrichtungen zu einer großen Zahl von Schulausschlüssen und strafrechtlichen Sanktionen</w:t>
      </w:r>
      <w:r w:rsidR="00753673">
        <w:rPr>
          <w:rStyle w:val="Funotenzeichen"/>
          <w:rFonts w:cs="Verdana"/>
          <w:szCs w:val="22"/>
        </w:rPr>
        <w:footnoteReference w:id="25"/>
      </w:r>
      <w:r w:rsidR="00FF7F29">
        <w:rPr>
          <w:rFonts w:cs="Verdana"/>
          <w:szCs w:val="22"/>
        </w:rPr>
        <w:t xml:space="preserve"> </w:t>
      </w:r>
      <w:r w:rsidR="00587349" w:rsidRPr="002528BF">
        <w:rPr>
          <w:rFonts w:cs="Verdana"/>
          <w:szCs w:val="22"/>
        </w:rPr>
        <w:t>geführt</w:t>
      </w:r>
      <w:r w:rsidR="002528BF">
        <w:rPr>
          <w:rStyle w:val="Funotenzeichen"/>
          <w:rFonts w:cs="Verdana"/>
          <w:szCs w:val="22"/>
        </w:rPr>
        <w:footnoteReference w:id="26"/>
      </w:r>
      <w:r w:rsidR="00587349" w:rsidRPr="002528BF">
        <w:rPr>
          <w:rFonts w:cs="Verdana"/>
          <w:szCs w:val="22"/>
        </w:rPr>
        <w:t xml:space="preserve">, die oft schon </w:t>
      </w:r>
      <w:r>
        <w:rPr>
          <w:rFonts w:cs="Verdana"/>
          <w:szCs w:val="22"/>
        </w:rPr>
        <w:t>f</w:t>
      </w:r>
      <w:r w:rsidR="00587349" w:rsidRPr="002528BF">
        <w:rPr>
          <w:rFonts w:cs="Verdana"/>
          <w:szCs w:val="22"/>
        </w:rPr>
        <w:t xml:space="preserve">ür </w:t>
      </w:r>
      <w:r w:rsidR="000444A4" w:rsidRPr="002528BF">
        <w:rPr>
          <w:rFonts w:cs="Verdana"/>
          <w:szCs w:val="22"/>
        </w:rPr>
        <w:t>geringe disziplinarische Verstöße ausgesprochen werden</w:t>
      </w:r>
      <w:r w:rsidR="00C839EC">
        <w:rPr>
          <w:rFonts w:cs="Verdana"/>
          <w:szCs w:val="22"/>
        </w:rPr>
        <w:t xml:space="preserve">. Diese </w:t>
      </w:r>
      <w:r w:rsidR="000444A4" w:rsidRPr="002528BF">
        <w:rPr>
          <w:rFonts w:cs="Verdana"/>
          <w:szCs w:val="22"/>
        </w:rPr>
        <w:t>Pra</w:t>
      </w:r>
      <w:r w:rsidR="00C839EC">
        <w:rPr>
          <w:rFonts w:cs="Verdana"/>
          <w:szCs w:val="22"/>
        </w:rPr>
        <w:t xml:space="preserve">xis </w:t>
      </w:r>
      <w:r w:rsidR="00C839EC" w:rsidRPr="002528BF">
        <w:rPr>
          <w:bCs/>
          <w:szCs w:val="22"/>
        </w:rPr>
        <w:t>wurde</w:t>
      </w:r>
      <w:r w:rsidR="00C839EC">
        <w:rPr>
          <w:bCs/>
          <w:szCs w:val="22"/>
        </w:rPr>
        <w:t xml:space="preserve"> </w:t>
      </w:r>
      <w:r w:rsidR="00C839EC">
        <w:rPr>
          <w:rFonts w:cs="Verdana"/>
          <w:szCs w:val="22"/>
        </w:rPr>
        <w:t xml:space="preserve">offiziell </w:t>
      </w:r>
      <w:r w:rsidR="00B504FD" w:rsidRPr="002528BF">
        <w:rPr>
          <w:rFonts w:cs="Verdana"/>
          <w:szCs w:val="22"/>
        </w:rPr>
        <w:t>erst 2016 mit dem „</w:t>
      </w:r>
      <w:r w:rsidR="00B504FD" w:rsidRPr="002528BF">
        <w:rPr>
          <w:bCs/>
          <w:szCs w:val="22"/>
        </w:rPr>
        <w:t>Policy statement on expulsion and suspension in early childhood settings“</w:t>
      </w:r>
      <w:r w:rsidR="00B504FD" w:rsidRPr="002528BF">
        <w:rPr>
          <w:rFonts w:cs="Verdana"/>
          <w:szCs w:val="22"/>
        </w:rPr>
        <w:t xml:space="preserve"> des </w:t>
      </w:r>
      <w:r w:rsidR="00B504FD" w:rsidRPr="002528BF">
        <w:rPr>
          <w:bCs/>
          <w:szCs w:val="22"/>
        </w:rPr>
        <w:t>U.</w:t>
      </w:r>
      <w:r w:rsidR="00D12F51">
        <w:rPr>
          <w:bCs/>
          <w:szCs w:val="22"/>
        </w:rPr>
        <w:t xml:space="preserve"> </w:t>
      </w:r>
      <w:r w:rsidR="00B504FD" w:rsidRPr="002528BF">
        <w:rPr>
          <w:bCs/>
          <w:szCs w:val="22"/>
        </w:rPr>
        <w:t>S. Department</w:t>
      </w:r>
      <w:r w:rsidR="00681A7C" w:rsidRPr="002528BF">
        <w:rPr>
          <w:bCs/>
          <w:szCs w:val="22"/>
        </w:rPr>
        <w:t>s</w:t>
      </w:r>
      <w:r w:rsidR="00D12F51">
        <w:rPr>
          <w:bCs/>
          <w:szCs w:val="22"/>
        </w:rPr>
        <w:t xml:space="preserve"> of Health and H</w:t>
      </w:r>
      <w:r w:rsidR="00B504FD" w:rsidRPr="002528BF">
        <w:rPr>
          <w:bCs/>
          <w:szCs w:val="22"/>
        </w:rPr>
        <w:t>u</w:t>
      </w:r>
      <w:r w:rsidR="00D12F51">
        <w:rPr>
          <w:bCs/>
          <w:szCs w:val="22"/>
        </w:rPr>
        <w:t>man S</w:t>
      </w:r>
      <w:r w:rsidR="00681A7C" w:rsidRPr="002528BF">
        <w:rPr>
          <w:bCs/>
          <w:szCs w:val="22"/>
        </w:rPr>
        <w:t>ervices und des</w:t>
      </w:r>
      <w:r w:rsidR="00B504FD" w:rsidRPr="002528BF">
        <w:rPr>
          <w:bCs/>
          <w:szCs w:val="22"/>
        </w:rPr>
        <w:t xml:space="preserve"> U. S. Department</w:t>
      </w:r>
      <w:r w:rsidR="004D0B4A">
        <w:rPr>
          <w:bCs/>
          <w:szCs w:val="22"/>
        </w:rPr>
        <w:t>s</w:t>
      </w:r>
      <w:r w:rsidR="00B504FD" w:rsidRPr="002528BF">
        <w:rPr>
          <w:bCs/>
          <w:szCs w:val="22"/>
        </w:rPr>
        <w:t xml:space="preserve"> of Education </w:t>
      </w:r>
      <w:r w:rsidR="00681A7C" w:rsidRPr="002528BF">
        <w:rPr>
          <w:bCs/>
          <w:szCs w:val="22"/>
        </w:rPr>
        <w:t>hi</w:t>
      </w:r>
      <w:r w:rsidR="00681A7C" w:rsidRPr="002528BF">
        <w:rPr>
          <w:bCs/>
          <w:szCs w:val="22"/>
        </w:rPr>
        <w:t>n</w:t>
      </w:r>
      <w:r w:rsidR="00681A7C" w:rsidRPr="002528BF">
        <w:rPr>
          <w:bCs/>
          <w:szCs w:val="22"/>
        </w:rPr>
        <w:t>terfragt</w:t>
      </w:r>
      <w:r w:rsidR="00C839EC">
        <w:rPr>
          <w:bCs/>
          <w:szCs w:val="22"/>
        </w:rPr>
        <w:t>; diese</w:t>
      </w:r>
      <w:r w:rsidR="004B3101">
        <w:rPr>
          <w:bCs/>
          <w:szCs w:val="22"/>
        </w:rPr>
        <w:t>s</w:t>
      </w:r>
      <w:r w:rsidR="00C839EC">
        <w:rPr>
          <w:bCs/>
          <w:szCs w:val="22"/>
        </w:rPr>
        <w:t xml:space="preserve"> fordert zugleich </w:t>
      </w:r>
      <w:r w:rsidR="000444A4" w:rsidRPr="002528BF">
        <w:rPr>
          <w:bCs/>
          <w:szCs w:val="22"/>
        </w:rPr>
        <w:t>zu ein</w:t>
      </w:r>
      <w:r w:rsidR="00C839EC">
        <w:rPr>
          <w:bCs/>
          <w:szCs w:val="22"/>
        </w:rPr>
        <w:t>em</w:t>
      </w:r>
      <w:r w:rsidR="000444A4" w:rsidRPr="002528BF">
        <w:rPr>
          <w:bCs/>
          <w:szCs w:val="22"/>
        </w:rPr>
        <w:t xml:space="preserve"> Umdenken und eine</w:t>
      </w:r>
      <w:r w:rsidR="007B016B">
        <w:rPr>
          <w:bCs/>
          <w:szCs w:val="22"/>
        </w:rPr>
        <w:t>r</w:t>
      </w:r>
      <w:r w:rsidR="000444A4" w:rsidRPr="002528BF">
        <w:rPr>
          <w:bCs/>
          <w:szCs w:val="22"/>
        </w:rPr>
        <w:t xml:space="preserve"> neue</w:t>
      </w:r>
      <w:r w:rsidR="007B016B">
        <w:rPr>
          <w:bCs/>
          <w:szCs w:val="22"/>
        </w:rPr>
        <w:t>n</w:t>
      </w:r>
      <w:r w:rsidR="000444A4" w:rsidRPr="002528BF">
        <w:rPr>
          <w:bCs/>
          <w:szCs w:val="22"/>
        </w:rPr>
        <w:t xml:space="preserve"> Praxis </w:t>
      </w:r>
      <w:r w:rsidR="00C839EC">
        <w:rPr>
          <w:bCs/>
          <w:szCs w:val="22"/>
        </w:rPr>
        <w:t>auf</w:t>
      </w:r>
      <w:r w:rsidR="000444A4" w:rsidRPr="002528BF">
        <w:rPr>
          <w:bCs/>
          <w:szCs w:val="22"/>
        </w:rPr>
        <w:t xml:space="preserve"> </w:t>
      </w:r>
      <w:r w:rsidR="004D0B4A" w:rsidRPr="002528BF">
        <w:rPr>
          <w:bCs/>
          <w:szCs w:val="22"/>
        </w:rPr>
        <w:t>(vgl. ebe</w:t>
      </w:r>
      <w:r w:rsidR="004D0B4A" w:rsidRPr="002528BF">
        <w:rPr>
          <w:bCs/>
          <w:szCs w:val="22"/>
        </w:rPr>
        <w:t>n</w:t>
      </w:r>
      <w:r w:rsidR="004D0B4A" w:rsidRPr="002528BF">
        <w:rPr>
          <w:bCs/>
          <w:szCs w:val="22"/>
        </w:rPr>
        <w:t>da)</w:t>
      </w:r>
      <w:r w:rsidR="000444A4" w:rsidRPr="002528BF">
        <w:rPr>
          <w:bCs/>
          <w:szCs w:val="22"/>
        </w:rPr>
        <w:t xml:space="preserve">. </w:t>
      </w:r>
      <w:r w:rsidR="007B016B">
        <w:rPr>
          <w:bCs/>
          <w:szCs w:val="22"/>
        </w:rPr>
        <w:t xml:space="preserve">Es </w:t>
      </w:r>
      <w:r w:rsidR="000444A4" w:rsidRPr="002528BF">
        <w:rPr>
          <w:bCs/>
          <w:szCs w:val="22"/>
        </w:rPr>
        <w:t xml:space="preserve">muss </w:t>
      </w:r>
      <w:r w:rsidR="004D0B4A">
        <w:rPr>
          <w:bCs/>
          <w:szCs w:val="22"/>
        </w:rPr>
        <w:t xml:space="preserve">allerdings </w:t>
      </w:r>
      <w:r w:rsidR="000444A4" w:rsidRPr="002528BF">
        <w:rPr>
          <w:bCs/>
          <w:szCs w:val="22"/>
        </w:rPr>
        <w:t xml:space="preserve">davon ausgegangen werden, dass </w:t>
      </w:r>
      <w:r w:rsidR="004D0B4A">
        <w:rPr>
          <w:bCs/>
          <w:szCs w:val="22"/>
        </w:rPr>
        <w:t xml:space="preserve">sich </w:t>
      </w:r>
      <w:r w:rsidR="000444A4" w:rsidRPr="002528BF">
        <w:rPr>
          <w:bCs/>
          <w:szCs w:val="22"/>
        </w:rPr>
        <w:t>eine Veränderung de</w:t>
      </w:r>
      <w:r w:rsidR="00E557E3">
        <w:rPr>
          <w:bCs/>
          <w:szCs w:val="22"/>
        </w:rPr>
        <w:t>r Grun</w:t>
      </w:r>
      <w:r w:rsidR="00E557E3">
        <w:rPr>
          <w:bCs/>
          <w:szCs w:val="22"/>
        </w:rPr>
        <w:t>d</w:t>
      </w:r>
      <w:r w:rsidR="00E557E3">
        <w:rPr>
          <w:bCs/>
          <w:szCs w:val="22"/>
        </w:rPr>
        <w:t xml:space="preserve">ideen </w:t>
      </w:r>
      <w:r>
        <w:rPr>
          <w:bCs/>
          <w:szCs w:val="22"/>
        </w:rPr>
        <w:t>zum disziplinarischen Vorgehen</w:t>
      </w:r>
      <w:r w:rsidR="000444A4" w:rsidRPr="002528BF">
        <w:rPr>
          <w:bCs/>
          <w:szCs w:val="22"/>
        </w:rPr>
        <w:t xml:space="preserve"> in öffentlichen Bildungseinrichtungen in Bezug auf den Marihuana-Konsum </w:t>
      </w:r>
      <w:r w:rsidR="00E557E3">
        <w:rPr>
          <w:bCs/>
          <w:szCs w:val="22"/>
        </w:rPr>
        <w:t>bis</w:t>
      </w:r>
      <w:r w:rsidR="007B016B" w:rsidRPr="002528BF">
        <w:rPr>
          <w:bCs/>
          <w:szCs w:val="22"/>
        </w:rPr>
        <w:t xml:space="preserve"> 2016 </w:t>
      </w:r>
      <w:r w:rsidR="000444A4" w:rsidRPr="002528BF">
        <w:rPr>
          <w:bCs/>
          <w:szCs w:val="22"/>
        </w:rPr>
        <w:t xml:space="preserve">kaum </w:t>
      </w:r>
      <w:r w:rsidR="004D0B4A">
        <w:rPr>
          <w:bCs/>
          <w:szCs w:val="22"/>
        </w:rPr>
        <w:t xml:space="preserve">durchsetzen konnte. Die Frage, ob eine Änderung des disziplinarischen Umgangs </w:t>
      </w:r>
      <w:r w:rsidR="00FF7F29">
        <w:rPr>
          <w:bCs/>
          <w:szCs w:val="22"/>
        </w:rPr>
        <w:t xml:space="preserve">diesbezüglich </w:t>
      </w:r>
      <w:r w:rsidR="004D0B4A">
        <w:rPr>
          <w:bCs/>
          <w:szCs w:val="22"/>
        </w:rPr>
        <w:t xml:space="preserve">überhaupt angestrebt </w:t>
      </w:r>
      <w:r w:rsidR="00FF7F29">
        <w:rPr>
          <w:bCs/>
          <w:szCs w:val="22"/>
        </w:rPr>
        <w:t>wird</w:t>
      </w:r>
      <w:r w:rsidR="004D0B4A">
        <w:rPr>
          <w:bCs/>
          <w:szCs w:val="22"/>
        </w:rPr>
        <w:t>, muss hier offen bleiben</w:t>
      </w:r>
      <w:r w:rsidR="00C839EC">
        <w:rPr>
          <w:bCs/>
          <w:szCs w:val="22"/>
        </w:rPr>
        <w:t>. In Anbetracht der strengen prohibitiven Regelungen für den Marihuana-Konsum von Jugen</w:t>
      </w:r>
      <w:r w:rsidR="00C839EC">
        <w:rPr>
          <w:bCs/>
          <w:szCs w:val="22"/>
        </w:rPr>
        <w:t>d</w:t>
      </w:r>
      <w:r w:rsidR="00C839EC">
        <w:rPr>
          <w:bCs/>
          <w:szCs w:val="22"/>
        </w:rPr>
        <w:t xml:space="preserve">lichen </w:t>
      </w:r>
      <w:r w:rsidR="0087050B">
        <w:rPr>
          <w:bCs/>
          <w:szCs w:val="22"/>
        </w:rPr>
        <w:t xml:space="preserve">und </w:t>
      </w:r>
      <w:r w:rsidR="00FF7F29">
        <w:rPr>
          <w:bCs/>
          <w:szCs w:val="22"/>
        </w:rPr>
        <w:t xml:space="preserve">mit Blick auf die gesammelten vor-Ort-Erfahrungen </w:t>
      </w:r>
      <w:r w:rsidR="0087050B">
        <w:rPr>
          <w:bCs/>
          <w:szCs w:val="22"/>
        </w:rPr>
        <w:t xml:space="preserve">zum Selbstverständnis von Lehrern und Erziehern </w:t>
      </w:r>
      <w:r w:rsidR="000E77DD">
        <w:rPr>
          <w:bCs/>
          <w:szCs w:val="22"/>
        </w:rPr>
        <w:t>und deren Reaktion auf derartige</w:t>
      </w:r>
      <w:r w:rsidR="004B3101">
        <w:rPr>
          <w:bCs/>
          <w:szCs w:val="22"/>
        </w:rPr>
        <w:t xml:space="preserve"> Grenzüberschreitungen durch Sch</w:t>
      </w:r>
      <w:r w:rsidR="004B3101">
        <w:rPr>
          <w:bCs/>
          <w:szCs w:val="22"/>
        </w:rPr>
        <w:t>ü</w:t>
      </w:r>
      <w:r w:rsidR="004B3101">
        <w:rPr>
          <w:bCs/>
          <w:szCs w:val="22"/>
        </w:rPr>
        <w:t xml:space="preserve">ler </w:t>
      </w:r>
      <w:r w:rsidR="0087050B">
        <w:rPr>
          <w:bCs/>
          <w:szCs w:val="22"/>
        </w:rPr>
        <w:t xml:space="preserve">erscheint dies </w:t>
      </w:r>
      <w:r w:rsidR="004D0B4A">
        <w:rPr>
          <w:bCs/>
          <w:szCs w:val="22"/>
        </w:rPr>
        <w:t>eher unwahrscheinlich.</w:t>
      </w:r>
    </w:p>
    <w:p w14:paraId="0A9113D5" w14:textId="77777777" w:rsidR="0087050B" w:rsidRPr="002528BF" w:rsidRDefault="0087050B" w:rsidP="009D7629">
      <w:pPr>
        <w:spacing w:line="276" w:lineRule="auto"/>
        <w:jc w:val="both"/>
        <w:rPr>
          <w:rFonts w:cs="Verdana"/>
          <w:szCs w:val="22"/>
        </w:rPr>
      </w:pPr>
    </w:p>
    <w:p w14:paraId="7B5912C0" w14:textId="7A323236" w:rsidR="00F30F9A" w:rsidRPr="002528BF" w:rsidRDefault="0087050B" w:rsidP="009D7629">
      <w:pPr>
        <w:spacing w:line="276" w:lineRule="auto"/>
        <w:jc w:val="both"/>
        <w:rPr>
          <w:bCs/>
          <w:szCs w:val="22"/>
        </w:rPr>
      </w:pPr>
      <w:r>
        <w:rPr>
          <w:rFonts w:cs="Verdana"/>
          <w:szCs w:val="22"/>
        </w:rPr>
        <w:t xml:space="preserve">Für die Bewertung vorliegender </w:t>
      </w:r>
      <w:r w:rsidR="000E77DD">
        <w:rPr>
          <w:rFonts w:cs="Verdana"/>
          <w:szCs w:val="22"/>
        </w:rPr>
        <w:t xml:space="preserve">empirischer </w:t>
      </w:r>
      <w:r>
        <w:rPr>
          <w:rFonts w:cs="Verdana"/>
          <w:szCs w:val="22"/>
        </w:rPr>
        <w:t xml:space="preserve">Umfrageergebnisse ist herauszustellen, dass unter </w:t>
      </w:r>
      <w:r w:rsidR="00C75D68" w:rsidRPr="002528BF">
        <w:rPr>
          <w:rFonts w:cs="Verdana"/>
          <w:szCs w:val="22"/>
        </w:rPr>
        <w:t>dem Eindruck schneller und harter Strafen für den Konsum von Marihuana und ang</w:t>
      </w:r>
      <w:r w:rsidR="00C75D68" w:rsidRPr="002528BF">
        <w:rPr>
          <w:rFonts w:cs="Verdana"/>
          <w:szCs w:val="22"/>
        </w:rPr>
        <w:t>e</w:t>
      </w:r>
      <w:r w:rsidR="00C75D68" w:rsidRPr="002528BF">
        <w:rPr>
          <w:rFonts w:cs="Verdana"/>
          <w:szCs w:val="22"/>
        </w:rPr>
        <w:t xml:space="preserve">sichts der </w:t>
      </w:r>
      <w:r w:rsidR="00FF7F29">
        <w:rPr>
          <w:rFonts w:cs="Verdana"/>
          <w:szCs w:val="22"/>
        </w:rPr>
        <w:t xml:space="preserve">klaren </w:t>
      </w:r>
      <w:r w:rsidR="00C75D68" w:rsidRPr="002528BF">
        <w:rPr>
          <w:rFonts w:cs="Times New Roman"/>
          <w:szCs w:val="22"/>
        </w:rPr>
        <w:t>sozia</w:t>
      </w:r>
      <w:r w:rsidR="00063C3B" w:rsidRPr="002528BF">
        <w:rPr>
          <w:rFonts w:cs="Times New Roman"/>
          <w:szCs w:val="22"/>
        </w:rPr>
        <w:t>len Une</w:t>
      </w:r>
      <w:r w:rsidR="00C75D68" w:rsidRPr="002528BF">
        <w:rPr>
          <w:rFonts w:cs="Times New Roman"/>
          <w:szCs w:val="22"/>
        </w:rPr>
        <w:t xml:space="preserve">rwünschtheit </w:t>
      </w:r>
      <w:r w:rsidR="000444A4" w:rsidRPr="002528BF">
        <w:rPr>
          <w:rFonts w:cs="Times New Roman"/>
          <w:szCs w:val="22"/>
        </w:rPr>
        <w:t xml:space="preserve">des Marihuana-Konsums </w:t>
      </w:r>
      <w:r w:rsidR="00B1183D">
        <w:rPr>
          <w:rFonts w:cs="Times New Roman"/>
          <w:szCs w:val="22"/>
        </w:rPr>
        <w:t>durch Jugendliche</w:t>
      </w:r>
      <w:r w:rsidR="000444A4" w:rsidRPr="002528BF">
        <w:rPr>
          <w:rFonts w:cs="Times New Roman"/>
          <w:szCs w:val="22"/>
        </w:rPr>
        <w:t xml:space="preserve"> </w:t>
      </w:r>
      <w:r w:rsidR="00681A7C" w:rsidRPr="002528BF">
        <w:rPr>
          <w:rFonts w:cs="Times New Roman"/>
          <w:szCs w:val="22"/>
        </w:rPr>
        <w:t>nicht ausgeschlossen werden</w:t>
      </w:r>
      <w:r w:rsidRPr="0087050B">
        <w:rPr>
          <w:rFonts w:cs="Times New Roman"/>
          <w:szCs w:val="22"/>
        </w:rPr>
        <w:t xml:space="preserve"> </w:t>
      </w:r>
      <w:r w:rsidRPr="002528BF">
        <w:rPr>
          <w:rFonts w:cs="Times New Roman"/>
          <w:szCs w:val="22"/>
        </w:rPr>
        <w:t>kann</w:t>
      </w:r>
      <w:r w:rsidR="00681A7C" w:rsidRPr="002528BF">
        <w:rPr>
          <w:rFonts w:cs="Times New Roman"/>
          <w:szCs w:val="22"/>
        </w:rPr>
        <w:t xml:space="preserve">, dass </w:t>
      </w:r>
      <w:r>
        <w:rPr>
          <w:rFonts w:cs="Verdana"/>
          <w:szCs w:val="22"/>
        </w:rPr>
        <w:t>die B</w:t>
      </w:r>
      <w:r w:rsidR="00C75D68" w:rsidRPr="002528BF">
        <w:rPr>
          <w:rFonts w:cs="Verdana"/>
          <w:szCs w:val="22"/>
        </w:rPr>
        <w:t xml:space="preserve">efragten </w:t>
      </w:r>
      <w:r w:rsidR="00FF7F29">
        <w:rPr>
          <w:rFonts w:cs="Verdana"/>
          <w:szCs w:val="22"/>
        </w:rPr>
        <w:t xml:space="preserve">in den Surveys </w:t>
      </w:r>
      <w:r w:rsidR="00C75D68" w:rsidRPr="002528BF">
        <w:rPr>
          <w:rFonts w:cs="Verdana"/>
          <w:szCs w:val="22"/>
        </w:rPr>
        <w:t>ihren Konsum nicht sachg</w:t>
      </w:r>
      <w:r w:rsidR="00C75D68" w:rsidRPr="002528BF">
        <w:rPr>
          <w:rFonts w:cs="Verdana"/>
          <w:szCs w:val="22"/>
        </w:rPr>
        <w:t>e</w:t>
      </w:r>
      <w:r w:rsidR="00C75D68" w:rsidRPr="002528BF">
        <w:rPr>
          <w:rFonts w:cs="Verdana"/>
          <w:szCs w:val="22"/>
        </w:rPr>
        <w:t xml:space="preserve">recht berichten. </w:t>
      </w:r>
      <w:r w:rsidR="00FF7F29">
        <w:rPr>
          <w:rFonts w:cs="Verdana"/>
          <w:szCs w:val="22"/>
        </w:rPr>
        <w:t>Leider kann in</w:t>
      </w:r>
      <w:r w:rsidR="000444A4" w:rsidRPr="002528BF">
        <w:rPr>
          <w:rFonts w:cs="Verdana"/>
          <w:szCs w:val="22"/>
        </w:rPr>
        <w:t xml:space="preserve"> keiner der vorliegenden Untersuchungen</w:t>
      </w:r>
      <w:r w:rsidR="00C75D68" w:rsidRPr="002528BF">
        <w:rPr>
          <w:rFonts w:cs="Verdana"/>
          <w:szCs w:val="22"/>
        </w:rPr>
        <w:t xml:space="preserve"> </w:t>
      </w:r>
      <w:r w:rsidR="00C75D68" w:rsidRPr="002528BF">
        <w:rPr>
          <w:rFonts w:cs="Times New Roman"/>
          <w:szCs w:val="22"/>
        </w:rPr>
        <w:t>empirisch kontro</w:t>
      </w:r>
      <w:r w:rsidR="00C75D68" w:rsidRPr="002528BF">
        <w:rPr>
          <w:rFonts w:cs="Times New Roman"/>
          <w:szCs w:val="22"/>
        </w:rPr>
        <w:t>l</w:t>
      </w:r>
      <w:r w:rsidR="00C75D68" w:rsidRPr="002528BF">
        <w:rPr>
          <w:rFonts w:cs="Times New Roman"/>
          <w:szCs w:val="22"/>
        </w:rPr>
        <w:t xml:space="preserve">liert werden, ob und wie die </w:t>
      </w:r>
      <w:r w:rsidR="00D01097">
        <w:rPr>
          <w:rFonts w:cs="Times New Roman"/>
          <w:szCs w:val="22"/>
        </w:rPr>
        <w:t>Regulierung</w:t>
      </w:r>
      <w:r w:rsidR="008B5D38">
        <w:rPr>
          <w:rFonts w:cs="Times New Roman"/>
          <w:szCs w:val="22"/>
        </w:rPr>
        <w:t>sprozesse</w:t>
      </w:r>
      <w:r w:rsidR="00C75D68" w:rsidRPr="002528BF">
        <w:rPr>
          <w:rFonts w:cs="Times New Roman"/>
          <w:szCs w:val="22"/>
        </w:rPr>
        <w:t xml:space="preserve"> sich auf das Antwortverhalten der Jugen</w:t>
      </w:r>
      <w:r w:rsidR="00C75D68" w:rsidRPr="002528BF">
        <w:rPr>
          <w:rFonts w:cs="Times New Roman"/>
          <w:szCs w:val="22"/>
        </w:rPr>
        <w:t>d</w:t>
      </w:r>
      <w:r w:rsidR="00C75D68" w:rsidRPr="002528BF">
        <w:rPr>
          <w:rFonts w:cs="Times New Roman"/>
          <w:szCs w:val="22"/>
        </w:rPr>
        <w:t>lichen ausw</w:t>
      </w:r>
      <w:r w:rsidR="000E77DD">
        <w:rPr>
          <w:rFonts w:cs="Times New Roman"/>
          <w:szCs w:val="22"/>
        </w:rPr>
        <w:t>irken</w:t>
      </w:r>
      <w:r w:rsidR="00063C3B" w:rsidRPr="002528BF">
        <w:rPr>
          <w:rFonts w:cs="Times New Roman"/>
          <w:szCs w:val="22"/>
        </w:rPr>
        <w:t>:</w:t>
      </w:r>
      <w:r w:rsidR="000E77DD">
        <w:rPr>
          <w:rFonts w:cs="Times New Roman"/>
          <w:szCs w:val="22"/>
        </w:rPr>
        <w:t xml:space="preserve"> O</w:t>
      </w:r>
      <w:r w:rsidR="00C75D68" w:rsidRPr="002528BF">
        <w:rPr>
          <w:rFonts w:cs="Times New Roman"/>
          <w:szCs w:val="22"/>
        </w:rPr>
        <w:t xml:space="preserve">b beispielsweise vor der </w:t>
      </w:r>
      <w:r w:rsidR="00D01097">
        <w:rPr>
          <w:rFonts w:cs="Times New Roman"/>
          <w:szCs w:val="22"/>
        </w:rPr>
        <w:t>Regulierung</w:t>
      </w:r>
      <w:r w:rsidR="00C75D68" w:rsidRPr="002528BF">
        <w:rPr>
          <w:rFonts w:cs="Times New Roman"/>
          <w:szCs w:val="22"/>
        </w:rPr>
        <w:t xml:space="preserve"> weniger Konsum und im Zuge der Entstigmatisierung nach der </w:t>
      </w:r>
      <w:r w:rsidR="00D01097">
        <w:rPr>
          <w:rFonts w:cs="Times New Roman"/>
          <w:szCs w:val="22"/>
        </w:rPr>
        <w:t>Regulierung</w:t>
      </w:r>
      <w:r w:rsidR="00C75D68" w:rsidRPr="002528BF">
        <w:rPr>
          <w:rFonts w:cs="Times New Roman"/>
          <w:szCs w:val="22"/>
        </w:rPr>
        <w:t xml:space="preserve"> nunmehr realitäts</w:t>
      </w:r>
      <w:r w:rsidR="00D77233">
        <w:rPr>
          <w:rFonts w:cs="Times New Roman"/>
          <w:szCs w:val="22"/>
        </w:rPr>
        <w:t xml:space="preserve">gerechter </w:t>
      </w:r>
      <w:r w:rsidR="00C75D68" w:rsidRPr="002528BF">
        <w:rPr>
          <w:rFonts w:cs="Times New Roman"/>
          <w:szCs w:val="22"/>
        </w:rPr>
        <w:t>berichtet wird</w:t>
      </w:r>
      <w:r w:rsidR="00E557E3">
        <w:rPr>
          <w:rFonts w:cs="Times New Roman"/>
          <w:szCs w:val="22"/>
        </w:rPr>
        <w:t xml:space="preserve">. Auf diese Weise würden </w:t>
      </w:r>
      <w:r w:rsidR="00C75D68" w:rsidRPr="002528BF">
        <w:rPr>
          <w:rFonts w:cs="Times New Roman"/>
          <w:szCs w:val="22"/>
        </w:rPr>
        <w:t xml:space="preserve">sich Anstiege in den Prävalenzzahlen ergeben, die allerdings </w:t>
      </w:r>
      <w:r w:rsidR="00681A7C" w:rsidRPr="002528BF">
        <w:rPr>
          <w:rFonts w:cs="Times New Roman"/>
          <w:szCs w:val="22"/>
        </w:rPr>
        <w:t xml:space="preserve">nicht auf </w:t>
      </w:r>
      <w:r w:rsidR="00E557E3">
        <w:rPr>
          <w:rFonts w:cs="Times New Roman"/>
          <w:szCs w:val="22"/>
        </w:rPr>
        <w:t>reale</w:t>
      </w:r>
      <w:r w:rsidR="00C75D68" w:rsidRPr="002528BF">
        <w:rPr>
          <w:rFonts w:cs="Times New Roman"/>
          <w:szCs w:val="22"/>
        </w:rPr>
        <w:t xml:space="preserve"> </w:t>
      </w:r>
      <w:r w:rsidR="00681A7C" w:rsidRPr="002528BF">
        <w:rPr>
          <w:rFonts w:cs="Times New Roman"/>
          <w:szCs w:val="22"/>
        </w:rPr>
        <w:t xml:space="preserve">Entwicklungen in den </w:t>
      </w:r>
      <w:r w:rsidR="00C75D68" w:rsidRPr="002528BF">
        <w:rPr>
          <w:rFonts w:cs="Times New Roman"/>
          <w:szCs w:val="22"/>
        </w:rPr>
        <w:t xml:space="preserve">Konsumraten </w:t>
      </w:r>
      <w:r w:rsidR="00681A7C" w:rsidRPr="002528BF">
        <w:rPr>
          <w:rFonts w:cs="Times New Roman"/>
          <w:szCs w:val="22"/>
        </w:rPr>
        <w:t>zurückgehen</w:t>
      </w:r>
      <w:r w:rsidR="00063C3B" w:rsidRPr="002528BF">
        <w:rPr>
          <w:rFonts w:cs="Times New Roman"/>
          <w:szCs w:val="22"/>
        </w:rPr>
        <w:t xml:space="preserve"> (vgl. Reed</w:t>
      </w:r>
      <w:r w:rsidR="00D77233">
        <w:rPr>
          <w:rFonts w:cs="Times New Roman"/>
          <w:szCs w:val="22"/>
        </w:rPr>
        <w:t xml:space="preserve"> a. a. O.</w:t>
      </w:r>
      <w:r w:rsidR="00063C3B" w:rsidRPr="002528BF">
        <w:rPr>
          <w:rFonts w:cs="Times New Roman"/>
          <w:szCs w:val="22"/>
        </w:rPr>
        <w:t>, S. 5)</w:t>
      </w:r>
      <w:r w:rsidR="00C75D68" w:rsidRPr="002528BF">
        <w:rPr>
          <w:rFonts w:cs="Times New Roman"/>
          <w:szCs w:val="22"/>
        </w:rPr>
        <w:t>.</w:t>
      </w:r>
      <w:r w:rsidR="00681A7C" w:rsidRPr="002528BF">
        <w:rPr>
          <w:rFonts w:cs="Verdana"/>
          <w:szCs w:val="22"/>
        </w:rPr>
        <w:t xml:space="preserve"> D</w:t>
      </w:r>
      <w:r w:rsidR="00063C3B" w:rsidRPr="002528BF">
        <w:rPr>
          <w:rFonts w:cs="Verdana"/>
          <w:szCs w:val="22"/>
        </w:rPr>
        <w:t>iese Zusa</w:t>
      </w:r>
      <w:r w:rsidR="00063C3B" w:rsidRPr="002528BF">
        <w:rPr>
          <w:rFonts w:cs="Verdana"/>
          <w:szCs w:val="22"/>
        </w:rPr>
        <w:t>m</w:t>
      </w:r>
      <w:r w:rsidR="00063C3B" w:rsidRPr="002528BF">
        <w:rPr>
          <w:rFonts w:cs="Verdana"/>
          <w:szCs w:val="22"/>
        </w:rPr>
        <w:t xml:space="preserve">menhänge </w:t>
      </w:r>
      <w:r w:rsidR="00681A7C" w:rsidRPr="002528BF">
        <w:rPr>
          <w:rFonts w:cs="Verdana"/>
          <w:szCs w:val="22"/>
        </w:rPr>
        <w:t xml:space="preserve">sind </w:t>
      </w:r>
      <w:r w:rsidR="00B1183D">
        <w:rPr>
          <w:rFonts w:cs="Times New Roman"/>
          <w:szCs w:val="22"/>
        </w:rPr>
        <w:t>ebenso</w:t>
      </w:r>
      <w:r w:rsidR="00F30F9A" w:rsidRPr="002528BF">
        <w:rPr>
          <w:rFonts w:cs="Times New Roman"/>
          <w:szCs w:val="22"/>
        </w:rPr>
        <w:t xml:space="preserve"> </w:t>
      </w:r>
      <w:r w:rsidR="00681A7C" w:rsidRPr="002528BF">
        <w:rPr>
          <w:rFonts w:cs="Times New Roman"/>
          <w:szCs w:val="22"/>
        </w:rPr>
        <w:t>zu berücksichtigen</w:t>
      </w:r>
      <w:r w:rsidR="00B1183D">
        <w:rPr>
          <w:rFonts w:cs="Times New Roman"/>
          <w:szCs w:val="22"/>
        </w:rPr>
        <w:t xml:space="preserve">, </w:t>
      </w:r>
      <w:r w:rsidR="00D25410" w:rsidRPr="002528BF">
        <w:rPr>
          <w:rFonts w:cs="Times New Roman"/>
          <w:szCs w:val="22"/>
        </w:rPr>
        <w:t>wie methodische Unterschiede bei der Datene</w:t>
      </w:r>
      <w:r w:rsidR="00D25410" w:rsidRPr="002528BF">
        <w:rPr>
          <w:rFonts w:cs="Times New Roman"/>
          <w:szCs w:val="22"/>
        </w:rPr>
        <w:t>r</w:t>
      </w:r>
      <w:r w:rsidR="00D25410" w:rsidRPr="002528BF">
        <w:rPr>
          <w:rFonts w:cs="Times New Roman"/>
          <w:szCs w:val="22"/>
        </w:rPr>
        <w:t>hebung</w:t>
      </w:r>
      <w:r w:rsidR="00E557E3">
        <w:rPr>
          <w:rFonts w:cs="Times New Roman"/>
          <w:szCs w:val="22"/>
        </w:rPr>
        <w:t xml:space="preserve"> (u. a. anonyme Befragungen in Schulklassen, Haushaltsbefragungen, computerg</w:t>
      </w:r>
      <w:r w:rsidR="00E557E3">
        <w:rPr>
          <w:rFonts w:cs="Times New Roman"/>
          <w:szCs w:val="22"/>
        </w:rPr>
        <w:t>e</w:t>
      </w:r>
      <w:r w:rsidR="00E557E3">
        <w:rPr>
          <w:rFonts w:cs="Times New Roman"/>
          <w:szCs w:val="22"/>
        </w:rPr>
        <w:t>stützte Befragungen)</w:t>
      </w:r>
      <w:r w:rsidR="00D25410" w:rsidRPr="002528BF">
        <w:rPr>
          <w:rFonts w:cs="Times New Roman"/>
          <w:szCs w:val="22"/>
        </w:rPr>
        <w:t>, die sich auch</w:t>
      </w:r>
      <w:r w:rsidR="00063C3B" w:rsidRPr="002528BF">
        <w:rPr>
          <w:rFonts w:cs="Times New Roman"/>
          <w:szCs w:val="22"/>
        </w:rPr>
        <w:t xml:space="preserve"> </w:t>
      </w:r>
      <w:r w:rsidR="00D25410" w:rsidRPr="002528BF">
        <w:rPr>
          <w:rFonts w:cs="Times New Roman"/>
          <w:szCs w:val="22"/>
        </w:rPr>
        <w:t>in Abweichungen in den erhobenen Daten z. B. zu den Prävalenz</w:t>
      </w:r>
      <w:r w:rsidR="002528BF" w:rsidRPr="002528BF">
        <w:rPr>
          <w:rFonts w:cs="Times New Roman"/>
          <w:szCs w:val="22"/>
        </w:rPr>
        <w:t>r</w:t>
      </w:r>
      <w:r w:rsidR="00D25410" w:rsidRPr="002528BF">
        <w:rPr>
          <w:rFonts w:cs="Times New Roman"/>
          <w:szCs w:val="22"/>
        </w:rPr>
        <w:t xml:space="preserve">aten </w:t>
      </w:r>
      <w:r w:rsidR="00FB4977" w:rsidRPr="002528BF">
        <w:rPr>
          <w:rFonts w:cs="Times New Roman"/>
          <w:szCs w:val="22"/>
        </w:rPr>
        <w:t>des</w:t>
      </w:r>
      <w:r w:rsidR="00D25410" w:rsidRPr="002528BF">
        <w:rPr>
          <w:rFonts w:cs="Times New Roman"/>
          <w:szCs w:val="22"/>
        </w:rPr>
        <w:t xml:space="preserve"> Konsum</w:t>
      </w:r>
      <w:r w:rsidR="00FB4977" w:rsidRPr="002528BF">
        <w:rPr>
          <w:rFonts w:cs="Times New Roman"/>
          <w:szCs w:val="22"/>
        </w:rPr>
        <w:t xml:space="preserve">s von Marihuana in den unterschiedlichen Surveys </w:t>
      </w:r>
      <w:r w:rsidR="00681A7C" w:rsidRPr="002528BF">
        <w:rPr>
          <w:rFonts w:cs="Times New Roman"/>
          <w:szCs w:val="22"/>
        </w:rPr>
        <w:t>in</w:t>
      </w:r>
      <w:r w:rsidR="00FB4977" w:rsidRPr="002528BF">
        <w:rPr>
          <w:rFonts w:cs="Times New Roman"/>
          <w:szCs w:val="22"/>
        </w:rPr>
        <w:t xml:space="preserve"> gleich</w:t>
      </w:r>
      <w:r>
        <w:rPr>
          <w:rFonts w:cs="Times New Roman"/>
          <w:szCs w:val="22"/>
        </w:rPr>
        <w:t>bar</w:t>
      </w:r>
      <w:r w:rsidR="00FB4977" w:rsidRPr="002528BF">
        <w:rPr>
          <w:rFonts w:cs="Times New Roman"/>
          <w:szCs w:val="22"/>
        </w:rPr>
        <w:t xml:space="preserve">en Probandengruppen </w:t>
      </w:r>
      <w:r w:rsidR="00681A7C" w:rsidRPr="002528BF">
        <w:rPr>
          <w:rFonts w:cs="Times New Roman"/>
          <w:szCs w:val="22"/>
        </w:rPr>
        <w:t xml:space="preserve">zeigen </w:t>
      </w:r>
      <w:r w:rsidR="00D25410" w:rsidRPr="002528BF">
        <w:rPr>
          <w:rFonts w:cs="Times New Roman"/>
          <w:szCs w:val="22"/>
        </w:rPr>
        <w:t xml:space="preserve">(vgl. </w:t>
      </w:r>
      <w:r w:rsidR="00D77233">
        <w:rPr>
          <w:rFonts w:cs="Times New Roman"/>
          <w:szCs w:val="22"/>
        </w:rPr>
        <w:t>ebenda,</w:t>
      </w:r>
      <w:r w:rsidR="00D25410" w:rsidRPr="002528BF">
        <w:rPr>
          <w:rFonts w:cs="Times New Roman"/>
          <w:szCs w:val="22"/>
        </w:rPr>
        <w:t xml:space="preserve"> S. 9)</w:t>
      </w:r>
      <w:r w:rsidR="002528BF" w:rsidRPr="002528BF">
        <w:rPr>
          <w:rStyle w:val="Funotenzeichen"/>
          <w:rFonts w:cs="Times New Roman"/>
          <w:szCs w:val="22"/>
        </w:rPr>
        <w:footnoteReference w:id="27"/>
      </w:r>
      <w:r w:rsidR="00FB4977" w:rsidRPr="002528BF">
        <w:rPr>
          <w:rFonts w:cs="Times New Roman"/>
          <w:szCs w:val="22"/>
        </w:rPr>
        <w:t>.</w:t>
      </w:r>
      <w:r w:rsidR="00947407" w:rsidRPr="002528BF">
        <w:rPr>
          <w:rFonts w:cs="Times New Roman"/>
          <w:szCs w:val="22"/>
        </w:rPr>
        <w:t xml:space="preserve"> </w:t>
      </w:r>
    </w:p>
    <w:p w14:paraId="39A253C3" w14:textId="77777777" w:rsidR="0087050B" w:rsidRDefault="0087050B" w:rsidP="009D7629">
      <w:pPr>
        <w:spacing w:line="276" w:lineRule="auto"/>
        <w:jc w:val="both"/>
        <w:rPr>
          <w:rFonts w:cs="Times New Roman"/>
          <w:szCs w:val="22"/>
        </w:rPr>
      </w:pPr>
    </w:p>
    <w:p w14:paraId="249F2B22" w14:textId="1BBE34E2" w:rsidR="00B1183D" w:rsidRDefault="00B1183D" w:rsidP="009D7629">
      <w:pPr>
        <w:spacing w:line="276" w:lineRule="auto"/>
        <w:jc w:val="both"/>
        <w:rPr>
          <w:rFonts w:cs="Times New Roman"/>
          <w:szCs w:val="22"/>
        </w:rPr>
      </w:pPr>
      <w:r>
        <w:rPr>
          <w:rFonts w:cs="Times New Roman"/>
          <w:szCs w:val="22"/>
        </w:rPr>
        <w:t>Für</w:t>
      </w:r>
      <w:r w:rsidR="001773B1" w:rsidRPr="002528BF">
        <w:rPr>
          <w:rFonts w:cs="Times New Roman"/>
          <w:szCs w:val="22"/>
        </w:rPr>
        <w:t xml:space="preserve"> eine Einschätzung, wie sich unter legalisierten Bedingungen Verstöße gegen die Schu</w:t>
      </w:r>
      <w:r w:rsidR="001773B1" w:rsidRPr="002528BF">
        <w:rPr>
          <w:rFonts w:cs="Times New Roman"/>
          <w:szCs w:val="22"/>
        </w:rPr>
        <w:t>l</w:t>
      </w:r>
      <w:r w:rsidR="001773B1" w:rsidRPr="002528BF">
        <w:rPr>
          <w:rFonts w:cs="Times New Roman"/>
          <w:szCs w:val="22"/>
        </w:rPr>
        <w:t xml:space="preserve">ordnungen entwickeln werden, in denen </w:t>
      </w:r>
      <w:r w:rsidR="002528BF" w:rsidRPr="002528BF">
        <w:rPr>
          <w:rFonts w:cs="Times New Roman"/>
          <w:szCs w:val="22"/>
        </w:rPr>
        <w:t xml:space="preserve">weiterhin ein </w:t>
      </w:r>
      <w:r w:rsidR="001773B1" w:rsidRPr="002528BF">
        <w:rPr>
          <w:rFonts w:cs="Times New Roman"/>
          <w:szCs w:val="22"/>
        </w:rPr>
        <w:t xml:space="preserve">totales Abstinenzgebot </w:t>
      </w:r>
      <w:r w:rsidR="00A80843" w:rsidRPr="002528BF">
        <w:rPr>
          <w:rFonts w:cs="Times New Roman"/>
          <w:szCs w:val="22"/>
        </w:rPr>
        <w:t xml:space="preserve">sowohl </w:t>
      </w:r>
      <w:r w:rsidR="001773B1" w:rsidRPr="002528BF">
        <w:rPr>
          <w:rFonts w:cs="Times New Roman"/>
          <w:szCs w:val="22"/>
        </w:rPr>
        <w:t xml:space="preserve">für Alkohol </w:t>
      </w:r>
      <w:r w:rsidR="00A80843" w:rsidRPr="002528BF">
        <w:rPr>
          <w:rFonts w:cs="Times New Roman"/>
          <w:szCs w:val="22"/>
        </w:rPr>
        <w:t>als auch für</w:t>
      </w:r>
      <w:r w:rsidR="001773B1" w:rsidRPr="002528BF">
        <w:rPr>
          <w:rFonts w:cs="Times New Roman"/>
          <w:szCs w:val="22"/>
        </w:rPr>
        <w:t xml:space="preserve"> andere psycho</w:t>
      </w:r>
      <w:r>
        <w:rPr>
          <w:rFonts w:cs="Times New Roman"/>
          <w:szCs w:val="22"/>
        </w:rPr>
        <w:t>-</w:t>
      </w:r>
      <w:r w:rsidR="001773B1" w:rsidRPr="002528BF">
        <w:rPr>
          <w:rFonts w:cs="Times New Roman"/>
          <w:szCs w:val="22"/>
        </w:rPr>
        <w:t xml:space="preserve">aktive Substanzen festgeschrieben ist, </w:t>
      </w:r>
      <w:r w:rsidR="004B3101">
        <w:rPr>
          <w:rFonts w:cs="Times New Roman"/>
          <w:szCs w:val="22"/>
        </w:rPr>
        <w:t xml:space="preserve">lassen </w:t>
      </w:r>
      <w:r w:rsidR="001773B1" w:rsidRPr="002528BF">
        <w:rPr>
          <w:rFonts w:cs="Times New Roman"/>
          <w:szCs w:val="22"/>
        </w:rPr>
        <w:t>sich nur sehr begrenzt Aussagen</w:t>
      </w:r>
      <w:r w:rsidR="004B3101" w:rsidRPr="004B3101">
        <w:rPr>
          <w:rFonts w:cs="Times New Roman"/>
          <w:szCs w:val="22"/>
        </w:rPr>
        <w:t xml:space="preserve"> </w:t>
      </w:r>
      <w:r w:rsidR="004B3101">
        <w:rPr>
          <w:rFonts w:cs="Times New Roman"/>
          <w:szCs w:val="22"/>
        </w:rPr>
        <w:t>finden:</w:t>
      </w:r>
      <w:r w:rsidR="001773B1" w:rsidRPr="002528BF">
        <w:rPr>
          <w:rFonts w:cs="Times New Roman"/>
          <w:szCs w:val="22"/>
        </w:rPr>
        <w:t xml:space="preserve"> Bereits auf nationaler Ebene werden Disziplinarverstöße </w:t>
      </w:r>
      <w:r w:rsidR="00921446" w:rsidRPr="002528BF">
        <w:rPr>
          <w:rFonts w:cs="Times New Roman"/>
          <w:szCs w:val="22"/>
        </w:rPr>
        <w:t xml:space="preserve">in Zusammenhang mit Alkohol, Marihuana und anderen illegalisierten Drogen </w:t>
      </w:r>
      <w:r w:rsidR="001773B1" w:rsidRPr="002528BF">
        <w:rPr>
          <w:rFonts w:cs="Times New Roman"/>
          <w:szCs w:val="22"/>
        </w:rPr>
        <w:t>zusammeng</w:t>
      </w:r>
      <w:r w:rsidR="001773B1" w:rsidRPr="002528BF">
        <w:rPr>
          <w:rFonts w:cs="Times New Roman"/>
          <w:szCs w:val="22"/>
        </w:rPr>
        <w:t>e</w:t>
      </w:r>
      <w:r w:rsidR="001773B1" w:rsidRPr="002528BF">
        <w:rPr>
          <w:rFonts w:cs="Times New Roman"/>
          <w:szCs w:val="22"/>
        </w:rPr>
        <w:t>f</w:t>
      </w:r>
      <w:r w:rsidR="00C12328">
        <w:rPr>
          <w:rFonts w:cs="Times New Roman"/>
          <w:szCs w:val="22"/>
        </w:rPr>
        <w:t>asst (vgl. National Center for Educational S</w:t>
      </w:r>
      <w:r w:rsidR="001773B1" w:rsidRPr="002528BF">
        <w:rPr>
          <w:rFonts w:cs="Times New Roman"/>
          <w:szCs w:val="22"/>
        </w:rPr>
        <w:t>tatistics 2016)</w:t>
      </w:r>
      <w:r>
        <w:rPr>
          <w:rFonts w:cs="Times New Roman"/>
          <w:szCs w:val="22"/>
        </w:rPr>
        <w:t>, weshalb eine Differenzierung zw</w:t>
      </w:r>
      <w:r>
        <w:rPr>
          <w:rFonts w:cs="Times New Roman"/>
          <w:szCs w:val="22"/>
        </w:rPr>
        <w:t>i</w:t>
      </w:r>
      <w:r>
        <w:rPr>
          <w:rFonts w:cs="Times New Roman"/>
          <w:szCs w:val="22"/>
        </w:rPr>
        <w:t>schen den Delikten nicht möglich ist. D</w:t>
      </w:r>
      <w:r w:rsidR="00596DBA" w:rsidRPr="002528BF">
        <w:rPr>
          <w:rFonts w:cs="Times New Roman"/>
          <w:szCs w:val="22"/>
        </w:rPr>
        <w:t xml:space="preserve">ie Bundesstaaten haben </w:t>
      </w:r>
      <w:r>
        <w:rPr>
          <w:rFonts w:cs="Times New Roman"/>
          <w:szCs w:val="22"/>
        </w:rPr>
        <w:t xml:space="preserve">zudem </w:t>
      </w:r>
      <w:r w:rsidR="00596DBA" w:rsidRPr="002528BF">
        <w:rPr>
          <w:rFonts w:cs="Times New Roman"/>
          <w:szCs w:val="22"/>
        </w:rPr>
        <w:t>bisher sehr unte</w:t>
      </w:r>
      <w:r w:rsidR="00596DBA" w:rsidRPr="002528BF">
        <w:rPr>
          <w:rFonts w:cs="Times New Roman"/>
          <w:szCs w:val="22"/>
        </w:rPr>
        <w:t>r</w:t>
      </w:r>
      <w:r w:rsidR="00596DBA" w:rsidRPr="002528BF">
        <w:rPr>
          <w:rFonts w:cs="Times New Roman"/>
          <w:szCs w:val="22"/>
        </w:rPr>
        <w:t xml:space="preserve">schiedliche Verfahren festgeschrieben, </w:t>
      </w:r>
      <w:r w:rsidR="000E77DD">
        <w:rPr>
          <w:rFonts w:cs="Times New Roman"/>
          <w:szCs w:val="22"/>
        </w:rPr>
        <w:t>wie</w:t>
      </w:r>
      <w:r w:rsidR="00596DBA" w:rsidRPr="002528BF">
        <w:rPr>
          <w:rFonts w:cs="Times New Roman"/>
          <w:szCs w:val="22"/>
        </w:rPr>
        <w:t xml:space="preserve"> Daten zu diesem Thema </w:t>
      </w:r>
      <w:r>
        <w:rPr>
          <w:rFonts w:cs="Times New Roman"/>
          <w:szCs w:val="22"/>
        </w:rPr>
        <w:t xml:space="preserve">zu </w:t>
      </w:r>
      <w:r w:rsidR="00596DBA" w:rsidRPr="002528BF">
        <w:rPr>
          <w:rFonts w:cs="Times New Roman"/>
          <w:szCs w:val="22"/>
        </w:rPr>
        <w:t>sammel</w:t>
      </w:r>
      <w:r>
        <w:rPr>
          <w:rFonts w:cs="Times New Roman"/>
          <w:szCs w:val="22"/>
        </w:rPr>
        <w:t xml:space="preserve">n sind. </w:t>
      </w:r>
      <w:r w:rsidR="00A80843" w:rsidRPr="002528BF">
        <w:rPr>
          <w:rFonts w:cs="Times New Roman"/>
          <w:szCs w:val="22"/>
        </w:rPr>
        <w:t>Leider sind</w:t>
      </w:r>
      <w:r w:rsidR="00596DBA" w:rsidRPr="002528BF">
        <w:rPr>
          <w:rFonts w:cs="Times New Roman"/>
          <w:szCs w:val="22"/>
        </w:rPr>
        <w:t xml:space="preserve"> diese in der Regel für Analysen Prä- und Post</w:t>
      </w:r>
      <w:r w:rsidR="00D67419">
        <w:rPr>
          <w:rFonts w:cs="Times New Roman"/>
          <w:szCs w:val="22"/>
        </w:rPr>
        <w:t>r</w:t>
      </w:r>
      <w:r w:rsidR="00D01097">
        <w:rPr>
          <w:rFonts w:cs="Times New Roman"/>
          <w:szCs w:val="22"/>
        </w:rPr>
        <w:t>egulierung</w:t>
      </w:r>
      <w:r w:rsidR="00596DBA" w:rsidRPr="002528BF">
        <w:rPr>
          <w:rFonts w:cs="Times New Roman"/>
          <w:szCs w:val="22"/>
        </w:rPr>
        <w:t xml:space="preserve"> wenig geeignet</w:t>
      </w:r>
      <w:r w:rsidR="002528BF">
        <w:rPr>
          <w:rFonts w:cs="Times New Roman"/>
          <w:szCs w:val="22"/>
        </w:rPr>
        <w:t xml:space="preserve">, weil erst nach </w:t>
      </w:r>
      <w:r w:rsidR="008B5D38">
        <w:rPr>
          <w:rFonts w:cs="Times New Roman"/>
          <w:szCs w:val="22"/>
        </w:rPr>
        <w:t>Beginn</w:t>
      </w:r>
      <w:r w:rsidR="002528BF">
        <w:rPr>
          <w:rFonts w:cs="Times New Roman"/>
          <w:szCs w:val="22"/>
        </w:rPr>
        <w:t xml:space="preserve"> </w:t>
      </w:r>
      <w:r w:rsidR="000E77DD">
        <w:rPr>
          <w:rFonts w:cs="Times New Roman"/>
          <w:szCs w:val="22"/>
        </w:rPr>
        <w:t>der</w:t>
      </w:r>
      <w:r w:rsidR="002528BF">
        <w:rPr>
          <w:rFonts w:cs="Times New Roman"/>
          <w:szCs w:val="22"/>
        </w:rPr>
        <w:t xml:space="preserve"> </w:t>
      </w:r>
      <w:r w:rsidR="00D01097">
        <w:rPr>
          <w:rFonts w:cs="Times New Roman"/>
          <w:szCs w:val="22"/>
        </w:rPr>
        <w:t>Regulierung</w:t>
      </w:r>
      <w:r w:rsidR="008B5D38">
        <w:rPr>
          <w:rFonts w:cs="Times New Roman"/>
          <w:szCs w:val="22"/>
        </w:rPr>
        <w:t>s</w:t>
      </w:r>
      <w:r w:rsidR="000E77DD">
        <w:rPr>
          <w:rFonts w:cs="Times New Roman"/>
          <w:szCs w:val="22"/>
        </w:rPr>
        <w:t>prozesse</w:t>
      </w:r>
      <w:r w:rsidR="002528BF">
        <w:rPr>
          <w:rFonts w:cs="Times New Roman"/>
          <w:szCs w:val="22"/>
        </w:rPr>
        <w:t xml:space="preserve"> eine separate Sammlung von Daten zu Verstößen in Z</w:t>
      </w:r>
      <w:r w:rsidR="002528BF">
        <w:rPr>
          <w:rFonts w:cs="Times New Roman"/>
          <w:szCs w:val="22"/>
        </w:rPr>
        <w:t>u</w:t>
      </w:r>
      <w:r w:rsidR="002528BF">
        <w:rPr>
          <w:rFonts w:cs="Times New Roman"/>
          <w:szCs w:val="22"/>
        </w:rPr>
        <w:t>sammenhang mit Marihuana eingeführt wurde</w:t>
      </w:r>
      <w:r w:rsidR="00596DBA" w:rsidRPr="002528BF">
        <w:rPr>
          <w:rFonts w:cs="Times New Roman"/>
          <w:szCs w:val="22"/>
        </w:rPr>
        <w:t xml:space="preserve">. </w:t>
      </w:r>
      <w:r w:rsidR="00A80843" w:rsidRPr="002528BF">
        <w:rPr>
          <w:rFonts w:cs="Times New Roman"/>
          <w:szCs w:val="22"/>
        </w:rPr>
        <w:t xml:space="preserve">Systematische Aussagen, ob und wie sich die Verfügbarkeit von Marihuana </w:t>
      </w:r>
      <w:r>
        <w:rPr>
          <w:rFonts w:cs="Times New Roman"/>
          <w:szCs w:val="22"/>
        </w:rPr>
        <w:t>in Bundesstaaten mit einem</w:t>
      </w:r>
      <w:r w:rsidRPr="002528BF">
        <w:rPr>
          <w:rFonts w:cs="Times New Roman"/>
          <w:szCs w:val="22"/>
        </w:rPr>
        <w:t xml:space="preserve"> </w:t>
      </w:r>
      <w:r>
        <w:rPr>
          <w:rFonts w:cs="Times New Roman"/>
          <w:szCs w:val="22"/>
        </w:rPr>
        <w:t>Regulierungsprozess</w:t>
      </w:r>
      <w:r w:rsidRPr="002528BF">
        <w:rPr>
          <w:rFonts w:cs="Times New Roman"/>
          <w:szCs w:val="22"/>
        </w:rPr>
        <w:t xml:space="preserve"> </w:t>
      </w:r>
      <w:r>
        <w:rPr>
          <w:rFonts w:cs="Times New Roman"/>
          <w:szCs w:val="22"/>
        </w:rPr>
        <w:t>für Erwac</w:t>
      </w:r>
      <w:r>
        <w:rPr>
          <w:rFonts w:cs="Times New Roman"/>
          <w:szCs w:val="22"/>
        </w:rPr>
        <w:t>h</w:t>
      </w:r>
      <w:r>
        <w:rPr>
          <w:rFonts w:cs="Times New Roman"/>
          <w:szCs w:val="22"/>
        </w:rPr>
        <w:t>sene</w:t>
      </w:r>
      <w:r w:rsidRPr="002528BF">
        <w:rPr>
          <w:rFonts w:cs="Times New Roman"/>
          <w:szCs w:val="22"/>
        </w:rPr>
        <w:t xml:space="preserve"> </w:t>
      </w:r>
      <w:r>
        <w:rPr>
          <w:rFonts w:cs="Times New Roman"/>
          <w:szCs w:val="22"/>
        </w:rPr>
        <w:t xml:space="preserve">auch </w:t>
      </w:r>
      <w:r w:rsidR="00A80843" w:rsidRPr="002528BF">
        <w:rPr>
          <w:rFonts w:cs="Times New Roman"/>
          <w:szCs w:val="22"/>
        </w:rPr>
        <w:t>für Jugendliche und Heranwachsende</w:t>
      </w:r>
      <w:r w:rsidR="00285DA9" w:rsidRPr="00285DA9">
        <w:rPr>
          <w:rFonts w:cs="Times New Roman"/>
          <w:szCs w:val="22"/>
        </w:rPr>
        <w:t xml:space="preserve"> </w:t>
      </w:r>
      <w:r w:rsidR="00285DA9" w:rsidRPr="002528BF">
        <w:rPr>
          <w:rFonts w:cs="Times New Roman"/>
          <w:szCs w:val="22"/>
        </w:rPr>
        <w:t>verändert</w:t>
      </w:r>
      <w:r w:rsidR="00A80843" w:rsidRPr="002528BF">
        <w:rPr>
          <w:rFonts w:cs="Times New Roman"/>
          <w:szCs w:val="22"/>
        </w:rPr>
        <w:t>, liegen nicht vor. Deshalb lässt sich auch die Hypothese</w:t>
      </w:r>
      <w:r w:rsidRPr="00B1183D">
        <w:rPr>
          <w:rFonts w:cs="Times New Roman"/>
          <w:szCs w:val="22"/>
        </w:rPr>
        <w:t xml:space="preserve"> </w:t>
      </w:r>
      <w:r w:rsidRPr="002528BF">
        <w:rPr>
          <w:rFonts w:cs="Times New Roman"/>
          <w:szCs w:val="22"/>
        </w:rPr>
        <w:t>nicht ausreichend prüfen</w:t>
      </w:r>
      <w:r w:rsidR="00A80843" w:rsidRPr="002528BF">
        <w:rPr>
          <w:rFonts w:cs="Times New Roman"/>
          <w:szCs w:val="22"/>
        </w:rPr>
        <w:t xml:space="preserve">, </w:t>
      </w:r>
      <w:r>
        <w:rPr>
          <w:rFonts w:cs="Times New Roman"/>
          <w:szCs w:val="22"/>
        </w:rPr>
        <w:t>dass</w:t>
      </w:r>
      <w:r w:rsidR="002528BF">
        <w:rPr>
          <w:rFonts w:cs="Times New Roman"/>
          <w:szCs w:val="22"/>
        </w:rPr>
        <w:t xml:space="preserve"> </w:t>
      </w:r>
      <w:r w:rsidR="002528BF" w:rsidRPr="002528BF">
        <w:rPr>
          <w:rFonts w:cs="Times New Roman"/>
          <w:szCs w:val="22"/>
        </w:rPr>
        <w:t xml:space="preserve">die Verfügbarkeit von Marihuana </w:t>
      </w:r>
      <w:r w:rsidR="00A80843" w:rsidRPr="002528BF">
        <w:rPr>
          <w:rFonts w:cs="Times New Roman"/>
          <w:szCs w:val="22"/>
        </w:rPr>
        <w:t xml:space="preserve">für </w:t>
      </w:r>
      <w:r w:rsidR="0025077F" w:rsidRPr="002528BF">
        <w:rPr>
          <w:rFonts w:cs="Times New Roman"/>
          <w:szCs w:val="22"/>
        </w:rPr>
        <w:t>we</w:t>
      </w:r>
      <w:r w:rsidR="0025077F" w:rsidRPr="002528BF">
        <w:rPr>
          <w:rFonts w:cs="Times New Roman"/>
          <w:szCs w:val="22"/>
        </w:rPr>
        <w:t>i</w:t>
      </w:r>
      <w:r w:rsidR="0025077F" w:rsidRPr="002528BF">
        <w:rPr>
          <w:rFonts w:cs="Times New Roman"/>
          <w:szCs w:val="22"/>
        </w:rPr>
        <w:t xml:space="preserve">terhin unter Prohibition stehende </w:t>
      </w:r>
      <w:r w:rsidR="00A80843" w:rsidRPr="002528BF">
        <w:rPr>
          <w:rFonts w:cs="Times New Roman"/>
          <w:szCs w:val="22"/>
        </w:rPr>
        <w:t xml:space="preserve">Jugendliche und Heranwachsende zunimmt. </w:t>
      </w:r>
    </w:p>
    <w:p w14:paraId="1C31BBFA" w14:textId="39463576" w:rsidR="00921446" w:rsidRPr="00A8485D" w:rsidRDefault="00B1183D" w:rsidP="009D7629">
      <w:pPr>
        <w:spacing w:line="276" w:lineRule="auto"/>
        <w:jc w:val="both"/>
        <w:rPr>
          <w:szCs w:val="22"/>
        </w:rPr>
      </w:pPr>
      <w:r>
        <w:rPr>
          <w:rFonts w:cs="Times New Roman"/>
          <w:szCs w:val="22"/>
        </w:rPr>
        <w:t>D</w:t>
      </w:r>
      <w:r w:rsidR="00E557E3">
        <w:rPr>
          <w:rFonts w:cs="Times New Roman"/>
          <w:szCs w:val="22"/>
        </w:rPr>
        <w:t xml:space="preserve">iese </w:t>
      </w:r>
      <w:r w:rsidR="009D7629">
        <w:rPr>
          <w:rFonts w:cs="Times New Roman"/>
          <w:szCs w:val="22"/>
        </w:rPr>
        <w:t xml:space="preserve">methodischen </w:t>
      </w:r>
      <w:r w:rsidR="00E557E3">
        <w:rPr>
          <w:rFonts w:cs="Times New Roman"/>
          <w:szCs w:val="22"/>
        </w:rPr>
        <w:t>Einschränkungen sind bei einer Auseinandersetzung mit den vorliege</w:t>
      </w:r>
      <w:r w:rsidR="00E557E3">
        <w:rPr>
          <w:rFonts w:cs="Times New Roman"/>
          <w:szCs w:val="22"/>
        </w:rPr>
        <w:t>n</w:t>
      </w:r>
      <w:r w:rsidR="00E557E3">
        <w:rPr>
          <w:rFonts w:cs="Times New Roman"/>
          <w:szCs w:val="22"/>
        </w:rPr>
        <w:t xml:space="preserve">den Daten zu bedenken. </w:t>
      </w:r>
      <w:r w:rsidR="000E77DD">
        <w:rPr>
          <w:rFonts w:cs="Times New Roman"/>
          <w:szCs w:val="22"/>
        </w:rPr>
        <w:t xml:space="preserve">Hier wird zusätzlich zu den bereits genannten auch auf den </w:t>
      </w:r>
      <w:r w:rsidR="00285DA9" w:rsidRPr="000E77DD">
        <w:rPr>
          <w:rFonts w:cs="Georgia"/>
          <w:i/>
          <w:szCs w:val="22"/>
        </w:rPr>
        <w:t>Healthy Youth Survey</w:t>
      </w:r>
      <w:r w:rsidR="000E77DD">
        <w:rPr>
          <w:rFonts w:cs="Georgia"/>
          <w:szCs w:val="22"/>
        </w:rPr>
        <w:t xml:space="preserve"> zurückgegriffen, eine nationale Studie, die zweijährig für die gesamte Nation unter Schülern der </w:t>
      </w:r>
      <w:r w:rsidR="00285DA9" w:rsidRPr="005A4293">
        <w:rPr>
          <w:rFonts w:cs="Georgia"/>
          <w:szCs w:val="22"/>
        </w:rPr>
        <w:t>6</w:t>
      </w:r>
      <w:r w:rsidR="000E77DD">
        <w:rPr>
          <w:rFonts w:cs="Georgia"/>
          <w:szCs w:val="22"/>
        </w:rPr>
        <w:t>.</w:t>
      </w:r>
      <w:r w:rsidR="00285DA9" w:rsidRPr="005A4293">
        <w:rPr>
          <w:rFonts w:cs="Georgia"/>
          <w:szCs w:val="22"/>
        </w:rPr>
        <w:t>, 8</w:t>
      </w:r>
      <w:r w:rsidR="000E77DD">
        <w:rPr>
          <w:rFonts w:cs="Georgia"/>
          <w:szCs w:val="22"/>
        </w:rPr>
        <w:t>.</w:t>
      </w:r>
      <w:r w:rsidR="00285DA9" w:rsidRPr="005A4293">
        <w:rPr>
          <w:rFonts w:cs="Georgia"/>
          <w:szCs w:val="22"/>
        </w:rPr>
        <w:t>, 10</w:t>
      </w:r>
      <w:r w:rsidR="000E77DD">
        <w:rPr>
          <w:rFonts w:cs="Georgia"/>
          <w:szCs w:val="22"/>
        </w:rPr>
        <w:t>. und 12. Klasse durchgeführt wird</w:t>
      </w:r>
      <w:r w:rsidR="00285DA9" w:rsidRPr="005A4293">
        <w:rPr>
          <w:rFonts w:cs="Georgia"/>
          <w:szCs w:val="22"/>
        </w:rPr>
        <w:t>.</w:t>
      </w:r>
    </w:p>
    <w:p w14:paraId="3F6A74F6" w14:textId="76A66E2F" w:rsidR="002E62A2" w:rsidRDefault="002E62A2" w:rsidP="009D7629">
      <w:pPr>
        <w:pStyle w:val="berschrift3"/>
        <w:spacing w:line="276" w:lineRule="auto"/>
        <w:jc w:val="both"/>
      </w:pPr>
      <w:bookmarkStart w:id="31" w:name="_Toc349300360"/>
      <w:r>
        <w:t>Der Marihuana</w:t>
      </w:r>
      <w:r w:rsidR="00A8485D">
        <w:t>-Konsum</w:t>
      </w:r>
      <w:r w:rsidR="009D7629">
        <w:t>:</w:t>
      </w:r>
      <w:r>
        <w:t xml:space="preserve"> </w:t>
      </w:r>
      <w:r w:rsidR="009D7629">
        <w:t>E</w:t>
      </w:r>
      <w:r w:rsidR="00A72483">
        <w:t xml:space="preserve">ine Konstante mit </w:t>
      </w:r>
      <w:r w:rsidR="00F06601">
        <w:t>nachgeordneter</w:t>
      </w:r>
      <w:r w:rsidR="00A72483">
        <w:t xml:space="preserve"> Relevanz</w:t>
      </w:r>
      <w:bookmarkEnd w:id="31"/>
    </w:p>
    <w:p w14:paraId="09BB0D69" w14:textId="61DE5C42" w:rsidR="000E77DD" w:rsidRDefault="00E55F28" w:rsidP="00B1183D">
      <w:pPr>
        <w:pStyle w:val="KeinLeerraum"/>
        <w:spacing w:line="276" w:lineRule="auto"/>
        <w:jc w:val="both"/>
      </w:pPr>
      <w:r>
        <w:t xml:space="preserve">Die Prävalenzraten auch für </w:t>
      </w:r>
      <w:r w:rsidR="00B1183D">
        <w:t>Jugendliche und Heranwachsende</w:t>
      </w:r>
      <w:r>
        <w:t xml:space="preserve"> und deren Entwicklung</w:t>
      </w:r>
      <w:r w:rsidR="00AB7021">
        <w:t>ste</w:t>
      </w:r>
      <w:r w:rsidR="00AB7021">
        <w:t>n</w:t>
      </w:r>
      <w:r w:rsidR="00AB7021">
        <w:t>denz</w:t>
      </w:r>
      <w:r>
        <w:t xml:space="preserve">en wurden bereits im Kapitel 2 dargestellt. </w:t>
      </w:r>
    </w:p>
    <w:p w14:paraId="593AD288" w14:textId="77777777" w:rsidR="00B1292B" w:rsidRDefault="00B1292B" w:rsidP="00B1292B">
      <w:pPr>
        <w:pStyle w:val="KeinLeerraum"/>
        <w:spacing w:line="276" w:lineRule="auto"/>
        <w:jc w:val="both"/>
      </w:pPr>
    </w:p>
    <w:p w14:paraId="33C36D00" w14:textId="73FD1F43" w:rsidR="00B1292B" w:rsidRDefault="00B1292B" w:rsidP="001E7306">
      <w:pPr>
        <w:pStyle w:val="KeinLeerraum"/>
        <w:spacing w:line="276" w:lineRule="auto"/>
        <w:ind w:firstLine="426"/>
        <w:jc w:val="both"/>
      </w:pPr>
      <w:r>
        <w:rPr>
          <w:noProof/>
        </w:rPr>
        <w:drawing>
          <wp:inline distT="0" distB="0" distL="0" distR="0" wp14:anchorId="151CFD9C" wp14:editId="7954EEE5">
            <wp:extent cx="5007221" cy="5356279"/>
            <wp:effectExtent l="25400" t="25400" r="22225" b="2857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09 um 12.14.14.png"/>
                    <pic:cNvPicPr/>
                  </pic:nvPicPr>
                  <pic:blipFill>
                    <a:blip r:embed="rId52">
                      <a:extLst>
                        <a:ext uri="{28A0092B-C50C-407E-A947-70E740481C1C}">
                          <a14:useLocalDpi xmlns:a14="http://schemas.microsoft.com/office/drawing/2010/main" val="0"/>
                        </a:ext>
                      </a:extLst>
                    </a:blip>
                    <a:stretch>
                      <a:fillRect/>
                    </a:stretch>
                  </pic:blipFill>
                  <pic:spPr>
                    <a:xfrm>
                      <a:off x="0" y="0"/>
                      <a:ext cx="5007626" cy="5356712"/>
                    </a:xfrm>
                    <a:prstGeom prst="rect">
                      <a:avLst/>
                    </a:prstGeom>
                    <a:ln>
                      <a:solidFill>
                        <a:srgbClr val="000000"/>
                      </a:solidFill>
                    </a:ln>
                  </pic:spPr>
                </pic:pic>
              </a:graphicData>
            </a:graphic>
          </wp:inline>
        </w:drawing>
      </w:r>
    </w:p>
    <w:p w14:paraId="388D996A" w14:textId="57981C3B" w:rsidR="00054178" w:rsidRDefault="00054178" w:rsidP="00054178">
      <w:pPr>
        <w:pStyle w:val="Beschriftung"/>
        <w:jc w:val="both"/>
      </w:pPr>
      <w:r>
        <w:t xml:space="preserve">Abbildung </w:t>
      </w:r>
      <w:fldSimple w:instr=" SEQ Abbildung \* ARABIC ">
        <w:r w:rsidR="00B86830">
          <w:rPr>
            <w:noProof/>
          </w:rPr>
          <w:t>10</w:t>
        </w:r>
      </w:fldSimple>
      <w:r>
        <w:t>: Statistisch signifikante Veränderungen in den Konsumraten von Marihuana unter Jugendl</w:t>
      </w:r>
      <w:r>
        <w:t>i</w:t>
      </w:r>
      <w:r>
        <w:t>chen zwischen 12 und 17 Jahren (</w:t>
      </w:r>
      <w:r w:rsidR="00B1292B">
        <w:t xml:space="preserve">Hughes, Rachel, Lipari, Matthew </w:t>
      </w:r>
      <w:r w:rsidR="00576F19">
        <w:t>2015, S. 6)</w:t>
      </w:r>
    </w:p>
    <w:p w14:paraId="2A862F5D" w14:textId="77777777" w:rsidR="00B1183D" w:rsidRDefault="00B1183D" w:rsidP="00B1183D">
      <w:pPr>
        <w:pStyle w:val="KeinLeerraum"/>
        <w:spacing w:line="276" w:lineRule="auto"/>
        <w:jc w:val="both"/>
      </w:pPr>
      <w:r>
        <w:t>Ersichtlich wird, dass der Umgang mit Cannabis in den USA viele Ähnlichkeiten mit dem in Deutschland hat: Während Alkohol auch in den USA die psycho-aktive Substanz ist, die in allen Altersgruppen am meisten konsumiert wird, ist die Näherung an Cannabis ein Phän</w:t>
      </w:r>
      <w:r>
        <w:t>o</w:t>
      </w:r>
      <w:r>
        <w:t>men, das eher unter Jugendlichen und Heranwachsenden verbreitet ist. Die nationalen Inte</w:t>
      </w:r>
      <w:r>
        <w:t>r</w:t>
      </w:r>
      <w:r>
        <w:t>valluntersuchungen</w:t>
      </w:r>
      <w:r w:rsidRPr="0061270B">
        <w:t xml:space="preserve"> </w:t>
      </w:r>
      <w:r>
        <w:t>zeigen, dass die Raten des regelmäßigen Marihuana-Konsums keine a</w:t>
      </w:r>
      <w:r>
        <w:t>u</w:t>
      </w:r>
      <w:r>
        <w:t>ßergewöhnliche Dynamik haben, sondern  schon seit vielen Jahren zumindest unter jungen Erwachsenen (18-25 Jahre und älter als 26 Jahre) sanft, aber nicht mit statistischer Signif</w:t>
      </w:r>
      <w:r>
        <w:t>i</w:t>
      </w:r>
      <w:r>
        <w:t>kanz ansteigen (vgl. Hughes, Rachel, Lipari, Matthew 2015)</w:t>
      </w:r>
      <w:r w:rsidRPr="00B1183D">
        <w:t xml:space="preserve"> </w:t>
      </w:r>
      <w:r>
        <w:t>(vgl. Abbildung 10).</w:t>
      </w:r>
    </w:p>
    <w:p w14:paraId="78D3BF06" w14:textId="77777777" w:rsidR="00B1183D" w:rsidRDefault="00B1183D" w:rsidP="00B1183D">
      <w:pPr>
        <w:pStyle w:val="KeinLeerraum"/>
        <w:spacing w:line="276" w:lineRule="auto"/>
        <w:jc w:val="both"/>
      </w:pPr>
      <w:r>
        <w:t>Von allen illegalisierten Substanzen hat Cannabis</w:t>
      </w:r>
      <w:r w:rsidRPr="00B1183D">
        <w:t xml:space="preserve"> </w:t>
      </w:r>
      <w:r>
        <w:t>in allen jugendlichen Altersgruppen die weiteste Verbreitung. Seit vielen Jahren sind es insbesondere die 18-25-Jährigen, die sich schwerpunktmäßig mit Marihuana auseinandersetzen. Deshalb werden für diese auch die höchsten Raten in der Lebenszeit- und 30-Tage-Prävalenz ausgewiesen. In dieser statistisch aggregierten Altersgruppe sind allerdings Heranwachsende (bis 21 Jahre) mit jungen E</w:t>
      </w:r>
      <w:r>
        <w:t>r</w:t>
      </w:r>
      <w:r>
        <w:t>wachsene (älter als 21 Jahre) zusammengefasst, so dass nicht erkennbar ist, ob und wieweit die unterschiedlichen gesetzlichen Regelungen (strenge Prohibition durch die Regeln zu U</w:t>
      </w:r>
      <w:r>
        <w:t>n</w:t>
      </w:r>
      <w:r>
        <w:t>der-age-Drinking und Under-age-consuming Marijuana bis zum 21. Lebensjahr) diese Ause</w:t>
      </w:r>
      <w:r>
        <w:t>i</w:t>
      </w:r>
      <w:r>
        <w:t>nandersetzungsprozesse beeinflussen; ob also ein wesentlicher Unterschied zwischen He</w:t>
      </w:r>
      <w:r>
        <w:t>r</w:t>
      </w:r>
      <w:r>
        <w:t>anwachsenden und jungen Erwachsenen besteht.</w:t>
      </w:r>
    </w:p>
    <w:p w14:paraId="5E13ACB0" w14:textId="4AF80EEF" w:rsidR="00406A5E" w:rsidRPr="00562F99" w:rsidRDefault="00E55F28" w:rsidP="009D7629">
      <w:pPr>
        <w:pStyle w:val="KeinLeerraum"/>
        <w:spacing w:line="276" w:lineRule="auto"/>
        <w:jc w:val="both"/>
      </w:pPr>
      <w:r>
        <w:t xml:space="preserve">Darüber hinaus kann </w:t>
      </w:r>
      <w:r w:rsidR="009E6FBB">
        <w:t xml:space="preserve">mit Verweis auf Schülerbefragungen </w:t>
      </w:r>
      <w:r>
        <w:t>f</w:t>
      </w:r>
      <w:r w:rsidR="0025077F" w:rsidRPr="00562F99">
        <w:t xml:space="preserve">ür die USA insgesamt </w:t>
      </w:r>
      <w:r w:rsidR="00406A5E" w:rsidRPr="00562F99">
        <w:t>herausg</w:t>
      </w:r>
      <w:r w:rsidR="00406A5E" w:rsidRPr="00562F99">
        <w:t>e</w:t>
      </w:r>
      <w:r w:rsidR="00406A5E" w:rsidRPr="00562F99">
        <w:t xml:space="preserve">stellt werden (vgl. Zhang, Musu-Gillette, Oudekerk 2016), dass: </w:t>
      </w:r>
    </w:p>
    <w:p w14:paraId="1E8976D0" w14:textId="6E544AE1" w:rsidR="002528BF" w:rsidRPr="00562F99" w:rsidRDefault="002528BF" w:rsidP="00F67143">
      <w:pPr>
        <w:pStyle w:val="KeinLeerraum"/>
        <w:numPr>
          <w:ilvl w:val="0"/>
          <w:numId w:val="12"/>
        </w:numPr>
        <w:spacing w:line="276" w:lineRule="auto"/>
        <w:jc w:val="both"/>
      </w:pPr>
      <w:r w:rsidRPr="00562F99">
        <w:t>Der Prozentsatz der Schüler der 9</w:t>
      </w:r>
      <w:r>
        <w:t>.</w:t>
      </w:r>
      <w:r w:rsidRPr="00562F99">
        <w:t>-12</w:t>
      </w:r>
      <w:r>
        <w:t>.</w:t>
      </w:r>
      <w:r w:rsidRPr="00562F99">
        <w:t xml:space="preserve"> Klasse, </w:t>
      </w:r>
      <w:r w:rsidR="00FB6A91">
        <w:t>die</w:t>
      </w:r>
      <w:r>
        <w:t xml:space="preserve"> angab</w:t>
      </w:r>
      <w:r w:rsidR="00FB6A91">
        <w:t>en</w:t>
      </w:r>
      <w:r w:rsidRPr="00562F99">
        <w:t>, dass auf dem Schulgelä</w:t>
      </w:r>
      <w:r w:rsidRPr="00562F99">
        <w:t>n</w:t>
      </w:r>
      <w:r w:rsidRPr="00562F99">
        <w:t>de illegal</w:t>
      </w:r>
      <w:r w:rsidR="00B1183D">
        <w:t>isiert</w:t>
      </w:r>
      <w:r w:rsidRPr="00562F99">
        <w:t xml:space="preserve">e Drogen erhältlich sind, in den Jahren 1993 bis 1995 deutlich anstieg (von 24 % auf 32 %), danach aber </w:t>
      </w:r>
      <w:r>
        <w:t xml:space="preserve">kontinuierlich bis </w:t>
      </w:r>
      <w:r w:rsidRPr="00562F99">
        <w:t>auf 22 % im Jahr 2013</w:t>
      </w:r>
      <w:r>
        <w:t xml:space="preserve"> </w:t>
      </w:r>
      <w:r w:rsidR="0061270B" w:rsidRPr="00562F99">
        <w:t xml:space="preserve">wieder </w:t>
      </w:r>
      <w:r>
        <w:t>gefallen</w:t>
      </w:r>
      <w:r w:rsidR="0087050B" w:rsidRPr="0087050B">
        <w:t xml:space="preserve"> </w:t>
      </w:r>
      <w:r w:rsidR="0087050B">
        <w:t>ist</w:t>
      </w:r>
      <w:r w:rsidRPr="00562F99">
        <w:t xml:space="preserve">. </w:t>
      </w:r>
      <w:r w:rsidR="00FB6A91">
        <w:t>Für diese Entwicklungen lassen sich keine signifikanten Unterschiede zwischen den Bundesstaaten aufzeigen</w:t>
      </w:r>
      <w:r w:rsidR="00D77233">
        <w:t xml:space="preserve">. Das heißt, auch in den Bundesstaaten mit </w:t>
      </w:r>
      <w:r w:rsidR="00D01097">
        <w:t>R</w:t>
      </w:r>
      <w:r w:rsidR="00D01097">
        <w:t>e</w:t>
      </w:r>
      <w:r w:rsidR="00D01097">
        <w:t>gulierung</w:t>
      </w:r>
      <w:r w:rsidR="004B3101">
        <w:t xml:space="preserve">sprozessen </w:t>
      </w:r>
      <w:r w:rsidR="00D77233">
        <w:t xml:space="preserve"> wird von den Jugendlichen keine größere Verfügbarkeit </w:t>
      </w:r>
      <w:r w:rsidR="0061270B">
        <w:t>zumi</w:t>
      </w:r>
      <w:r w:rsidR="0061270B">
        <w:t>n</w:t>
      </w:r>
      <w:r w:rsidR="0061270B">
        <w:t xml:space="preserve">dest in der Institution Schule </w:t>
      </w:r>
      <w:r w:rsidR="00D77233">
        <w:t>berichtet</w:t>
      </w:r>
      <w:r w:rsidR="00FB6A91">
        <w:t>.</w:t>
      </w:r>
    </w:p>
    <w:p w14:paraId="471572E7" w14:textId="1C367D60" w:rsidR="00C32045" w:rsidRPr="0047429E" w:rsidRDefault="00C32045" w:rsidP="00F67143">
      <w:pPr>
        <w:pStyle w:val="StandardWeb"/>
        <w:numPr>
          <w:ilvl w:val="0"/>
          <w:numId w:val="12"/>
        </w:numPr>
        <w:spacing w:line="276" w:lineRule="auto"/>
        <w:jc w:val="both"/>
        <w:rPr>
          <w:rFonts w:asciiTheme="minorHAnsi" w:hAnsiTheme="minorHAnsi" w:cstheme="minorBidi"/>
          <w:sz w:val="22"/>
          <w:szCs w:val="22"/>
        </w:rPr>
      </w:pPr>
      <w:r w:rsidRPr="0047429E">
        <w:rPr>
          <w:rFonts w:asciiTheme="minorHAnsi" w:hAnsiTheme="minorHAnsi"/>
          <w:sz w:val="22"/>
          <w:szCs w:val="22"/>
        </w:rPr>
        <w:t xml:space="preserve">Im Jahr 2011 berichteten 6 % der befragten Schüler, dass sie schon einmal auf dem Schulgelände Marihuana konsumiert haben. Interessant ist, dass dieser Prozentsatz in den regelmäßig vorgenommenen </w:t>
      </w:r>
      <w:r>
        <w:rPr>
          <w:rFonts w:asciiTheme="minorHAnsi" w:hAnsiTheme="minorHAnsi"/>
          <w:sz w:val="22"/>
          <w:szCs w:val="22"/>
        </w:rPr>
        <w:t xml:space="preserve">nationalen </w:t>
      </w:r>
      <w:r w:rsidRPr="0047429E">
        <w:rPr>
          <w:rFonts w:asciiTheme="minorHAnsi" w:hAnsiTheme="minorHAnsi"/>
          <w:sz w:val="22"/>
          <w:szCs w:val="22"/>
        </w:rPr>
        <w:t>Befragungen zu „I</w:t>
      </w:r>
      <w:r w:rsidRPr="0047429E">
        <w:rPr>
          <w:rFonts w:asciiTheme="minorHAnsi" w:hAnsiTheme="minorHAnsi"/>
          <w:iCs/>
          <w:sz w:val="22"/>
          <w:szCs w:val="22"/>
        </w:rPr>
        <w:t>ndicators of School Crime and Safety“</w:t>
      </w:r>
      <w:r w:rsidRPr="0047429E">
        <w:rPr>
          <w:rFonts w:asciiTheme="minorHAnsi" w:hAnsiTheme="minorHAnsi"/>
          <w:sz w:val="22"/>
          <w:szCs w:val="22"/>
        </w:rPr>
        <w:t xml:space="preserve"> bereits seit 1993 unverändert ist</w:t>
      </w:r>
      <w:r>
        <w:rPr>
          <w:rFonts w:asciiTheme="minorHAnsi" w:hAnsiTheme="minorHAnsi"/>
          <w:sz w:val="22"/>
          <w:szCs w:val="22"/>
        </w:rPr>
        <w:t xml:space="preserve"> und sich </w:t>
      </w:r>
      <w:r w:rsidR="00E55F28">
        <w:rPr>
          <w:rFonts w:asciiTheme="minorHAnsi" w:hAnsiTheme="minorHAnsi"/>
          <w:sz w:val="22"/>
          <w:szCs w:val="22"/>
        </w:rPr>
        <w:t xml:space="preserve">auch hier </w:t>
      </w:r>
      <w:r>
        <w:rPr>
          <w:rFonts w:asciiTheme="minorHAnsi" w:hAnsiTheme="minorHAnsi"/>
          <w:sz w:val="22"/>
          <w:szCs w:val="22"/>
        </w:rPr>
        <w:t>keine signif</w:t>
      </w:r>
      <w:r>
        <w:rPr>
          <w:rFonts w:asciiTheme="minorHAnsi" w:hAnsiTheme="minorHAnsi"/>
          <w:sz w:val="22"/>
          <w:szCs w:val="22"/>
        </w:rPr>
        <w:t>i</w:t>
      </w:r>
      <w:r>
        <w:rPr>
          <w:rFonts w:asciiTheme="minorHAnsi" w:hAnsiTheme="minorHAnsi"/>
          <w:sz w:val="22"/>
          <w:szCs w:val="22"/>
        </w:rPr>
        <w:t>kanten Unterschiede zwischen Bundesstaaten aufzeigen lassen</w:t>
      </w:r>
      <w:r w:rsidR="00150F77">
        <w:rPr>
          <w:rFonts w:asciiTheme="minorHAnsi" w:hAnsiTheme="minorHAnsi"/>
          <w:sz w:val="22"/>
          <w:szCs w:val="22"/>
        </w:rPr>
        <w:t>, wohl aber zwischen Mädchen und Jungen: Mehr Mädchen als Jungen haben auf den Schulgelände kons</w:t>
      </w:r>
      <w:r w:rsidR="00150F77">
        <w:rPr>
          <w:rFonts w:asciiTheme="minorHAnsi" w:hAnsiTheme="minorHAnsi"/>
          <w:sz w:val="22"/>
          <w:szCs w:val="22"/>
        </w:rPr>
        <w:t>u</w:t>
      </w:r>
      <w:r w:rsidR="00150F77">
        <w:rPr>
          <w:rFonts w:asciiTheme="minorHAnsi" w:hAnsiTheme="minorHAnsi"/>
          <w:sz w:val="22"/>
          <w:szCs w:val="22"/>
        </w:rPr>
        <w:t xml:space="preserve">miert – ein interessanter Befund, dessen Erklärung noch aussteht.  </w:t>
      </w:r>
    </w:p>
    <w:p w14:paraId="058D539A" w14:textId="1B2CC855" w:rsidR="009D7629" w:rsidRDefault="002528BF" w:rsidP="00F67143">
      <w:pPr>
        <w:pStyle w:val="KeinLeerraum"/>
        <w:numPr>
          <w:ilvl w:val="0"/>
          <w:numId w:val="12"/>
        </w:numPr>
        <w:spacing w:line="276" w:lineRule="auto"/>
        <w:jc w:val="both"/>
      </w:pPr>
      <w:r w:rsidRPr="00562F99">
        <w:t>Im Schuljahr 2013–</w:t>
      </w:r>
      <w:r>
        <w:t>20</w:t>
      </w:r>
      <w:r w:rsidRPr="00562F99">
        <w:t xml:space="preserve">14 </w:t>
      </w:r>
      <w:r>
        <w:t xml:space="preserve">betrug </w:t>
      </w:r>
      <w:r w:rsidRPr="00562F99">
        <w:t>die durchschnittliche Rate der disziplinarischen Vo</w:t>
      </w:r>
      <w:r w:rsidRPr="00562F99">
        <w:t>r</w:t>
      </w:r>
      <w:r w:rsidRPr="00562F99">
        <w:t>kommnisse</w:t>
      </w:r>
      <w:r>
        <w:t xml:space="preserve"> in Zusammenhang </w:t>
      </w:r>
      <w:r w:rsidRPr="00562F99">
        <w:t>mit illegal</w:t>
      </w:r>
      <w:r w:rsidR="00B1183D">
        <w:t>isiert</w:t>
      </w:r>
      <w:r w:rsidRPr="00562F99">
        <w:t xml:space="preserve">en Drogen </w:t>
      </w:r>
      <w:r>
        <w:t>394 per 100.</w:t>
      </w:r>
      <w:r w:rsidRPr="00562F99">
        <w:t xml:space="preserve">000 </w:t>
      </w:r>
      <w:r>
        <w:t>Schüler</w:t>
      </w:r>
      <w:r w:rsidRPr="00562F99">
        <w:t>. Fünf Staaten hatten mit unter 100 Vorkommnissen auf 100.000 Schüler besonders niedrige Raten: Wyoming, Texas, Tennessee, Virginia und Mi</w:t>
      </w:r>
      <w:r>
        <w:t>chigan;</w:t>
      </w:r>
      <w:r w:rsidRPr="00562F99">
        <w:t xml:space="preserve"> zwei mit Raten über 1000 besonders hohe Raten hatten: Kentucky und New Mexico. Die Länder, in denen </w:t>
      </w:r>
      <w:r w:rsidR="0061270B">
        <w:t xml:space="preserve">seit </w:t>
      </w:r>
      <w:r w:rsidR="004B3101">
        <w:t>2013 ein</w:t>
      </w:r>
      <w:r w:rsidRPr="00562F99">
        <w:t xml:space="preserve"> </w:t>
      </w:r>
      <w:r w:rsidR="00D01097">
        <w:t>Regulierung</w:t>
      </w:r>
      <w:r w:rsidR="004B3101">
        <w:t>sprozess</w:t>
      </w:r>
      <w:r w:rsidRPr="00562F99">
        <w:t xml:space="preserve"> des Freizeitkonsums von Marihuana durc</w:t>
      </w:r>
      <w:r w:rsidRPr="00562F99">
        <w:t>h</w:t>
      </w:r>
      <w:r w:rsidRPr="00562F99">
        <w:t xml:space="preserve">gesetzt </w:t>
      </w:r>
      <w:r w:rsidR="0061270B">
        <w:t>wird</w:t>
      </w:r>
      <w:r w:rsidR="00150F77">
        <w:t xml:space="preserve">, </w:t>
      </w:r>
      <w:r w:rsidRPr="00562F99">
        <w:t xml:space="preserve">fallen damit nicht </w:t>
      </w:r>
      <w:r w:rsidR="0061270B">
        <w:t xml:space="preserve">auf – </w:t>
      </w:r>
      <w:r w:rsidRPr="00562F99">
        <w:t xml:space="preserve">weder durch besonders hohe, noch besonders geringe </w:t>
      </w:r>
      <w:r w:rsidR="0087050B" w:rsidRPr="00562F99">
        <w:t>Rate</w:t>
      </w:r>
      <w:r w:rsidR="0087050B">
        <w:t>n.</w:t>
      </w:r>
    </w:p>
    <w:p w14:paraId="5C3AC02A" w14:textId="5CEDA8B1" w:rsidR="00FB6A91" w:rsidRPr="009D7629" w:rsidRDefault="00562F99" w:rsidP="00F67143">
      <w:pPr>
        <w:pStyle w:val="KeinLeerraum"/>
        <w:numPr>
          <w:ilvl w:val="0"/>
          <w:numId w:val="12"/>
        </w:numPr>
        <w:spacing w:line="276" w:lineRule="auto"/>
        <w:jc w:val="both"/>
      </w:pPr>
      <w:r w:rsidRPr="009D7629">
        <w:rPr>
          <w:rFonts w:cs="Times New Roman"/>
        </w:rPr>
        <w:t xml:space="preserve">Für das Schuljahr </w:t>
      </w:r>
      <w:r w:rsidR="00831EEA" w:rsidRPr="009D7629">
        <w:rPr>
          <w:rFonts w:cs="Times New Roman"/>
        </w:rPr>
        <w:t>2013–</w:t>
      </w:r>
      <w:r w:rsidR="00FB6A91" w:rsidRPr="009D7629">
        <w:rPr>
          <w:rFonts w:cs="Times New Roman"/>
        </w:rPr>
        <w:t>20</w:t>
      </w:r>
      <w:r w:rsidR="00831EEA" w:rsidRPr="009D7629">
        <w:rPr>
          <w:rFonts w:cs="Times New Roman"/>
        </w:rPr>
        <w:t xml:space="preserve">14 </w:t>
      </w:r>
      <w:r w:rsidRPr="009D7629">
        <w:rPr>
          <w:rFonts w:cs="Times New Roman"/>
        </w:rPr>
        <w:t>wurden in den USA 1.3 M</w:t>
      </w:r>
      <w:r w:rsidR="00831EEA" w:rsidRPr="009D7629">
        <w:rPr>
          <w:rFonts w:cs="Times New Roman"/>
        </w:rPr>
        <w:t>illion</w:t>
      </w:r>
      <w:r w:rsidRPr="009D7629">
        <w:rPr>
          <w:rFonts w:cs="Times New Roman"/>
        </w:rPr>
        <w:t>en</w:t>
      </w:r>
      <w:r w:rsidR="00831EEA" w:rsidRPr="009D7629">
        <w:rPr>
          <w:rFonts w:cs="Times New Roman"/>
        </w:rPr>
        <w:t xml:space="preserve"> </w:t>
      </w:r>
      <w:r w:rsidRPr="009D7629">
        <w:rPr>
          <w:rFonts w:cs="Times New Roman"/>
        </w:rPr>
        <w:t>disziplinarische Vo</w:t>
      </w:r>
      <w:r w:rsidRPr="009D7629">
        <w:rPr>
          <w:rFonts w:cs="Times New Roman"/>
        </w:rPr>
        <w:t>r</w:t>
      </w:r>
      <w:r w:rsidRPr="009D7629">
        <w:rPr>
          <w:rFonts w:cs="Times New Roman"/>
        </w:rPr>
        <w:t xml:space="preserve">kommnisse in Zusammenhang mit </w:t>
      </w:r>
      <w:r w:rsidR="00FB6A91" w:rsidRPr="009D7629">
        <w:rPr>
          <w:rFonts w:cs="Times New Roman"/>
        </w:rPr>
        <w:t xml:space="preserve">Gewalt (78 %), Drogen (15 %), </w:t>
      </w:r>
      <w:r w:rsidRPr="009D7629">
        <w:rPr>
          <w:rFonts w:cs="Times New Roman"/>
        </w:rPr>
        <w:t xml:space="preserve">Tragen von Waffen (5 %) </w:t>
      </w:r>
      <w:r w:rsidR="004B3101">
        <w:rPr>
          <w:rFonts w:cs="Times New Roman"/>
        </w:rPr>
        <w:t>oder Alkohol (2 %)</w:t>
      </w:r>
      <w:r w:rsidR="00FB6A91" w:rsidRPr="004B3101">
        <w:rPr>
          <w:rFonts w:cs="Times New Roman"/>
        </w:rPr>
        <w:t xml:space="preserve"> </w:t>
      </w:r>
      <w:r w:rsidRPr="004B3101">
        <w:rPr>
          <w:rFonts w:cs="Times New Roman"/>
        </w:rPr>
        <w:t>gemeldet.</w:t>
      </w:r>
      <w:r w:rsidR="00FB6A91" w:rsidRPr="004B3101">
        <w:rPr>
          <w:rFonts w:cs="Times New Roman"/>
        </w:rPr>
        <w:t xml:space="preserve"> Diese Delikte werden in öffentlichen Bildungsei</w:t>
      </w:r>
      <w:r w:rsidR="00FB6A91" w:rsidRPr="004B3101">
        <w:rPr>
          <w:rFonts w:cs="Times New Roman"/>
        </w:rPr>
        <w:t>n</w:t>
      </w:r>
      <w:r w:rsidR="00FB6A91" w:rsidRPr="004B3101">
        <w:rPr>
          <w:rFonts w:cs="Times New Roman"/>
        </w:rPr>
        <w:t>richtungen als besonders gravierend eingestuft, kompromisslos ermittelt und mit o</w:t>
      </w:r>
      <w:r w:rsidR="00FB6A91" w:rsidRPr="004B3101">
        <w:rPr>
          <w:rFonts w:cs="Times New Roman"/>
        </w:rPr>
        <w:t>b</w:t>
      </w:r>
      <w:r w:rsidR="00FB6A91" w:rsidRPr="004B3101">
        <w:rPr>
          <w:rFonts w:cs="Times New Roman"/>
        </w:rPr>
        <w:t xml:space="preserve">ligatorisch harten Strafen geahndet. Welchen Anteil der Umgang mit Marihuana unter den </w:t>
      </w:r>
      <w:r w:rsidR="00B1183D">
        <w:rPr>
          <w:rFonts w:cs="Times New Roman"/>
        </w:rPr>
        <w:t>zusammengefassten „</w:t>
      </w:r>
      <w:r w:rsidR="00FB6A91" w:rsidRPr="004B3101">
        <w:rPr>
          <w:rFonts w:cs="Times New Roman"/>
        </w:rPr>
        <w:t>Drogendelikten</w:t>
      </w:r>
      <w:r w:rsidR="00B1183D">
        <w:rPr>
          <w:rFonts w:cs="Times New Roman"/>
        </w:rPr>
        <w:t>“</w:t>
      </w:r>
      <w:r w:rsidR="00FB6A91" w:rsidRPr="004B3101">
        <w:rPr>
          <w:rFonts w:cs="Times New Roman"/>
        </w:rPr>
        <w:t xml:space="preserve"> hat, ist unklar</w:t>
      </w:r>
      <w:r w:rsidR="00150F77">
        <w:rPr>
          <w:rFonts w:cs="Times New Roman"/>
        </w:rPr>
        <w:t>.</w:t>
      </w:r>
      <w:r w:rsidR="0061270B" w:rsidRPr="004B3101">
        <w:rPr>
          <w:rFonts w:cs="Times New Roman"/>
        </w:rPr>
        <w:t xml:space="preserve"> I</w:t>
      </w:r>
      <w:r w:rsidR="00FB6A91" w:rsidRPr="004B3101">
        <w:rPr>
          <w:rFonts w:cs="Times New Roman"/>
        </w:rPr>
        <w:t xml:space="preserve">n einigen Berichten wird unbesehen unterstellt, dass es sich </w:t>
      </w:r>
      <w:r w:rsidR="00C32045" w:rsidRPr="004B3101">
        <w:rPr>
          <w:rFonts w:cs="Times New Roman"/>
        </w:rPr>
        <w:t xml:space="preserve">dabei </w:t>
      </w:r>
      <w:r w:rsidR="00FB6A91" w:rsidRPr="004B3101">
        <w:rPr>
          <w:rFonts w:cs="Times New Roman"/>
        </w:rPr>
        <w:t>mehrheitlich um Marihuana-Delikte handelt</w:t>
      </w:r>
      <w:r w:rsidR="00D77233" w:rsidRPr="004B3101">
        <w:rPr>
          <w:rFonts w:cs="Times New Roman"/>
        </w:rPr>
        <w:t>,</w:t>
      </w:r>
      <w:r w:rsidR="00B1183D" w:rsidRPr="00B1183D">
        <w:rPr>
          <w:rFonts w:cs="Times New Roman"/>
        </w:rPr>
        <w:t xml:space="preserve"> </w:t>
      </w:r>
      <w:r w:rsidR="00B1183D" w:rsidRPr="004B3101">
        <w:rPr>
          <w:rFonts w:cs="Times New Roman"/>
        </w:rPr>
        <w:t>(vgl. Reed</w:t>
      </w:r>
      <w:r w:rsidR="00B1183D">
        <w:rPr>
          <w:rFonts w:cs="Times New Roman"/>
        </w:rPr>
        <w:t xml:space="preserve"> a. a. O.</w:t>
      </w:r>
      <w:r w:rsidR="00B1183D" w:rsidRPr="004B3101">
        <w:rPr>
          <w:rFonts w:cs="Times New Roman"/>
        </w:rPr>
        <w:t>, S. 65)</w:t>
      </w:r>
      <w:r w:rsidR="00D77233" w:rsidRPr="004B3101">
        <w:rPr>
          <w:rFonts w:cs="Times New Roman"/>
        </w:rPr>
        <w:t xml:space="preserve"> exakt ausgewiesen </w:t>
      </w:r>
      <w:r w:rsidR="00B1183D">
        <w:rPr>
          <w:rFonts w:cs="Times New Roman"/>
        </w:rPr>
        <w:t>kann</w:t>
      </w:r>
      <w:r w:rsidR="00D77233" w:rsidRPr="004B3101">
        <w:rPr>
          <w:rFonts w:cs="Times New Roman"/>
        </w:rPr>
        <w:t xml:space="preserve"> dies </w:t>
      </w:r>
      <w:r w:rsidR="0061270B" w:rsidRPr="004B3101">
        <w:rPr>
          <w:rFonts w:cs="Times New Roman"/>
        </w:rPr>
        <w:t xml:space="preserve">aber </w:t>
      </w:r>
      <w:r w:rsidR="00D77233" w:rsidRPr="004B3101">
        <w:rPr>
          <w:rFonts w:cs="Times New Roman"/>
        </w:rPr>
        <w:t xml:space="preserve">erst </w:t>
      </w:r>
      <w:r w:rsidR="0061270B" w:rsidRPr="004B3101">
        <w:rPr>
          <w:rFonts w:cs="Times New Roman"/>
        </w:rPr>
        <w:t>seit</w:t>
      </w:r>
      <w:r w:rsidR="00D77233" w:rsidRPr="004B3101">
        <w:rPr>
          <w:rFonts w:cs="Times New Roman"/>
        </w:rPr>
        <w:t xml:space="preserve"> 2014</w:t>
      </w:r>
      <w:r w:rsidR="002B7BB2" w:rsidRPr="004B3101">
        <w:rPr>
          <w:rFonts w:cs="Times New Roman"/>
        </w:rPr>
        <w:t xml:space="preserve"> </w:t>
      </w:r>
      <w:r w:rsidR="00B1183D">
        <w:rPr>
          <w:rFonts w:cs="Times New Roman"/>
        </w:rPr>
        <w:t>werden</w:t>
      </w:r>
      <w:r w:rsidR="002B7BB2" w:rsidRPr="004B3101">
        <w:rPr>
          <w:rFonts w:cs="Times New Roman"/>
        </w:rPr>
        <w:t>.</w:t>
      </w:r>
      <w:r w:rsidR="00E55F28" w:rsidRPr="004B3101">
        <w:rPr>
          <w:rFonts w:cs="Times New Roman"/>
        </w:rPr>
        <w:t xml:space="preserve"> Pr</w:t>
      </w:r>
      <w:r w:rsidR="00E55F28" w:rsidRPr="004B3101">
        <w:rPr>
          <w:rFonts w:cs="Times New Roman"/>
        </w:rPr>
        <w:t>ä</w:t>
      </w:r>
      <w:r w:rsidR="00E55F28" w:rsidRPr="004B3101">
        <w:rPr>
          <w:rFonts w:cs="Times New Roman"/>
        </w:rPr>
        <w:t>sentierte hohe Steigerungsraten</w:t>
      </w:r>
      <w:r w:rsidR="0061270B" w:rsidRPr="004B3101">
        <w:rPr>
          <w:rFonts w:cs="Times New Roman"/>
        </w:rPr>
        <w:t xml:space="preserve"> in Bezug auf Schulausschlüsse in Zusammenhang mit Marihuana</w:t>
      </w:r>
      <w:r w:rsidR="00E55F28" w:rsidRPr="004B3101">
        <w:rPr>
          <w:rFonts w:cs="Times New Roman"/>
        </w:rPr>
        <w:t xml:space="preserve"> </w:t>
      </w:r>
      <w:r w:rsidR="00B1183D">
        <w:rPr>
          <w:rFonts w:cs="Times New Roman"/>
        </w:rPr>
        <w:t>können deshalb nicht empirisch belegt werden</w:t>
      </w:r>
      <w:r w:rsidR="0061270B" w:rsidRPr="004B3101">
        <w:rPr>
          <w:rFonts w:cs="Times New Roman"/>
        </w:rPr>
        <w:t>.</w:t>
      </w:r>
      <w:r w:rsidR="0061270B" w:rsidRPr="004B3101">
        <w:rPr>
          <w:rFonts w:cs="Times New Roman"/>
          <w:color w:val="C0504D" w:themeColor="accent2"/>
        </w:rPr>
        <w:t xml:space="preserve"> </w:t>
      </w:r>
    </w:p>
    <w:p w14:paraId="720FDC77" w14:textId="77777777" w:rsidR="00914CC5" w:rsidRDefault="00E24219" w:rsidP="009F4A9B">
      <w:pPr>
        <w:pStyle w:val="KeinLeerraum"/>
        <w:numPr>
          <w:ilvl w:val="0"/>
          <w:numId w:val="12"/>
        </w:numPr>
        <w:spacing w:line="276" w:lineRule="auto"/>
        <w:jc w:val="both"/>
      </w:pPr>
      <w:r w:rsidRPr="00562F99">
        <w:t xml:space="preserve">Im Schuljahr 2012-2013 berichteten 23 % der </w:t>
      </w:r>
      <w:r w:rsidR="00831EEA" w:rsidRPr="00562F99">
        <w:t xml:space="preserve">befragten </w:t>
      </w:r>
      <w:r w:rsidRPr="00562F99">
        <w:t xml:space="preserve">Schüler </w:t>
      </w:r>
      <w:r w:rsidR="00831EEA" w:rsidRPr="00562F99">
        <w:t>der 9</w:t>
      </w:r>
      <w:r w:rsidR="0047429E">
        <w:t>.</w:t>
      </w:r>
      <w:r w:rsidR="00831EEA" w:rsidRPr="00562F99">
        <w:t>-</w:t>
      </w:r>
      <w:r w:rsidR="00921446" w:rsidRPr="00562F99">
        <w:t>12</w:t>
      </w:r>
      <w:r w:rsidR="0047429E">
        <w:t>.</w:t>
      </w:r>
      <w:r w:rsidR="00921446" w:rsidRPr="00562F99">
        <w:t xml:space="preserve"> </w:t>
      </w:r>
      <w:r w:rsidR="00831EEA" w:rsidRPr="00562F99">
        <w:t>Klasse</w:t>
      </w:r>
      <w:r w:rsidR="00B1183D">
        <w:t xml:space="preserve"> wie schon im Schuljahr zuvor (2011-2012)</w:t>
      </w:r>
      <w:r w:rsidR="00831EEA" w:rsidRPr="00562F99">
        <w:t xml:space="preserve">, in den vergangenen 30 Tagen mindestens ein mal Marihuana konsumiert zu haben. </w:t>
      </w:r>
      <w:r w:rsidR="00B1183D">
        <w:t xml:space="preserve">Vergleicht man dies mit der Situation vor 20 Jahren (1993 = </w:t>
      </w:r>
      <w:r w:rsidR="0047429E">
        <w:t xml:space="preserve">18 %) </w:t>
      </w:r>
      <w:r w:rsidR="00B1183D">
        <w:t>lässt sich</w:t>
      </w:r>
      <w:r w:rsidR="0087050B">
        <w:t xml:space="preserve"> schlussfolgern, dass die Verbreitung des Marihuana-Konsums unter </w:t>
      </w:r>
      <w:r w:rsidR="0061270B">
        <w:t>U.S</w:t>
      </w:r>
      <w:r w:rsidR="00356D3F">
        <w:t xml:space="preserve">.-amerikanischen </w:t>
      </w:r>
      <w:r w:rsidR="0087050B">
        <w:t>Schülern keine außergewöhnliche Dynamik hat, sich allerdings als die illegalisierte psycho</w:t>
      </w:r>
      <w:r w:rsidR="00B1183D">
        <w:t>-</w:t>
      </w:r>
      <w:r w:rsidR="0087050B">
        <w:t>aktive Substanz mit der größten Verbre</w:t>
      </w:r>
      <w:r w:rsidR="0087050B">
        <w:t>i</w:t>
      </w:r>
      <w:r w:rsidR="0087050B">
        <w:t xml:space="preserve">tung etablieren </w:t>
      </w:r>
      <w:r w:rsidR="00B1183D">
        <w:t>konnte</w:t>
      </w:r>
      <w:r w:rsidR="009F4A9B">
        <w:t>.</w:t>
      </w:r>
      <w:r w:rsidR="009F4A9B">
        <w:rPr>
          <w:noProof/>
        </w:rPr>
        <w:t xml:space="preserve"> </w:t>
      </w:r>
    </w:p>
    <w:p w14:paraId="43516007" w14:textId="6589A8DB" w:rsidR="00D978F0" w:rsidRDefault="00E557E3" w:rsidP="00914CC5">
      <w:pPr>
        <w:pStyle w:val="KeinLeerraum"/>
        <w:spacing w:line="276" w:lineRule="auto"/>
        <w:jc w:val="both"/>
      </w:pPr>
      <w:r>
        <w:rPr>
          <w:noProof/>
        </w:rPr>
        <w:drawing>
          <wp:inline distT="0" distB="0" distL="0" distR="0" wp14:anchorId="5889F518" wp14:editId="6D1FBB7D">
            <wp:extent cx="5446764" cy="5935591"/>
            <wp:effectExtent l="0" t="0" r="14605" b="33655"/>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61D0224" w14:textId="0297A011" w:rsidR="008A7561" w:rsidRDefault="00D978F0" w:rsidP="009D7629">
      <w:pPr>
        <w:pStyle w:val="Beschriftung"/>
        <w:jc w:val="both"/>
      </w:pPr>
      <w:r>
        <w:t xml:space="preserve">Abbildung </w:t>
      </w:r>
      <w:fldSimple w:instr=" SEQ Abbildung \* ARABIC ">
        <w:r w:rsidR="00B86830">
          <w:rPr>
            <w:noProof/>
          </w:rPr>
          <w:t>11</w:t>
        </w:r>
      </w:fldSimple>
      <w:r>
        <w:t xml:space="preserve">: Von Jugendlichen bereits eingegangene Risiken; Vergleich USA gesamt und Kalifornien (vgl. </w:t>
      </w:r>
      <w:r w:rsidR="00C12328">
        <w:t>Centers of Diseas C</w:t>
      </w:r>
      <w:r w:rsidRPr="009A1BCE">
        <w:t>on</w:t>
      </w:r>
      <w:r w:rsidR="00C12328">
        <w:t>trol and Prevention, Youth Risk B</w:t>
      </w:r>
      <w:r>
        <w:t>ehavior 2016)</w:t>
      </w:r>
    </w:p>
    <w:p w14:paraId="72F23FF9" w14:textId="3245C4B2" w:rsidR="00150F77" w:rsidRPr="00914CC5" w:rsidRDefault="00914CC5" w:rsidP="00150F77">
      <w:pPr>
        <w:pStyle w:val="KeinLeerraum"/>
        <w:numPr>
          <w:ilvl w:val="0"/>
          <w:numId w:val="12"/>
        </w:numPr>
        <w:spacing w:line="276" w:lineRule="auto"/>
        <w:jc w:val="both"/>
        <w:rPr>
          <w:i/>
          <w:szCs w:val="22"/>
        </w:rPr>
      </w:pPr>
      <w:r>
        <w:t xml:space="preserve">Es kann davon ausgegangen werden, dass die jeweiligen Mentalitätsstrukturen in einzelnen Regionen ebenso wie die Art und Weise, mit der eine Cannabis-Konsum-Kultur öffentlich sichtbar, gelebt und auch akzeptiert wird, darauf Einfluss nimmt, wie sich Jugendliche und </w:t>
      </w:r>
      <w:r w:rsidRPr="00914CC5">
        <w:rPr>
          <w:szCs w:val="22"/>
        </w:rPr>
        <w:t>junge Erwachsene zu eigenen Konsumversuchen positionieren. Im Nationalen Survey on Drug Use and Health zeigen sich diese keineswegs überr</w:t>
      </w:r>
      <w:r w:rsidRPr="00914CC5">
        <w:rPr>
          <w:szCs w:val="22"/>
        </w:rPr>
        <w:t>a</w:t>
      </w:r>
      <w:r w:rsidRPr="00914CC5">
        <w:rPr>
          <w:szCs w:val="22"/>
        </w:rPr>
        <w:t>schenden Zusammenhänge beispielsweise</w:t>
      </w:r>
      <w:r>
        <w:t>, indem Jugendliche, die das Risiko eines Marihuana-Konsums „ein Mal pro Monat“ als „hoch“ bewerteten, auch zu denen g</w:t>
      </w:r>
      <w:r>
        <w:t>e</w:t>
      </w:r>
      <w:r>
        <w:t xml:space="preserve">hörten, die diese psycho-aktive Substanz eher nicht konsumierten (vgl. </w:t>
      </w:r>
      <w:r w:rsidRPr="00914CC5">
        <w:rPr>
          <w:szCs w:val="22"/>
        </w:rPr>
        <w:t>Hughes, R</w:t>
      </w:r>
      <w:r w:rsidRPr="00914CC5">
        <w:rPr>
          <w:szCs w:val="22"/>
        </w:rPr>
        <w:t>a</w:t>
      </w:r>
      <w:r w:rsidRPr="00914CC5">
        <w:rPr>
          <w:szCs w:val="22"/>
        </w:rPr>
        <w:t>chel, Lipari, Matthew 2015, S. 1).</w:t>
      </w:r>
      <w:r>
        <w:t xml:space="preserve"> Insofern lässt sich hypothetisch annehmen, dass in Regionen, in denen sowohl der medizinische als auch der legalisierte Freizeitg</w:t>
      </w:r>
      <w:r>
        <w:t>e</w:t>
      </w:r>
      <w:r>
        <w:t>brauch Erwachsener ein akzeptierter Bestandteil des Lebensstils ist, sowohl die Ris</w:t>
      </w:r>
      <w:r>
        <w:t>i</w:t>
      </w:r>
      <w:r>
        <w:t>kobeurteilung für diesen Konsum als auch die Vorstellung von der eigenen Integrie</w:t>
      </w:r>
      <w:r>
        <w:t>r</w:t>
      </w:r>
      <w:r>
        <w:t xml:space="preserve">barkeit dieses Konsums in den Lebensstil permissiver ausfällt. Dafür spricht, dass beispielweise in den Ergebnissen des </w:t>
      </w:r>
      <w:r w:rsidRPr="00914CC5">
        <w:rPr>
          <w:i/>
        </w:rPr>
        <w:t>Youth-risk-behavior-Surveys</w:t>
      </w:r>
      <w:r>
        <w:t xml:space="preserve"> die befragten J</w:t>
      </w:r>
      <w:r>
        <w:t>u</w:t>
      </w:r>
      <w:r>
        <w:t>gendlichen Kaliforniens durch Konsumraten bei der Lebenszeitprävalenz und beim aktuellen Konsum auffielen, die über dem nationalen Durchschnitt lagen (vgl. Abbi</w:t>
      </w:r>
      <w:r>
        <w:t>l</w:t>
      </w:r>
      <w:r>
        <w:t xml:space="preserve">dung 11)(vgl. </w:t>
      </w:r>
      <w:r w:rsidR="00C12328">
        <w:t>Centers of Diseas C</w:t>
      </w:r>
      <w:r w:rsidRPr="009A1BCE">
        <w:t>on</w:t>
      </w:r>
      <w:r w:rsidR="00C12328">
        <w:t>trol and P</w:t>
      </w:r>
      <w:r>
        <w:t>reventi</w:t>
      </w:r>
      <w:r w:rsidR="00C12328">
        <w:t>on, Youth Risk B</w:t>
      </w:r>
      <w:r>
        <w:t>ehavior 2016).</w:t>
      </w:r>
      <w:r>
        <w:rPr>
          <w:rStyle w:val="Funotenzeichen"/>
        </w:rPr>
        <w:footnoteReference w:id="28"/>
      </w:r>
      <w:r>
        <w:t xml:space="preserve"> </w:t>
      </w:r>
      <w:r w:rsidR="00150F77">
        <w:t>Die Tatsache, dass auch bei den Berichten, jemals mit Drogen gedealt zu haben, J</w:t>
      </w:r>
      <w:r w:rsidR="00150F77">
        <w:t>u</w:t>
      </w:r>
      <w:r w:rsidR="00150F77">
        <w:t>gendliche Kaliforniens über</w:t>
      </w:r>
      <w:r>
        <w:t xml:space="preserve"> dem nationalen Durchschnitt la</w:t>
      </w:r>
      <w:r w:rsidR="00150F77">
        <w:t>gen</w:t>
      </w:r>
      <w:r w:rsidR="00150F77" w:rsidRPr="0061270B">
        <w:t xml:space="preserve"> </w:t>
      </w:r>
      <w:r w:rsidR="00150F77">
        <w:t>(ebenda), lässt sich als Hinweis deuten, dass die Initiative für eine Näherung an Marihuana eher über Peer-Groups erfolgt und nicht, wie oft popularisiert, über Bandenstrukturen oder E</w:t>
      </w:r>
      <w:r w:rsidR="00150F77">
        <w:t>r</w:t>
      </w:r>
      <w:r w:rsidR="00150F77">
        <w:t xml:space="preserve">wachsene. </w:t>
      </w:r>
    </w:p>
    <w:p w14:paraId="528D1CCE" w14:textId="411B0BD0" w:rsidR="00150F77" w:rsidRPr="00AB7021" w:rsidRDefault="00150F77" w:rsidP="00150F77">
      <w:pPr>
        <w:spacing w:line="276" w:lineRule="auto"/>
        <w:jc w:val="both"/>
        <w:rPr>
          <w:i/>
          <w:szCs w:val="22"/>
        </w:rPr>
      </w:pPr>
      <w:r>
        <w:t>Wie im Rahmen von Drogenerziehung und Suchtprävention mit diesen Entwicklungen u</w:t>
      </w:r>
      <w:r>
        <w:t>m</w:t>
      </w:r>
      <w:r>
        <w:t>gangen werden muss, ist unklar. Die empirischen Befunde der letzten zehn Jahre belegen, dass ein Beharren auf Abschreckung und Manipulation durch verschobene Risikodarstellu</w:t>
      </w:r>
      <w:r>
        <w:t>n</w:t>
      </w:r>
      <w:r>
        <w:t>gen sowie auf einer strikten Abstinenzforderung diesen Herausforderungen nicht gerecht wird. Diese Konzepte konnten bisher weder den besonderen Stellenwert von Marihuana u</w:t>
      </w:r>
      <w:r>
        <w:t>n</w:t>
      </w:r>
      <w:r>
        <w:t>ter den illegalisierten psycho</w:t>
      </w:r>
      <w:r w:rsidR="00914CC5">
        <w:t>-</w:t>
      </w:r>
      <w:r>
        <w:t>aktiven Substanzen insgesamt noch das besondere Interesse an einer Auseinandersetzung mit dieser Substanz beeinflussen. Sie sind eher geeignet, Jugendl</w:t>
      </w:r>
      <w:r>
        <w:t>i</w:t>
      </w:r>
      <w:r>
        <w:t xml:space="preserve">che und </w:t>
      </w:r>
      <w:r w:rsidR="00914CC5">
        <w:t>junger Erwachsener bei ihrer N</w:t>
      </w:r>
      <w:r>
        <w:t>äherung an den Umgang mit Cannabis in Heimlichkeit zu drängen, wo sie ausschließlich auf ihre Peer-Group bezogen bleiben und von einer sachg</w:t>
      </w:r>
      <w:r>
        <w:t>e</w:t>
      </w:r>
      <w:r>
        <w:t xml:space="preserve">rechten Aufklärung und professionellen Hilfestellungen für Auseinandersetzungsprozesse </w:t>
      </w:r>
      <w:r w:rsidR="00914CC5">
        <w:t xml:space="preserve">eher </w:t>
      </w:r>
      <w:r>
        <w:t>abgekoppelt werden.</w:t>
      </w:r>
    </w:p>
    <w:p w14:paraId="62EC0AE0" w14:textId="3BEE9309" w:rsidR="004B3101" w:rsidRDefault="004B3101" w:rsidP="004B3101">
      <w:pPr>
        <w:spacing w:line="276" w:lineRule="auto"/>
        <w:jc w:val="both"/>
        <w:rPr>
          <w:szCs w:val="22"/>
        </w:rPr>
      </w:pPr>
      <w:r>
        <w:t xml:space="preserve">Ausgehend von diesen </w:t>
      </w:r>
      <w:r w:rsidR="00914CC5">
        <w:t>Daten</w:t>
      </w:r>
      <w:r>
        <w:t xml:space="preserve">, die auf nationaler Ebene Bezüge zwischen </w:t>
      </w:r>
      <w:r w:rsidR="00914CC5">
        <w:t xml:space="preserve">dem Aufwachsen von Jugendlichen und dem </w:t>
      </w:r>
      <w:r>
        <w:t>Umgang mit Marihuana</w:t>
      </w:r>
      <w:r>
        <w:rPr>
          <w:rStyle w:val="Funotenzeichen"/>
        </w:rPr>
        <w:footnoteReference w:id="29"/>
      </w:r>
      <w:r>
        <w:t xml:space="preserve"> skizzieren, wird interessant, welche Effekte sich von Regulierungsprozessen nachzeichnen lassen, die allerdings </w:t>
      </w:r>
      <w:r w:rsidR="00914CC5">
        <w:t>diese Alter</w:t>
      </w:r>
      <w:r w:rsidR="00914CC5">
        <w:t>s</w:t>
      </w:r>
      <w:r w:rsidR="00914CC5">
        <w:t>gruppe</w:t>
      </w:r>
      <w:r>
        <w:t xml:space="preserve"> aussparen und weiterhin einer Prohibition unterstellen.</w:t>
      </w:r>
      <w:r>
        <w:rPr>
          <w:szCs w:val="22"/>
        </w:rPr>
        <w:t xml:space="preserve"> </w:t>
      </w:r>
    </w:p>
    <w:p w14:paraId="1CD85375" w14:textId="77777777" w:rsidR="00D978F0" w:rsidRDefault="00D978F0" w:rsidP="009D7629">
      <w:pPr>
        <w:pStyle w:val="berschrift2"/>
        <w:spacing w:line="276" w:lineRule="auto"/>
        <w:jc w:val="both"/>
      </w:pPr>
      <w:bookmarkStart w:id="32" w:name="_Toc349300361"/>
      <w:r>
        <w:t>Das Beispiel Colorado</w:t>
      </w:r>
      <w:bookmarkEnd w:id="32"/>
    </w:p>
    <w:p w14:paraId="32067D35" w14:textId="0CBDD7B3" w:rsidR="00D978F0" w:rsidRDefault="00D978F0" w:rsidP="009D7629">
      <w:pPr>
        <w:spacing w:line="276" w:lineRule="auto"/>
        <w:jc w:val="both"/>
        <w:rPr>
          <w:rFonts w:cs="Calibri"/>
          <w:color w:val="000000"/>
        </w:rPr>
      </w:pPr>
      <w:r w:rsidRPr="00D65DB7">
        <w:t>Für den Bundesstaat Colorado werden schon über mehrere Jahre in regelmäßigen Befragu</w:t>
      </w:r>
      <w:r w:rsidRPr="00D65DB7">
        <w:t>n</w:t>
      </w:r>
      <w:r w:rsidRPr="00D65DB7">
        <w:t xml:space="preserve">gen Daten erhoben, die über die Lebenssituation von Jugendlichen in sehr verschiedenen Bereichen Auskunft geben. Dazu gehört u. a. </w:t>
      </w:r>
      <w:r w:rsidR="009D7629" w:rsidRPr="00BD103A">
        <w:rPr>
          <w:rFonts w:cs="Calibri"/>
          <w:i/>
          <w:color w:val="000000"/>
        </w:rPr>
        <w:t>Colorado Behavioral-Risk-Factor-Surveillance-</w:t>
      </w:r>
      <w:r w:rsidRPr="00BD103A">
        <w:rPr>
          <w:rFonts w:cs="Calibri"/>
          <w:i/>
          <w:color w:val="000000"/>
        </w:rPr>
        <w:t>System (BRFS</w:t>
      </w:r>
      <w:r w:rsidR="009D7629" w:rsidRPr="00BD103A">
        <w:rPr>
          <w:rFonts w:cs="Calibri"/>
          <w:i/>
          <w:color w:val="000000"/>
        </w:rPr>
        <w:t>S</w:t>
      </w:r>
      <w:r w:rsidR="009D7629">
        <w:rPr>
          <w:rFonts w:cs="Calibri"/>
          <w:color w:val="000000"/>
        </w:rPr>
        <w:t>)</w:t>
      </w:r>
      <w:r w:rsidRPr="00D65DB7">
        <w:rPr>
          <w:rStyle w:val="Funotenzeichen"/>
          <w:rFonts w:cs="Calibri"/>
          <w:color w:val="000000"/>
          <w:sz w:val="20"/>
          <w:szCs w:val="20"/>
        </w:rPr>
        <w:footnoteReference w:id="30"/>
      </w:r>
      <w:r w:rsidRPr="00D65DB7">
        <w:rPr>
          <w:rFonts w:cs="Calibri"/>
          <w:color w:val="000000"/>
        </w:rPr>
        <w:t xml:space="preserve">, </w:t>
      </w:r>
      <w:r w:rsidR="009D7629" w:rsidRPr="00BD103A">
        <w:rPr>
          <w:rFonts w:cs="Calibri"/>
          <w:i/>
          <w:color w:val="000000"/>
        </w:rPr>
        <w:t>Healthy-Kids-Colorado-</w:t>
      </w:r>
      <w:r w:rsidRPr="00BD103A">
        <w:rPr>
          <w:rFonts w:cs="Calibri"/>
          <w:i/>
          <w:color w:val="000000"/>
        </w:rPr>
        <w:t>Survey</w:t>
      </w:r>
      <w:r w:rsidRPr="00D65DB7">
        <w:rPr>
          <w:rStyle w:val="Funotenzeichen"/>
          <w:rFonts w:cs="Calibri"/>
          <w:color w:val="000000"/>
          <w:sz w:val="20"/>
          <w:szCs w:val="20"/>
        </w:rPr>
        <w:footnoteReference w:id="31"/>
      </w:r>
      <w:r>
        <w:rPr>
          <w:rFonts w:cs="Calibri"/>
          <w:color w:val="000000"/>
        </w:rPr>
        <w:t xml:space="preserve"> und</w:t>
      </w:r>
      <w:r w:rsidRPr="00D65DB7">
        <w:rPr>
          <w:rFonts w:cs="Calibri"/>
          <w:color w:val="000000"/>
        </w:rPr>
        <w:t xml:space="preserve"> </w:t>
      </w:r>
      <w:r w:rsidR="009D7629" w:rsidRPr="00BD103A">
        <w:rPr>
          <w:rFonts w:cs="Calibri"/>
          <w:i/>
          <w:color w:val="000000"/>
        </w:rPr>
        <w:t>Second-Proxy-Drug-endangered-</w:t>
      </w:r>
      <w:r w:rsidRPr="00BD103A">
        <w:rPr>
          <w:rFonts w:cs="Calibri"/>
          <w:i/>
          <w:color w:val="000000"/>
        </w:rPr>
        <w:t>children</w:t>
      </w:r>
      <w:r w:rsidRPr="00D65DB7">
        <w:rPr>
          <w:rStyle w:val="Funotenzeichen"/>
          <w:rFonts w:cs="Calibri"/>
          <w:color w:val="000000"/>
          <w:sz w:val="20"/>
          <w:szCs w:val="20"/>
        </w:rPr>
        <w:footnoteReference w:id="32"/>
      </w:r>
      <w:r w:rsidRPr="00D65DB7">
        <w:rPr>
          <w:rFonts w:cs="Calibri"/>
          <w:color w:val="000000"/>
        </w:rPr>
        <w:t xml:space="preserve">. Darüber hinaus </w:t>
      </w:r>
      <w:r>
        <w:rPr>
          <w:rFonts w:cs="Calibri"/>
          <w:color w:val="000000"/>
        </w:rPr>
        <w:t>liegen</w:t>
      </w:r>
      <w:r w:rsidRPr="00D65DB7">
        <w:rPr>
          <w:rFonts w:cs="Calibri"/>
          <w:color w:val="000000"/>
        </w:rPr>
        <w:t xml:space="preserve"> auch Daten aus dem jährlich durchgeführten </w:t>
      </w:r>
      <w:r w:rsidRPr="00BD103A">
        <w:rPr>
          <w:rFonts w:cs="Calibri"/>
          <w:i/>
          <w:color w:val="000000"/>
        </w:rPr>
        <w:t>Nationalen Survey on Drug Use and Health</w:t>
      </w:r>
      <w:r w:rsidRPr="00D65DB7">
        <w:rPr>
          <w:rFonts w:cs="Calibri"/>
          <w:color w:val="000000"/>
        </w:rPr>
        <w:t xml:space="preserve"> und der </w:t>
      </w:r>
      <w:r w:rsidRPr="00BD103A">
        <w:rPr>
          <w:rFonts w:cs="Calibri"/>
          <w:i/>
          <w:color w:val="000000"/>
        </w:rPr>
        <w:t>Youth Risk Behavior Survey</w:t>
      </w:r>
      <w:r w:rsidRPr="00D65DB7">
        <w:rPr>
          <w:rFonts w:cs="Calibri"/>
          <w:color w:val="000000"/>
        </w:rPr>
        <w:t xml:space="preserve"> für </w:t>
      </w:r>
      <w:r>
        <w:rPr>
          <w:rFonts w:cs="Calibri"/>
          <w:color w:val="000000"/>
        </w:rPr>
        <w:t xml:space="preserve">den Bundesstaat </w:t>
      </w:r>
      <w:r w:rsidRPr="00D65DB7">
        <w:rPr>
          <w:rFonts w:cs="Calibri"/>
          <w:color w:val="000000"/>
        </w:rPr>
        <w:t>Col</w:t>
      </w:r>
      <w:r w:rsidRPr="00D65DB7">
        <w:rPr>
          <w:rFonts w:cs="Calibri"/>
          <w:color w:val="000000"/>
        </w:rPr>
        <w:t>o</w:t>
      </w:r>
      <w:r w:rsidRPr="00D65DB7">
        <w:rPr>
          <w:rFonts w:cs="Calibri"/>
          <w:color w:val="000000"/>
        </w:rPr>
        <w:t xml:space="preserve">rado </w:t>
      </w:r>
      <w:r>
        <w:rPr>
          <w:rFonts w:cs="Calibri"/>
          <w:color w:val="000000"/>
        </w:rPr>
        <w:t>vor</w:t>
      </w:r>
      <w:r w:rsidRPr="00D65DB7">
        <w:rPr>
          <w:rFonts w:cs="Calibri"/>
          <w:color w:val="000000"/>
        </w:rPr>
        <w:t>.</w:t>
      </w:r>
    </w:p>
    <w:p w14:paraId="3DFE1B98" w14:textId="3997BE07" w:rsidR="00D978F0" w:rsidRDefault="00914CC5" w:rsidP="009D7629">
      <w:pPr>
        <w:spacing w:line="276" w:lineRule="auto"/>
        <w:jc w:val="both"/>
        <w:rPr>
          <w:rFonts w:cs="Times"/>
          <w:color w:val="000000"/>
        </w:rPr>
      </w:pPr>
      <w:r>
        <w:rPr>
          <w:rFonts w:cs="Calibri"/>
          <w:color w:val="000000"/>
        </w:rPr>
        <w:t>F</w:t>
      </w:r>
      <w:r w:rsidR="00D978F0">
        <w:rPr>
          <w:rFonts w:cs="Times"/>
          <w:color w:val="000000"/>
        </w:rPr>
        <w:t>ür den Background</w:t>
      </w:r>
      <w:r w:rsidR="00BD103A">
        <w:rPr>
          <w:rFonts w:cs="Times"/>
          <w:color w:val="000000"/>
        </w:rPr>
        <w:t xml:space="preserve"> </w:t>
      </w:r>
      <w:r>
        <w:rPr>
          <w:rFonts w:cs="Times"/>
          <w:color w:val="000000"/>
        </w:rPr>
        <w:t>vorliegender</w:t>
      </w:r>
      <w:r w:rsidR="00BD103A">
        <w:rPr>
          <w:rFonts w:cs="Times"/>
          <w:color w:val="000000"/>
        </w:rPr>
        <w:t xml:space="preserve"> Daten </w:t>
      </w:r>
      <w:r>
        <w:rPr>
          <w:rFonts w:cs="Times"/>
          <w:color w:val="000000"/>
        </w:rPr>
        <w:t xml:space="preserve">ist </w:t>
      </w:r>
      <w:r w:rsidR="009D7629">
        <w:rPr>
          <w:rFonts w:cs="Times"/>
          <w:color w:val="000000"/>
        </w:rPr>
        <w:t>interessant</w:t>
      </w:r>
      <w:r w:rsidR="00D978F0">
        <w:rPr>
          <w:rFonts w:cs="Times"/>
          <w:color w:val="000000"/>
        </w:rPr>
        <w:t>, dass mit</w:t>
      </w:r>
      <w:r w:rsidR="00D978F0" w:rsidRPr="00934805">
        <w:rPr>
          <w:rFonts w:cs="Times"/>
          <w:color w:val="000000"/>
        </w:rPr>
        <w:t xml:space="preserve"> dem Schuljahr 2012</w:t>
      </w:r>
      <w:r w:rsidR="00D978F0">
        <w:rPr>
          <w:rFonts w:cs="Times"/>
          <w:color w:val="000000"/>
        </w:rPr>
        <w:t>-2013</w:t>
      </w:r>
      <w:r w:rsidR="00D978F0" w:rsidRPr="00934805">
        <w:rPr>
          <w:rFonts w:cs="Times"/>
          <w:color w:val="000000"/>
        </w:rPr>
        <w:t xml:space="preserve"> </w:t>
      </w:r>
      <w:r w:rsidR="00D978F0">
        <w:rPr>
          <w:rFonts w:cs="Times"/>
          <w:color w:val="000000"/>
        </w:rPr>
        <w:t>die vorherige Zero-Toler</w:t>
      </w:r>
      <w:r w:rsidR="0061270B">
        <w:rPr>
          <w:rFonts w:cs="Times"/>
          <w:color w:val="000000"/>
        </w:rPr>
        <w:t>ance-Politik gegenüber devianten</w:t>
      </w:r>
      <w:r w:rsidR="00D978F0">
        <w:rPr>
          <w:rFonts w:cs="Times"/>
          <w:color w:val="000000"/>
        </w:rPr>
        <w:t xml:space="preserve"> Verhaltensweisen Jugendlicher gemildert</w:t>
      </w:r>
      <w:r w:rsidR="00D978F0" w:rsidRPr="007762C7">
        <w:rPr>
          <w:rFonts w:cs="Times"/>
          <w:color w:val="000000"/>
        </w:rPr>
        <w:t xml:space="preserve"> </w:t>
      </w:r>
      <w:r w:rsidR="00D978F0">
        <w:rPr>
          <w:rFonts w:cs="Times"/>
          <w:color w:val="000000"/>
        </w:rPr>
        <w:t>wurde. Die ge</w:t>
      </w:r>
      <w:r w:rsidR="0061270B">
        <w:rPr>
          <w:rFonts w:cs="Times"/>
          <w:color w:val="000000"/>
        </w:rPr>
        <w:t xml:space="preserve">änderte Gesetzgebung </w:t>
      </w:r>
      <w:r w:rsidR="004B3101">
        <w:rPr>
          <w:rFonts w:cs="Times"/>
          <w:color w:val="000000"/>
        </w:rPr>
        <w:t xml:space="preserve">Colorados </w:t>
      </w:r>
      <w:r w:rsidR="0061270B">
        <w:rPr>
          <w:rFonts w:cs="Times"/>
          <w:color w:val="000000"/>
        </w:rPr>
        <w:t>(SB 12-046/</w:t>
      </w:r>
      <w:r w:rsidR="00D978F0" w:rsidRPr="00934805">
        <w:rPr>
          <w:rFonts w:cs="Times"/>
          <w:color w:val="000000"/>
        </w:rPr>
        <w:t xml:space="preserve">HB 12-1345) </w:t>
      </w:r>
      <w:r w:rsidR="0061270B">
        <w:rPr>
          <w:rFonts w:cs="Times"/>
          <w:color w:val="000000"/>
        </w:rPr>
        <w:t>fordert</w:t>
      </w:r>
      <w:r w:rsidR="00D978F0">
        <w:rPr>
          <w:rFonts w:cs="Times"/>
          <w:color w:val="000000"/>
        </w:rPr>
        <w:t xml:space="preserve"> dazu auf, </w:t>
      </w:r>
      <w:r w:rsidR="00D978F0" w:rsidRPr="00934805">
        <w:rPr>
          <w:rFonts w:cs="Times"/>
          <w:color w:val="000000"/>
        </w:rPr>
        <w:t xml:space="preserve">bei </w:t>
      </w:r>
      <w:r w:rsidR="00D978F0">
        <w:rPr>
          <w:rFonts w:cs="Times"/>
          <w:color w:val="000000"/>
        </w:rPr>
        <w:t>anzuwendenden</w:t>
      </w:r>
      <w:r w:rsidR="00D978F0" w:rsidRPr="00934805">
        <w:rPr>
          <w:rFonts w:cs="Times"/>
          <w:color w:val="000000"/>
        </w:rPr>
        <w:t xml:space="preserve"> Disziplinarmethoden</w:t>
      </w:r>
      <w:r w:rsidR="00D978F0">
        <w:rPr>
          <w:rFonts w:cs="Times"/>
          <w:color w:val="000000"/>
        </w:rPr>
        <w:t xml:space="preserve"> von</w:t>
      </w:r>
      <w:r w:rsidR="0061270B">
        <w:rPr>
          <w:rFonts w:cs="Times"/>
          <w:color w:val="000000"/>
        </w:rPr>
        <w:t xml:space="preserve"> „</w:t>
      </w:r>
      <w:r w:rsidR="00D978F0" w:rsidRPr="00934805">
        <w:rPr>
          <w:rFonts w:cs="Times"/>
          <w:color w:val="000000"/>
        </w:rPr>
        <w:t>unnötige</w:t>
      </w:r>
      <w:r w:rsidR="00D978F0">
        <w:rPr>
          <w:rFonts w:cs="Times"/>
          <w:color w:val="000000"/>
        </w:rPr>
        <w:t>n</w:t>
      </w:r>
      <w:r w:rsidR="00D978F0" w:rsidRPr="00934805">
        <w:rPr>
          <w:rFonts w:cs="Times"/>
          <w:color w:val="000000"/>
        </w:rPr>
        <w:t xml:space="preserve"> Ausweisungen, Suspens</w:t>
      </w:r>
      <w:r w:rsidR="00D978F0" w:rsidRPr="00934805">
        <w:rPr>
          <w:rFonts w:cs="Times"/>
          <w:color w:val="000000"/>
        </w:rPr>
        <w:t>i</w:t>
      </w:r>
      <w:r w:rsidR="00D978F0" w:rsidRPr="00934805">
        <w:rPr>
          <w:rFonts w:cs="Times"/>
          <w:color w:val="000000"/>
        </w:rPr>
        <w:t xml:space="preserve">onen und </w:t>
      </w:r>
      <w:r w:rsidR="00D978F0">
        <w:rPr>
          <w:rFonts w:cs="Times"/>
          <w:color w:val="000000"/>
        </w:rPr>
        <w:t>V</w:t>
      </w:r>
      <w:r w:rsidR="00D978F0" w:rsidRPr="00934805">
        <w:rPr>
          <w:rFonts w:cs="Times"/>
          <w:color w:val="000000"/>
        </w:rPr>
        <w:t>erweis</w:t>
      </w:r>
      <w:r w:rsidR="0061270B">
        <w:rPr>
          <w:rFonts w:cs="Times"/>
          <w:color w:val="000000"/>
        </w:rPr>
        <w:t>en</w:t>
      </w:r>
      <w:r w:rsidR="00D978F0">
        <w:rPr>
          <w:rFonts w:cs="Times"/>
          <w:color w:val="000000"/>
        </w:rPr>
        <w:t xml:space="preserve"> an die </w:t>
      </w:r>
      <w:r w:rsidR="00D978F0" w:rsidRPr="00934805">
        <w:rPr>
          <w:rFonts w:cs="Times"/>
          <w:color w:val="000000"/>
        </w:rPr>
        <w:t>Strafverfolgungs</w:t>
      </w:r>
      <w:r w:rsidR="00D978F0">
        <w:rPr>
          <w:rFonts w:cs="Times"/>
          <w:color w:val="000000"/>
        </w:rPr>
        <w:t>instanzen</w:t>
      </w:r>
      <w:r w:rsidR="0061270B">
        <w:rPr>
          <w:rFonts w:cs="Times"/>
          <w:color w:val="000000"/>
        </w:rPr>
        <w:t>“</w:t>
      </w:r>
      <w:r w:rsidR="00D978F0">
        <w:rPr>
          <w:rFonts w:cs="Times"/>
          <w:color w:val="000000"/>
        </w:rPr>
        <w:t xml:space="preserve"> abzusehen und auf den individuellen Fall bezogen flexibel mit Disziplinarmaßnahmen zu reagieren (vgl. ebenda, Sektion 21, S. 23). Bisher wurde </w:t>
      </w:r>
      <w:r w:rsidR="00D67419">
        <w:rPr>
          <w:rFonts w:cs="Times"/>
          <w:color w:val="000000"/>
        </w:rPr>
        <w:t>beispielsweise</w:t>
      </w:r>
      <w:r w:rsidR="00BD103A">
        <w:rPr>
          <w:rFonts w:cs="Times"/>
          <w:color w:val="000000"/>
        </w:rPr>
        <w:t xml:space="preserve"> </w:t>
      </w:r>
      <w:r w:rsidR="00D978F0">
        <w:rPr>
          <w:rFonts w:cs="Times"/>
          <w:color w:val="000000"/>
        </w:rPr>
        <w:t xml:space="preserve">auf Drogendelikte </w:t>
      </w:r>
      <w:r w:rsidR="009D7629">
        <w:rPr>
          <w:rFonts w:cs="Times"/>
          <w:color w:val="000000"/>
        </w:rPr>
        <w:t>obligatorisch</w:t>
      </w:r>
      <w:r w:rsidR="00D978F0">
        <w:rPr>
          <w:rFonts w:cs="Times"/>
          <w:color w:val="000000"/>
        </w:rPr>
        <w:t xml:space="preserve"> mit einem Schulverweis von mindestens einem Tag reagiert. Insofern stellt sich die Frage, </w:t>
      </w:r>
      <w:r w:rsidR="009D7629">
        <w:rPr>
          <w:rFonts w:cs="Times"/>
          <w:color w:val="000000"/>
        </w:rPr>
        <w:t xml:space="preserve">ob, </w:t>
      </w:r>
      <w:r w:rsidR="00D978F0">
        <w:rPr>
          <w:rFonts w:cs="Times"/>
          <w:color w:val="000000"/>
        </w:rPr>
        <w:t>wieweit und wie schnell sich diese Strafpraxis auch in Bezug auf Delikte in Zusammen</w:t>
      </w:r>
      <w:r w:rsidR="009D7629">
        <w:rPr>
          <w:rFonts w:cs="Times"/>
          <w:color w:val="000000"/>
        </w:rPr>
        <w:t xml:space="preserve">hang mit Marihuana verändern wird, die für diese Altersgruppe </w:t>
      </w:r>
      <w:r w:rsidR="004B3101">
        <w:rPr>
          <w:rFonts w:cs="Times"/>
          <w:color w:val="000000"/>
        </w:rPr>
        <w:t xml:space="preserve">auch </w:t>
      </w:r>
      <w:r w:rsidR="009D7629">
        <w:rPr>
          <w:rFonts w:cs="Times"/>
          <w:color w:val="000000"/>
        </w:rPr>
        <w:t>weiterhin juristisch strafwürdig sind</w:t>
      </w:r>
      <w:r w:rsidR="00D978F0">
        <w:rPr>
          <w:rFonts w:cs="Times"/>
          <w:color w:val="000000"/>
        </w:rPr>
        <w:t>.</w:t>
      </w:r>
      <w:r w:rsidR="0061270B">
        <w:rPr>
          <w:rFonts w:cs="Times"/>
          <w:color w:val="000000"/>
        </w:rPr>
        <w:t xml:space="preserve"> </w:t>
      </w:r>
    </w:p>
    <w:p w14:paraId="587558AE" w14:textId="77777777" w:rsidR="00D978F0" w:rsidRDefault="00D978F0" w:rsidP="009D7629">
      <w:pPr>
        <w:pStyle w:val="KeinLeerraum"/>
        <w:spacing w:line="276" w:lineRule="auto"/>
        <w:jc w:val="both"/>
        <w:rPr>
          <w:b/>
        </w:rPr>
      </w:pPr>
    </w:p>
    <w:p w14:paraId="28D7E979" w14:textId="77777777" w:rsidR="00D978F0" w:rsidRPr="00C52D89" w:rsidRDefault="00D978F0" w:rsidP="00BD103A">
      <w:pPr>
        <w:pStyle w:val="berschrift3"/>
      </w:pPr>
      <w:bookmarkStart w:id="33" w:name="_Toc349300362"/>
      <w:r w:rsidRPr="00C52D89">
        <w:t>Entwicklungen in den Konsumraten</w:t>
      </w:r>
      <w:bookmarkEnd w:id="33"/>
    </w:p>
    <w:p w14:paraId="73C7A2D8" w14:textId="065AFE96" w:rsidR="00BD103A" w:rsidRPr="00BD103A" w:rsidRDefault="0059452E" w:rsidP="00F67143">
      <w:pPr>
        <w:pStyle w:val="Listenabsatz"/>
        <w:keepNext/>
        <w:numPr>
          <w:ilvl w:val="0"/>
          <w:numId w:val="17"/>
        </w:numPr>
        <w:spacing w:line="276" w:lineRule="auto"/>
        <w:ind w:left="284" w:hanging="295"/>
        <w:jc w:val="both"/>
      </w:pPr>
      <w:r w:rsidRPr="0059452E">
        <w:rPr>
          <w:szCs w:val="22"/>
        </w:rPr>
        <w:t>Der Healthy Kids Colorado Survey (HKCS) stellt für 2015 heraus, dass vier von fünf Hig</w:t>
      </w:r>
      <w:r w:rsidRPr="0059452E">
        <w:rPr>
          <w:szCs w:val="22"/>
        </w:rPr>
        <w:t>h</w:t>
      </w:r>
      <w:r w:rsidR="00D67419">
        <w:rPr>
          <w:szCs w:val="22"/>
        </w:rPr>
        <w:t>S</w:t>
      </w:r>
      <w:r w:rsidR="00914CC5">
        <w:rPr>
          <w:szCs w:val="22"/>
        </w:rPr>
        <w:t>chool-Schülern i</w:t>
      </w:r>
      <w:r w:rsidRPr="0059452E">
        <w:rPr>
          <w:szCs w:val="22"/>
        </w:rPr>
        <w:t>n den letzten 30 Tagen nicht Marihuana konsumiert haben. Damit gibt es seit 2013 weder in der 30-Tage-Prävalenz, noch in der Lebenszeitprävalenz</w:t>
      </w:r>
    </w:p>
    <w:p w14:paraId="5AE5FE95" w14:textId="77777777" w:rsidR="00BD103A" w:rsidRPr="00BD103A" w:rsidRDefault="00BD103A" w:rsidP="00BD103A">
      <w:pPr>
        <w:pStyle w:val="Listenabsatz"/>
        <w:keepNext/>
        <w:spacing w:line="276" w:lineRule="auto"/>
        <w:ind w:left="0"/>
        <w:jc w:val="both"/>
      </w:pPr>
    </w:p>
    <w:p w14:paraId="079B1EB7" w14:textId="4CBF1DC5" w:rsidR="009D7629" w:rsidRDefault="0059452E" w:rsidP="001E7306">
      <w:pPr>
        <w:pStyle w:val="Listenabsatz"/>
        <w:keepNext/>
        <w:spacing w:line="276" w:lineRule="auto"/>
        <w:ind w:left="0" w:firstLine="284"/>
        <w:jc w:val="both"/>
      </w:pPr>
      <w:r w:rsidRPr="0059452E">
        <w:rPr>
          <w:szCs w:val="22"/>
        </w:rPr>
        <w:t xml:space="preserve"> </w:t>
      </w:r>
      <w:r w:rsidR="009D7629">
        <w:rPr>
          <w:noProof/>
        </w:rPr>
        <w:drawing>
          <wp:inline distT="0" distB="0" distL="0" distR="0" wp14:anchorId="299DF9D6" wp14:editId="4FAC1646">
            <wp:extent cx="5235575" cy="2341450"/>
            <wp:effectExtent l="25400" t="25400" r="22225" b="2095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15 um 12.55.36.png"/>
                    <pic:cNvPicPr/>
                  </pic:nvPicPr>
                  <pic:blipFill>
                    <a:blip r:embed="rId54">
                      <a:extLst>
                        <a:ext uri="{28A0092B-C50C-407E-A947-70E740481C1C}">
                          <a14:useLocalDpi xmlns:a14="http://schemas.microsoft.com/office/drawing/2010/main" val="0"/>
                        </a:ext>
                      </a:extLst>
                    </a:blip>
                    <a:stretch>
                      <a:fillRect/>
                    </a:stretch>
                  </pic:blipFill>
                  <pic:spPr>
                    <a:xfrm>
                      <a:off x="0" y="0"/>
                      <a:ext cx="5237511" cy="2342316"/>
                    </a:xfrm>
                    <a:prstGeom prst="rect">
                      <a:avLst/>
                    </a:prstGeom>
                    <a:ln>
                      <a:solidFill>
                        <a:srgbClr val="000000"/>
                      </a:solidFill>
                    </a:ln>
                  </pic:spPr>
                </pic:pic>
              </a:graphicData>
            </a:graphic>
          </wp:inline>
        </w:drawing>
      </w:r>
    </w:p>
    <w:p w14:paraId="640727DA" w14:textId="6BE57EAE" w:rsidR="009D7629" w:rsidRPr="009D7629" w:rsidRDefault="009D7629" w:rsidP="009D7629">
      <w:pPr>
        <w:pStyle w:val="Beschriftung"/>
        <w:jc w:val="both"/>
      </w:pPr>
      <w:r>
        <w:t xml:space="preserve">Abbildung </w:t>
      </w:r>
      <w:fldSimple w:instr=" SEQ Abbildung \* ARABIC ">
        <w:r w:rsidR="00B86830">
          <w:rPr>
            <w:noProof/>
          </w:rPr>
          <w:t>12</w:t>
        </w:r>
      </w:fldSimple>
      <w:r>
        <w:t xml:space="preserve">: </w:t>
      </w:r>
      <w:r w:rsidRPr="009D7629">
        <w:t>Konsumraten un</w:t>
      </w:r>
      <w:r w:rsidR="00D67419">
        <w:t xml:space="preserve">d geschätzte Verfügbarkeit </w:t>
      </w:r>
      <w:r w:rsidR="00914CC5">
        <w:t xml:space="preserve">von </w:t>
      </w:r>
      <w:r w:rsidR="00D67419">
        <w:t>High-S</w:t>
      </w:r>
      <w:r w:rsidRPr="009D7629">
        <w:t>chool-Schülern im Jahr 2015 (Healthy Kids Colorado Survey 2015, S. 9)</w:t>
      </w:r>
    </w:p>
    <w:p w14:paraId="77177F2C" w14:textId="293AB4ED" w:rsidR="009D7629" w:rsidRDefault="009D7629" w:rsidP="0059452E">
      <w:pPr>
        <w:pStyle w:val="KeinLeerraum"/>
        <w:spacing w:line="276" w:lineRule="auto"/>
        <w:ind w:left="720"/>
        <w:jc w:val="both"/>
        <w:rPr>
          <w:szCs w:val="22"/>
        </w:rPr>
      </w:pPr>
      <w:r>
        <w:rPr>
          <w:szCs w:val="22"/>
        </w:rPr>
        <w:t xml:space="preserve">signifikante Unterschiede; diese Raten </w:t>
      </w:r>
      <w:r w:rsidRPr="00DA66D2">
        <w:rPr>
          <w:szCs w:val="22"/>
        </w:rPr>
        <w:t xml:space="preserve">weichen </w:t>
      </w:r>
      <w:r>
        <w:rPr>
          <w:szCs w:val="22"/>
        </w:rPr>
        <w:t xml:space="preserve">auch </w:t>
      </w:r>
      <w:r w:rsidRPr="00DA66D2">
        <w:rPr>
          <w:szCs w:val="22"/>
        </w:rPr>
        <w:t xml:space="preserve">nicht signifikant vom nationalen Durchschnitt ab und unterscheiden sich auch nicht zwischen </w:t>
      </w:r>
      <w:r>
        <w:rPr>
          <w:szCs w:val="22"/>
        </w:rPr>
        <w:t xml:space="preserve">den </w:t>
      </w:r>
      <w:r w:rsidRPr="00DA66D2">
        <w:rPr>
          <w:szCs w:val="22"/>
        </w:rPr>
        <w:t>Geschlechtern (vgl. Abbildung</w:t>
      </w:r>
      <w:r w:rsidR="0059452E">
        <w:rPr>
          <w:szCs w:val="22"/>
        </w:rPr>
        <w:t xml:space="preserve"> 12</w:t>
      </w:r>
      <w:r>
        <w:rPr>
          <w:szCs w:val="22"/>
        </w:rPr>
        <w:t xml:space="preserve">)(vgl.: </w:t>
      </w:r>
      <w:r w:rsidRPr="00DA66D2">
        <w:rPr>
          <w:szCs w:val="22"/>
        </w:rPr>
        <w:t>Healthy Kids Colorado Survey 2015, S. 9</w:t>
      </w:r>
      <w:r>
        <w:rPr>
          <w:szCs w:val="22"/>
        </w:rPr>
        <w:t xml:space="preserve">, </w:t>
      </w:r>
      <w:r w:rsidRPr="00CE379C">
        <w:rPr>
          <w:rFonts w:cs="Arial"/>
        </w:rPr>
        <w:t>Hughes, Rachel, Lipari; Williams 2015</w:t>
      </w:r>
      <w:r w:rsidRPr="00DA66D2">
        <w:rPr>
          <w:szCs w:val="22"/>
        </w:rPr>
        <w:t xml:space="preserve">). </w:t>
      </w:r>
    </w:p>
    <w:p w14:paraId="414DEC4F" w14:textId="04385FD3" w:rsidR="00914CC5" w:rsidRPr="003809F7" w:rsidRDefault="00914CC5" w:rsidP="00914CC5">
      <w:pPr>
        <w:pStyle w:val="KeinLeerraum"/>
        <w:numPr>
          <w:ilvl w:val="0"/>
          <w:numId w:val="10"/>
        </w:numPr>
        <w:spacing w:line="276" w:lineRule="auto"/>
        <w:jc w:val="both"/>
        <w:rPr>
          <w:szCs w:val="22"/>
        </w:rPr>
      </w:pPr>
      <w:r>
        <w:rPr>
          <w:szCs w:val="22"/>
        </w:rPr>
        <w:t>Die</w:t>
      </w:r>
      <w:r w:rsidRPr="003809F7">
        <w:rPr>
          <w:szCs w:val="22"/>
        </w:rPr>
        <w:t xml:space="preserve"> berichtete Konsumintensität schwankt seit 2005 und folgt keinem deutlichen Trend. Allerdings zeichnet sich ab, dass seit 2013 Konsumformen mit hoher Intensität (20-39 Mal und mehr als 40 Mal </w:t>
      </w:r>
      <w:r>
        <w:rPr>
          <w:szCs w:val="22"/>
        </w:rPr>
        <w:t>in den letzten 30 Tagen</w:t>
      </w:r>
      <w:r w:rsidRPr="003809F7">
        <w:rPr>
          <w:szCs w:val="22"/>
        </w:rPr>
        <w:t xml:space="preserve">) abnehmen, während ein 1-2maliger </w:t>
      </w:r>
      <w:r>
        <w:rPr>
          <w:szCs w:val="22"/>
        </w:rPr>
        <w:t>und ein 3-9maliger K</w:t>
      </w:r>
      <w:r w:rsidRPr="003809F7">
        <w:rPr>
          <w:szCs w:val="22"/>
        </w:rPr>
        <w:t>onsum</w:t>
      </w:r>
      <w:r>
        <w:rPr>
          <w:szCs w:val="22"/>
        </w:rPr>
        <w:t xml:space="preserve"> pro Monat</w:t>
      </w:r>
      <w:r>
        <w:rPr>
          <w:rStyle w:val="Funotenzeichen"/>
          <w:szCs w:val="22"/>
        </w:rPr>
        <w:footnoteReference w:id="33"/>
      </w:r>
      <w:r w:rsidRPr="003809F7">
        <w:rPr>
          <w:szCs w:val="22"/>
        </w:rPr>
        <w:t xml:space="preserve"> in der gleichen Zeit leicht zug</w:t>
      </w:r>
      <w:r w:rsidRPr="003809F7">
        <w:rPr>
          <w:szCs w:val="22"/>
        </w:rPr>
        <w:t>e</w:t>
      </w:r>
      <w:r w:rsidRPr="003809F7">
        <w:rPr>
          <w:szCs w:val="22"/>
        </w:rPr>
        <w:t>nommen haben (vgl. Abbildung</w:t>
      </w:r>
      <w:r>
        <w:rPr>
          <w:szCs w:val="22"/>
        </w:rPr>
        <w:t xml:space="preserve"> 13</w:t>
      </w:r>
      <w:r w:rsidRPr="003809F7">
        <w:rPr>
          <w:szCs w:val="22"/>
        </w:rPr>
        <w:t>)</w:t>
      </w:r>
      <w:r w:rsidRPr="0054179C">
        <w:t>(</w:t>
      </w:r>
      <w:r>
        <w:t xml:space="preserve">vgl. </w:t>
      </w:r>
      <w:r w:rsidRPr="00E35A65">
        <w:t>Monitoring Health Concerns Related to M</w:t>
      </w:r>
      <w:r w:rsidRPr="00E35A65">
        <w:t>a</w:t>
      </w:r>
      <w:r w:rsidRPr="00E35A65">
        <w:t>rijuana in Color</w:t>
      </w:r>
      <w:r>
        <w:t xml:space="preserve">ado </w:t>
      </w:r>
      <w:r w:rsidRPr="00E35A65">
        <w:t>2016</w:t>
      </w:r>
      <w:r>
        <w:t>, S. 19)</w:t>
      </w:r>
      <w:r w:rsidRPr="003809F7">
        <w:rPr>
          <w:color w:val="FF6600"/>
          <w:szCs w:val="22"/>
        </w:rPr>
        <w:t xml:space="preserve"> </w:t>
      </w:r>
      <w:r w:rsidRPr="003809F7">
        <w:rPr>
          <w:szCs w:val="22"/>
        </w:rPr>
        <w:t>Es bleibt abzuwarten, ob daraus ein tatsächlicher Trend wird.</w:t>
      </w:r>
    </w:p>
    <w:p w14:paraId="6AF7D908" w14:textId="77777777" w:rsidR="00914CC5" w:rsidRDefault="00914CC5" w:rsidP="0059452E">
      <w:pPr>
        <w:pStyle w:val="KeinLeerraum"/>
        <w:spacing w:line="276" w:lineRule="auto"/>
        <w:ind w:left="720"/>
        <w:jc w:val="both"/>
        <w:rPr>
          <w:szCs w:val="22"/>
        </w:rPr>
      </w:pPr>
    </w:p>
    <w:p w14:paraId="316888BA" w14:textId="77777777" w:rsidR="0054179C" w:rsidRDefault="0054179C" w:rsidP="001E7306">
      <w:pPr>
        <w:pStyle w:val="KeinLeerraum"/>
        <w:keepNext/>
        <w:spacing w:line="276" w:lineRule="auto"/>
        <w:ind w:left="720" w:hanging="436"/>
        <w:jc w:val="both"/>
      </w:pPr>
      <w:r>
        <w:rPr>
          <w:b/>
          <w:noProof/>
          <w:szCs w:val="22"/>
        </w:rPr>
        <w:drawing>
          <wp:inline distT="0" distB="0" distL="0" distR="0" wp14:anchorId="29FFE3CB" wp14:editId="6A84BCED">
            <wp:extent cx="5360623" cy="3723345"/>
            <wp:effectExtent l="25400" t="25400" r="24765" b="3619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15 um 17.48.55.png"/>
                    <pic:cNvPicPr/>
                  </pic:nvPicPr>
                  <pic:blipFill>
                    <a:blip r:embed="rId55">
                      <a:extLst>
                        <a:ext uri="{28A0092B-C50C-407E-A947-70E740481C1C}">
                          <a14:useLocalDpi xmlns:a14="http://schemas.microsoft.com/office/drawing/2010/main" val="0"/>
                        </a:ext>
                      </a:extLst>
                    </a:blip>
                    <a:stretch>
                      <a:fillRect/>
                    </a:stretch>
                  </pic:blipFill>
                  <pic:spPr>
                    <a:xfrm>
                      <a:off x="0" y="0"/>
                      <a:ext cx="5360623" cy="3723345"/>
                    </a:xfrm>
                    <a:prstGeom prst="rect">
                      <a:avLst/>
                    </a:prstGeom>
                    <a:ln>
                      <a:solidFill>
                        <a:srgbClr val="000000"/>
                      </a:solidFill>
                    </a:ln>
                  </pic:spPr>
                </pic:pic>
              </a:graphicData>
            </a:graphic>
          </wp:inline>
        </w:drawing>
      </w:r>
    </w:p>
    <w:p w14:paraId="611A9F39" w14:textId="229150E0" w:rsidR="009D7629" w:rsidRDefault="0054179C" w:rsidP="003809F7">
      <w:pPr>
        <w:pStyle w:val="Beschriftung"/>
        <w:ind w:left="360"/>
        <w:jc w:val="both"/>
      </w:pPr>
      <w:r>
        <w:t xml:space="preserve">Abbildung </w:t>
      </w:r>
      <w:fldSimple w:instr=" SEQ Abbildung \* ARABIC ">
        <w:r w:rsidR="00B86830">
          <w:rPr>
            <w:noProof/>
          </w:rPr>
          <w:t>13</w:t>
        </w:r>
      </w:fldSimple>
      <w:r w:rsidR="00D67419">
        <w:t>: Prävalenzraten des Marihuana-K</w:t>
      </w:r>
      <w:r>
        <w:t>onsums nach unterschiedlicher Intensität (</w:t>
      </w:r>
      <w:r w:rsidRPr="00E35A65">
        <w:t>Monitoring Health Concerns Related to Marijuana in Colorado: 2016</w:t>
      </w:r>
      <w:r>
        <w:t>, S. 19)</w:t>
      </w:r>
    </w:p>
    <w:p w14:paraId="7DB1E36F" w14:textId="283103BD" w:rsidR="003809F7" w:rsidRDefault="00642089" w:rsidP="00F67143">
      <w:pPr>
        <w:pStyle w:val="KeinLeerraum"/>
        <w:numPr>
          <w:ilvl w:val="0"/>
          <w:numId w:val="10"/>
        </w:numPr>
        <w:spacing w:line="276" w:lineRule="auto"/>
        <w:jc w:val="both"/>
        <w:rPr>
          <w:szCs w:val="22"/>
        </w:rPr>
      </w:pPr>
      <w:r w:rsidRPr="00482083">
        <w:rPr>
          <w:szCs w:val="22"/>
        </w:rPr>
        <w:t xml:space="preserve">Das Probieralter für Marihuana hat sich zwischen 2013 und 2015 nicht signifikant </w:t>
      </w:r>
      <w:r w:rsidRPr="00642089">
        <w:rPr>
          <w:szCs w:val="22"/>
        </w:rPr>
        <w:t>verändert: 84.4 % der High</w:t>
      </w:r>
      <w:r w:rsidR="00914CC5">
        <w:rPr>
          <w:szCs w:val="22"/>
        </w:rPr>
        <w:t>-S</w:t>
      </w:r>
      <w:r w:rsidRPr="00642089">
        <w:rPr>
          <w:szCs w:val="22"/>
        </w:rPr>
        <w:t>chool-Schüler, die schon einmal</w:t>
      </w:r>
      <w:r w:rsidR="00914CC5">
        <w:rPr>
          <w:szCs w:val="22"/>
        </w:rPr>
        <w:t xml:space="preserve"> Marihuana konsumiert hatten, </w:t>
      </w:r>
      <w:r w:rsidRPr="00642089">
        <w:rPr>
          <w:szCs w:val="22"/>
        </w:rPr>
        <w:t xml:space="preserve">berichteten, das sie dabei 16 Jahre oder jünger waren, </w:t>
      </w:r>
      <w:r w:rsidR="00D43937">
        <w:rPr>
          <w:szCs w:val="22"/>
        </w:rPr>
        <w:t>davon</w:t>
      </w:r>
      <w:r w:rsidRPr="00642089">
        <w:rPr>
          <w:szCs w:val="22"/>
        </w:rPr>
        <w:t xml:space="preserve"> waren 41.3 % bei ihrem ersten Konsum 14 Jahre oder jünger, 14.3 % waren 12 Jahre alt oder jünger (vgl. Abbil</w:t>
      </w:r>
      <w:r w:rsidR="0059452E">
        <w:rPr>
          <w:szCs w:val="22"/>
        </w:rPr>
        <w:t>dung 14</w:t>
      </w:r>
      <w:r w:rsidRPr="00642089">
        <w:rPr>
          <w:szCs w:val="22"/>
        </w:rPr>
        <w:t>)(</w:t>
      </w:r>
      <w:r w:rsidRPr="00642089">
        <w:t>vgl. Monitoring Health Concerns Related to Marijuana in Color</w:t>
      </w:r>
      <w:r w:rsidRPr="00642089">
        <w:t>a</w:t>
      </w:r>
      <w:r w:rsidRPr="00642089">
        <w:t>do: 2016, S. 15).</w:t>
      </w:r>
      <w:r w:rsidRPr="00642089">
        <w:rPr>
          <w:szCs w:val="22"/>
        </w:rPr>
        <w:t xml:space="preserve"> Während sich insgesamt eine</w:t>
      </w:r>
      <w:r>
        <w:rPr>
          <w:szCs w:val="22"/>
        </w:rPr>
        <w:t xml:space="preserve"> leichte Verschiebung des Probieralters in höhere Altersgruppen andeutet, ist zur Kenntnis zu nehmen, dass sich der Anteil derjenigen, die angaben, schon zwischen dem 11</w:t>
      </w:r>
      <w:r w:rsidR="00914CC5">
        <w:rPr>
          <w:szCs w:val="22"/>
        </w:rPr>
        <w:t>.</w:t>
      </w:r>
      <w:r>
        <w:rPr>
          <w:szCs w:val="22"/>
        </w:rPr>
        <w:t>- und 12</w:t>
      </w:r>
      <w:r w:rsidR="00914CC5">
        <w:rPr>
          <w:szCs w:val="22"/>
        </w:rPr>
        <w:t>.</w:t>
      </w:r>
      <w:r>
        <w:rPr>
          <w:szCs w:val="22"/>
        </w:rPr>
        <w:t xml:space="preserve"> Lebensjahr erstmals Mar</w:t>
      </w:r>
      <w:r>
        <w:rPr>
          <w:szCs w:val="22"/>
        </w:rPr>
        <w:t>i</w:t>
      </w:r>
      <w:r>
        <w:rPr>
          <w:szCs w:val="22"/>
        </w:rPr>
        <w:t>huana konsumiert zu haben, erhöht hat. D</w:t>
      </w:r>
      <w:r w:rsidR="00914CC5">
        <w:rPr>
          <w:szCs w:val="22"/>
        </w:rPr>
        <w:t>azu sind d</w:t>
      </w:r>
      <w:r>
        <w:rPr>
          <w:szCs w:val="22"/>
        </w:rPr>
        <w:t>ie Hintergründe dringlich aufz</w:t>
      </w:r>
      <w:r>
        <w:rPr>
          <w:szCs w:val="22"/>
        </w:rPr>
        <w:t>u</w:t>
      </w:r>
      <w:r>
        <w:rPr>
          <w:szCs w:val="22"/>
        </w:rPr>
        <w:t>klären</w:t>
      </w:r>
      <w:r w:rsidR="00914CC5">
        <w:rPr>
          <w:szCs w:val="22"/>
        </w:rPr>
        <w:t>. V</w:t>
      </w:r>
      <w:r w:rsidR="00D43937">
        <w:rPr>
          <w:szCs w:val="22"/>
        </w:rPr>
        <w:t xml:space="preserve">erwiesen sei </w:t>
      </w:r>
      <w:r w:rsidR="00914CC5">
        <w:rPr>
          <w:szCs w:val="22"/>
        </w:rPr>
        <w:t>wieder</w:t>
      </w:r>
      <w:r w:rsidR="00150F77">
        <w:rPr>
          <w:szCs w:val="22"/>
        </w:rPr>
        <w:t xml:space="preserve"> auf das Phänomen</w:t>
      </w:r>
      <w:r w:rsidR="00D43937">
        <w:rPr>
          <w:szCs w:val="22"/>
        </w:rPr>
        <w:t xml:space="preserve"> </w:t>
      </w:r>
      <w:r w:rsidR="00914CC5">
        <w:rPr>
          <w:szCs w:val="22"/>
        </w:rPr>
        <w:t>„</w:t>
      </w:r>
      <w:r w:rsidR="00D43937">
        <w:rPr>
          <w:szCs w:val="22"/>
        </w:rPr>
        <w:t>Scham-Management</w:t>
      </w:r>
      <w:r w:rsidR="00914CC5">
        <w:rPr>
          <w:szCs w:val="22"/>
        </w:rPr>
        <w:t>“</w:t>
      </w:r>
      <w:r w:rsidR="00CE65B8">
        <w:rPr>
          <w:szCs w:val="22"/>
        </w:rPr>
        <w:t xml:space="preserve"> (siehe S. 8)</w:t>
      </w:r>
      <w:r w:rsidR="00D43937">
        <w:rPr>
          <w:szCs w:val="22"/>
        </w:rPr>
        <w:t>, das in diesen Untersuchungen nicht geprüft werden kann</w:t>
      </w:r>
      <w:r>
        <w:rPr>
          <w:szCs w:val="22"/>
        </w:rPr>
        <w:t xml:space="preserve">. </w:t>
      </w:r>
      <w:r w:rsidR="00914CC5">
        <w:rPr>
          <w:szCs w:val="22"/>
        </w:rPr>
        <w:t xml:space="preserve">Abzuwarten </w:t>
      </w:r>
      <w:r>
        <w:rPr>
          <w:szCs w:val="22"/>
        </w:rPr>
        <w:t>bleibt, ob aus d</w:t>
      </w:r>
      <w:r w:rsidR="00914CC5">
        <w:rPr>
          <w:szCs w:val="22"/>
        </w:rPr>
        <w:t>ies</w:t>
      </w:r>
      <w:r>
        <w:rPr>
          <w:szCs w:val="22"/>
        </w:rPr>
        <w:t>en Entwicklungen tatsächlich ein Trend wird.</w:t>
      </w:r>
    </w:p>
    <w:p w14:paraId="1B4EDB33" w14:textId="77777777" w:rsidR="00914CC5" w:rsidRPr="00482083" w:rsidRDefault="00914CC5" w:rsidP="00914CC5">
      <w:pPr>
        <w:pStyle w:val="KeinLeerraum"/>
        <w:numPr>
          <w:ilvl w:val="0"/>
          <w:numId w:val="10"/>
        </w:numPr>
        <w:spacing w:line="276" w:lineRule="auto"/>
        <w:jc w:val="both"/>
        <w:rPr>
          <w:szCs w:val="22"/>
        </w:rPr>
      </w:pPr>
      <w:r w:rsidRPr="00482083">
        <w:rPr>
          <w:szCs w:val="22"/>
        </w:rPr>
        <w:t>Die Befragten berichteten zugleich mehrheitlich, dass es für sie einfach sei, an Mar</w:t>
      </w:r>
      <w:r w:rsidRPr="00482083">
        <w:rPr>
          <w:szCs w:val="22"/>
        </w:rPr>
        <w:t>i</w:t>
      </w:r>
      <w:r w:rsidRPr="00482083">
        <w:rPr>
          <w:szCs w:val="22"/>
        </w:rPr>
        <w:t xml:space="preserve">huana heranzukommen (vgl. </w:t>
      </w:r>
      <w:r w:rsidRPr="00DA66D2">
        <w:rPr>
          <w:szCs w:val="22"/>
        </w:rPr>
        <w:t>Healthy Kids Colorado Survey 2015</w:t>
      </w:r>
      <w:r>
        <w:rPr>
          <w:szCs w:val="22"/>
        </w:rPr>
        <w:t>, S. 9</w:t>
      </w:r>
      <w:r w:rsidRPr="00482083">
        <w:rPr>
          <w:szCs w:val="22"/>
        </w:rPr>
        <w:t xml:space="preserve">). </w:t>
      </w:r>
    </w:p>
    <w:p w14:paraId="3B3BEF19" w14:textId="5BD73AC4" w:rsidR="00914CC5" w:rsidRPr="000671F1" w:rsidRDefault="00914CC5" w:rsidP="00914CC5">
      <w:pPr>
        <w:pStyle w:val="KeinLeerraum"/>
        <w:numPr>
          <w:ilvl w:val="0"/>
          <w:numId w:val="10"/>
        </w:numPr>
        <w:spacing w:line="276" w:lineRule="auto"/>
        <w:jc w:val="both"/>
        <w:rPr>
          <w:rFonts w:cs="Times New Roman"/>
          <w:szCs w:val="22"/>
        </w:rPr>
      </w:pPr>
      <w:r>
        <w:rPr>
          <w:rFonts w:cs="Times New Roman"/>
          <w:szCs w:val="22"/>
        </w:rPr>
        <w:t>Allerdings erklärten</w:t>
      </w:r>
      <w:r w:rsidRPr="000671F1">
        <w:rPr>
          <w:rFonts w:cs="Times New Roman"/>
          <w:szCs w:val="22"/>
        </w:rPr>
        <w:t xml:space="preserve"> </w:t>
      </w:r>
      <w:r>
        <w:rPr>
          <w:rFonts w:cs="Times New Roman"/>
          <w:szCs w:val="22"/>
        </w:rPr>
        <w:t>High-S</w:t>
      </w:r>
      <w:r w:rsidRPr="000671F1">
        <w:rPr>
          <w:rFonts w:cs="Times New Roman"/>
          <w:szCs w:val="22"/>
        </w:rPr>
        <w:t xml:space="preserve">chool-Schüler </w:t>
      </w:r>
      <w:r>
        <w:rPr>
          <w:rFonts w:cs="Times New Roman"/>
          <w:szCs w:val="22"/>
        </w:rPr>
        <w:t xml:space="preserve">Colorados (16,5 %) </w:t>
      </w:r>
      <w:r w:rsidRPr="000671F1">
        <w:rPr>
          <w:rFonts w:cs="Times New Roman"/>
          <w:szCs w:val="22"/>
        </w:rPr>
        <w:t>deutlich weniger als im nationalen Durchschnitt</w:t>
      </w:r>
      <w:r>
        <w:rPr>
          <w:rFonts w:cs="Times New Roman"/>
          <w:szCs w:val="22"/>
        </w:rPr>
        <w:t xml:space="preserve"> (21,7 %)</w:t>
      </w:r>
      <w:r w:rsidRPr="000671F1">
        <w:rPr>
          <w:rFonts w:cs="Times New Roman"/>
          <w:szCs w:val="22"/>
        </w:rPr>
        <w:t>, dass ihnen in den letzten 12 Monaten Drogen</w:t>
      </w:r>
      <w:r>
        <w:rPr>
          <w:rFonts w:cs="Times New Roman"/>
          <w:szCs w:val="22"/>
        </w:rPr>
        <w:t xml:space="preserve"> (!nicht nur Marihuana)</w:t>
      </w:r>
      <w:r w:rsidRPr="000671F1">
        <w:rPr>
          <w:rFonts w:cs="Times New Roman"/>
          <w:szCs w:val="22"/>
        </w:rPr>
        <w:t xml:space="preserve"> a</w:t>
      </w:r>
      <w:r>
        <w:rPr>
          <w:rFonts w:cs="Times New Roman"/>
          <w:szCs w:val="22"/>
        </w:rPr>
        <w:t>uf dem Schulgelände angeboten wo</w:t>
      </w:r>
      <w:r w:rsidRPr="000671F1">
        <w:rPr>
          <w:rFonts w:cs="Times New Roman"/>
          <w:szCs w:val="22"/>
        </w:rPr>
        <w:t xml:space="preserve">rden </w:t>
      </w:r>
      <w:r>
        <w:rPr>
          <w:rFonts w:cs="Times New Roman"/>
          <w:szCs w:val="22"/>
        </w:rPr>
        <w:t xml:space="preserve">seien </w:t>
      </w:r>
      <w:r w:rsidRPr="000671F1">
        <w:rPr>
          <w:rFonts w:cs="Times New Roman"/>
          <w:szCs w:val="22"/>
        </w:rPr>
        <w:t xml:space="preserve">(vgl. </w:t>
      </w:r>
      <w:r w:rsidRPr="00DA66D2">
        <w:rPr>
          <w:szCs w:val="22"/>
        </w:rPr>
        <w:t>Healthy Kids Colorado Survey 2015</w:t>
      </w:r>
      <w:r w:rsidRPr="000671F1">
        <w:rPr>
          <w:rFonts w:cs="Times New Roman"/>
          <w:szCs w:val="22"/>
        </w:rPr>
        <w:t>, S. 12).</w:t>
      </w:r>
      <w:r>
        <w:rPr>
          <w:rFonts w:cs="Times New Roman"/>
          <w:szCs w:val="22"/>
        </w:rPr>
        <w:t xml:space="preserve"> Diesem Phänomen ist nachzugehen. Es könnte d</w:t>
      </w:r>
      <w:r>
        <w:rPr>
          <w:rFonts w:cs="Times New Roman"/>
          <w:szCs w:val="22"/>
        </w:rPr>
        <w:t>a</w:t>
      </w:r>
      <w:r>
        <w:rPr>
          <w:rFonts w:cs="Times New Roman"/>
          <w:szCs w:val="22"/>
        </w:rPr>
        <w:t xml:space="preserve">für sprechen, dass nunmehr andere Möglichkeiten für die Beschaffung erschlossen werden können, weshalb die Institution Schule, die weiterhin mit starken Sanktionen droht, dafür nicht mehr genutzt wird. </w:t>
      </w:r>
    </w:p>
    <w:p w14:paraId="0E79754E" w14:textId="77777777" w:rsidR="00150F77" w:rsidRDefault="00150F77" w:rsidP="00150F77">
      <w:pPr>
        <w:pStyle w:val="KeinLeerraum"/>
        <w:spacing w:line="276" w:lineRule="auto"/>
        <w:ind w:left="720"/>
        <w:jc w:val="both"/>
        <w:rPr>
          <w:szCs w:val="22"/>
        </w:rPr>
      </w:pPr>
    </w:p>
    <w:p w14:paraId="65D615C1" w14:textId="77777777" w:rsidR="00642089" w:rsidRDefault="00642089" w:rsidP="00642089">
      <w:pPr>
        <w:pStyle w:val="KeinLeerraum"/>
        <w:keepNext/>
        <w:spacing w:line="276" w:lineRule="auto"/>
        <w:ind w:left="426" w:hanging="11"/>
        <w:jc w:val="both"/>
      </w:pPr>
      <w:r>
        <w:rPr>
          <w:noProof/>
        </w:rPr>
        <w:drawing>
          <wp:inline distT="0" distB="0" distL="0" distR="0" wp14:anchorId="72A890AC" wp14:editId="1633A9AE">
            <wp:extent cx="5286403" cy="3656050"/>
            <wp:effectExtent l="25400" t="25400" r="22225" b="2730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15 um 18.05.20.png"/>
                    <pic:cNvPicPr/>
                  </pic:nvPicPr>
                  <pic:blipFill>
                    <a:blip r:embed="rId56">
                      <a:extLst>
                        <a:ext uri="{28A0092B-C50C-407E-A947-70E740481C1C}">
                          <a14:useLocalDpi xmlns:a14="http://schemas.microsoft.com/office/drawing/2010/main" val="0"/>
                        </a:ext>
                      </a:extLst>
                    </a:blip>
                    <a:stretch>
                      <a:fillRect/>
                    </a:stretch>
                  </pic:blipFill>
                  <pic:spPr>
                    <a:xfrm>
                      <a:off x="0" y="0"/>
                      <a:ext cx="5287976" cy="3657138"/>
                    </a:xfrm>
                    <a:prstGeom prst="rect">
                      <a:avLst/>
                    </a:prstGeom>
                    <a:ln>
                      <a:solidFill>
                        <a:srgbClr val="000000"/>
                      </a:solidFill>
                    </a:ln>
                  </pic:spPr>
                </pic:pic>
              </a:graphicData>
            </a:graphic>
          </wp:inline>
        </w:drawing>
      </w:r>
    </w:p>
    <w:p w14:paraId="3CB4A77B" w14:textId="6AB3C774" w:rsidR="003809F7" w:rsidRDefault="00642089" w:rsidP="00642089">
      <w:pPr>
        <w:pStyle w:val="Beschriftung"/>
        <w:ind w:left="360"/>
        <w:jc w:val="both"/>
        <w:rPr>
          <w:szCs w:val="22"/>
        </w:rPr>
      </w:pPr>
      <w:r>
        <w:t xml:space="preserve">Abbildung </w:t>
      </w:r>
      <w:fldSimple w:instr=" SEQ Abbildung \* ARABIC ">
        <w:r w:rsidR="00B86830">
          <w:rPr>
            <w:noProof/>
          </w:rPr>
          <w:t>14</w:t>
        </w:r>
      </w:fldSimple>
      <w:r>
        <w:t>:</w:t>
      </w:r>
      <w:r w:rsidRPr="00642089">
        <w:t xml:space="preserve"> </w:t>
      </w:r>
      <w:r w:rsidR="00D67419">
        <w:t>Lebensalter von High-S</w:t>
      </w:r>
      <w:r>
        <w:t xml:space="preserve">chool-Schülern beim ersten Probieren von Marihuana </w:t>
      </w:r>
      <w:r>
        <w:rPr>
          <w:szCs w:val="22"/>
        </w:rPr>
        <w:t>(</w:t>
      </w:r>
      <w:r w:rsidRPr="00E35A65">
        <w:t>Monit</w:t>
      </w:r>
      <w:r w:rsidRPr="00E35A65">
        <w:t>o</w:t>
      </w:r>
      <w:r w:rsidRPr="00E35A65">
        <w:t>ring Health Concerns Related to Marijuana in Colorado: 2016</w:t>
      </w:r>
      <w:r>
        <w:t>, S. 15)</w:t>
      </w:r>
    </w:p>
    <w:p w14:paraId="2BCC70A7" w14:textId="4D509A01" w:rsidR="00B82627" w:rsidRPr="00B82627" w:rsidRDefault="00D978F0" w:rsidP="00914CC5">
      <w:pPr>
        <w:pStyle w:val="Listenabsatz"/>
        <w:numPr>
          <w:ilvl w:val="0"/>
          <w:numId w:val="9"/>
        </w:numPr>
        <w:spacing w:line="276" w:lineRule="auto"/>
        <w:ind w:left="360"/>
        <w:jc w:val="both"/>
        <w:rPr>
          <w:rFonts w:cs="Calibri"/>
          <w:color w:val="000000"/>
          <w:szCs w:val="22"/>
        </w:rPr>
      </w:pPr>
      <w:r w:rsidRPr="00B82627">
        <w:rPr>
          <w:rFonts w:cs="Times New Roman"/>
          <w:szCs w:val="22"/>
        </w:rPr>
        <w:t xml:space="preserve">Auch </w:t>
      </w:r>
      <w:r w:rsidR="00642089" w:rsidRPr="00B82627">
        <w:rPr>
          <w:rFonts w:cs="Times New Roman"/>
          <w:szCs w:val="22"/>
        </w:rPr>
        <w:t xml:space="preserve">eine andere Untersuchung </w:t>
      </w:r>
      <w:r w:rsidR="00914CC5" w:rsidRPr="00B82627">
        <w:rPr>
          <w:rFonts w:cs="Times New Roman"/>
          <w:szCs w:val="22"/>
        </w:rPr>
        <w:t>(</w:t>
      </w:r>
      <w:r w:rsidRPr="00B82627">
        <w:rPr>
          <w:rFonts w:cs="Calibri"/>
          <w:i/>
          <w:color w:val="000000"/>
        </w:rPr>
        <w:t>Nationalen Survey on Drug Use and Health</w:t>
      </w:r>
      <w:r w:rsidR="00914CC5" w:rsidRPr="00B82627">
        <w:rPr>
          <w:rFonts w:cs="Calibri"/>
          <w:i/>
          <w:color w:val="000000"/>
        </w:rPr>
        <w:t>)</w:t>
      </w:r>
      <w:r w:rsidRPr="00B82627">
        <w:rPr>
          <w:rFonts w:cs="Calibri"/>
          <w:color w:val="000000"/>
        </w:rPr>
        <w:t xml:space="preserve"> </w:t>
      </w:r>
      <w:r w:rsidR="00642089" w:rsidRPr="00B82627">
        <w:rPr>
          <w:rFonts w:cs="Calibri"/>
          <w:color w:val="000000"/>
        </w:rPr>
        <w:t xml:space="preserve">bestätigt, </w:t>
      </w:r>
      <w:r w:rsidRPr="00B82627">
        <w:rPr>
          <w:rFonts w:cs="Times New Roman"/>
          <w:szCs w:val="22"/>
        </w:rPr>
        <w:t xml:space="preserve">dass von den Jugendlichen </w:t>
      </w:r>
      <w:r w:rsidR="00914CC5" w:rsidRPr="00B82627">
        <w:rPr>
          <w:rFonts w:cs="Times New Roman"/>
          <w:szCs w:val="22"/>
        </w:rPr>
        <w:t>nur</w:t>
      </w:r>
      <w:r w:rsidRPr="00B82627">
        <w:rPr>
          <w:rFonts w:cs="Times New Roman"/>
          <w:szCs w:val="22"/>
        </w:rPr>
        <w:t xml:space="preserve"> </w:t>
      </w:r>
      <w:r w:rsidR="00EF7E04" w:rsidRPr="00B82627">
        <w:rPr>
          <w:rFonts w:cs="Times New Roman"/>
          <w:szCs w:val="22"/>
        </w:rPr>
        <w:t>leicht steigende</w:t>
      </w:r>
      <w:r w:rsidRPr="00B82627">
        <w:rPr>
          <w:rFonts w:cs="Times New Roman"/>
          <w:szCs w:val="22"/>
        </w:rPr>
        <w:t xml:space="preserve"> Konsumraten (12-17</w:t>
      </w:r>
      <w:r w:rsidR="00914CC5" w:rsidRPr="00B82627">
        <w:rPr>
          <w:rFonts w:cs="Times New Roman"/>
          <w:szCs w:val="22"/>
        </w:rPr>
        <w:t>-</w:t>
      </w:r>
      <w:r w:rsidRPr="00B82627">
        <w:rPr>
          <w:rFonts w:cs="Times New Roman"/>
          <w:szCs w:val="22"/>
        </w:rPr>
        <w:t>Jä</w:t>
      </w:r>
      <w:r w:rsidR="00914CC5" w:rsidRPr="00B82627">
        <w:rPr>
          <w:rFonts w:cs="Times New Roman"/>
          <w:szCs w:val="22"/>
        </w:rPr>
        <w:t>hrige</w:t>
      </w:r>
      <w:r w:rsidR="00EF7E04" w:rsidRPr="00B82627">
        <w:rPr>
          <w:rFonts w:cs="Times New Roman"/>
          <w:szCs w:val="22"/>
        </w:rPr>
        <w:t>)</w:t>
      </w:r>
      <w:r w:rsidR="00EF7E04" w:rsidRPr="00B82627">
        <w:rPr>
          <w:szCs w:val="22"/>
        </w:rPr>
        <w:t>(vgl. Abbi</w:t>
      </w:r>
      <w:r w:rsidR="00EF7E04" w:rsidRPr="00B82627">
        <w:rPr>
          <w:szCs w:val="22"/>
        </w:rPr>
        <w:t>l</w:t>
      </w:r>
      <w:r w:rsidR="00EF7E04" w:rsidRPr="00B82627">
        <w:rPr>
          <w:szCs w:val="22"/>
        </w:rPr>
        <w:t>dung 15)</w:t>
      </w:r>
      <w:r w:rsidR="00EF7E04" w:rsidRPr="00B82627">
        <w:rPr>
          <w:color w:val="C0504D" w:themeColor="accent2"/>
          <w:szCs w:val="22"/>
        </w:rPr>
        <w:t xml:space="preserve"> </w:t>
      </w:r>
      <w:r w:rsidR="00914CC5" w:rsidRPr="00B82627">
        <w:rPr>
          <w:rFonts w:cs="Times New Roman"/>
          <w:szCs w:val="22"/>
        </w:rPr>
        <w:t>oder</w:t>
      </w:r>
      <w:r w:rsidRPr="00B82627">
        <w:rPr>
          <w:rFonts w:cs="Times New Roman"/>
          <w:szCs w:val="22"/>
        </w:rPr>
        <w:t xml:space="preserve"> sogar rückläufige Raten (18-25</w:t>
      </w:r>
      <w:r w:rsidR="00914CC5" w:rsidRPr="00B82627">
        <w:rPr>
          <w:rFonts w:cs="Times New Roman"/>
          <w:szCs w:val="22"/>
        </w:rPr>
        <w:t>-</w:t>
      </w:r>
      <w:r w:rsidRPr="00B82627">
        <w:rPr>
          <w:rFonts w:cs="Times New Roman"/>
          <w:szCs w:val="22"/>
        </w:rPr>
        <w:t>Jährige)</w:t>
      </w:r>
      <w:r w:rsidR="00914CC5" w:rsidRPr="00B82627">
        <w:rPr>
          <w:rFonts w:cs="Times New Roman"/>
          <w:szCs w:val="22"/>
        </w:rPr>
        <w:t xml:space="preserve"> berichtet werden (</w:t>
      </w:r>
      <w:r w:rsidR="00EF7E04" w:rsidRPr="00B82627">
        <w:rPr>
          <w:rFonts w:cs="Times New Roman"/>
          <w:szCs w:val="22"/>
        </w:rPr>
        <w:t>vgl. Abbildung 8</w:t>
      </w:r>
      <w:r w:rsidR="00CE65B8">
        <w:rPr>
          <w:rFonts w:cs="Times New Roman"/>
          <w:szCs w:val="22"/>
        </w:rPr>
        <w:t>, S. 38</w:t>
      </w:r>
      <w:r w:rsidR="00EF7E04" w:rsidRPr="00B82627">
        <w:rPr>
          <w:rFonts w:cs="Times New Roman"/>
          <w:szCs w:val="22"/>
        </w:rPr>
        <w:t>)</w:t>
      </w:r>
      <w:r w:rsidRPr="00B82627">
        <w:rPr>
          <w:rFonts w:cs="Times New Roman"/>
          <w:szCs w:val="22"/>
        </w:rPr>
        <w:t xml:space="preserve"> (vgl. </w:t>
      </w:r>
      <w:r w:rsidR="00EF7E04" w:rsidRPr="00B82627">
        <w:rPr>
          <w:szCs w:val="22"/>
        </w:rPr>
        <w:t>SAMHSA 2012 und 2015)</w:t>
      </w:r>
      <w:r w:rsidR="00D43937" w:rsidRPr="00B82627">
        <w:rPr>
          <w:szCs w:val="22"/>
        </w:rPr>
        <w:t>.</w:t>
      </w:r>
      <w:r w:rsidR="00B82627" w:rsidRPr="00B82627">
        <w:rPr>
          <w:szCs w:val="22"/>
        </w:rPr>
        <w:t xml:space="preserve"> </w:t>
      </w:r>
      <w:r w:rsidR="00914CC5" w:rsidRPr="00B82627">
        <w:rPr>
          <w:szCs w:val="22"/>
        </w:rPr>
        <w:t>Insgesamt ist für die vorliegende Datenlage die Diskrepanz zwischen der relativ hohen Verfügbarkeit von Marihuana auch für Jugendl</w:t>
      </w:r>
      <w:r w:rsidR="00914CC5" w:rsidRPr="00B82627">
        <w:rPr>
          <w:szCs w:val="22"/>
        </w:rPr>
        <w:t>i</w:t>
      </w:r>
      <w:r w:rsidR="00914CC5" w:rsidRPr="00B82627">
        <w:rPr>
          <w:szCs w:val="22"/>
        </w:rPr>
        <w:t>che unter Prohibition und den relativ moderaten Prävalenzraten in Bezug auf den Ko</w:t>
      </w:r>
      <w:r w:rsidR="00914CC5" w:rsidRPr="00B82627">
        <w:rPr>
          <w:szCs w:val="22"/>
        </w:rPr>
        <w:t>n</w:t>
      </w:r>
      <w:r w:rsidR="00914CC5" w:rsidRPr="00B82627">
        <w:rPr>
          <w:szCs w:val="22"/>
        </w:rPr>
        <w:t xml:space="preserve">sum hervorzuheben. </w:t>
      </w:r>
    </w:p>
    <w:p w14:paraId="6DFF028F" w14:textId="126ED21F" w:rsidR="00914CC5" w:rsidRPr="00B82627" w:rsidRDefault="00914CC5" w:rsidP="00914CC5">
      <w:pPr>
        <w:pStyle w:val="Listenabsatz"/>
        <w:numPr>
          <w:ilvl w:val="0"/>
          <w:numId w:val="9"/>
        </w:numPr>
        <w:spacing w:line="276" w:lineRule="auto"/>
        <w:ind w:left="360"/>
        <w:jc w:val="both"/>
        <w:rPr>
          <w:rFonts w:cs="Calibri"/>
          <w:color w:val="000000"/>
          <w:szCs w:val="22"/>
        </w:rPr>
      </w:pPr>
      <w:r w:rsidRPr="00B82627">
        <w:rPr>
          <w:szCs w:val="22"/>
        </w:rPr>
        <w:t>Werden die von Jugendlichen berichteten Konsumraten nach Regionen differenziert, zeigt sich auch für die</w:t>
      </w:r>
      <w:r w:rsidR="00B82627">
        <w:rPr>
          <w:szCs w:val="22"/>
        </w:rPr>
        <w:t>se Altersgruppe</w:t>
      </w:r>
      <w:r w:rsidRPr="00B82627">
        <w:rPr>
          <w:szCs w:val="22"/>
        </w:rPr>
        <w:t>, dass sich unter den gleichen drogenpolitischen Bedi</w:t>
      </w:r>
      <w:r w:rsidRPr="00B82627">
        <w:rPr>
          <w:szCs w:val="22"/>
        </w:rPr>
        <w:t>n</w:t>
      </w:r>
      <w:r w:rsidRPr="00B82627">
        <w:rPr>
          <w:szCs w:val="22"/>
        </w:rPr>
        <w:t xml:space="preserve">gungen im Jahr 2013 </w:t>
      </w:r>
      <w:r w:rsidR="00B82627">
        <w:rPr>
          <w:szCs w:val="22"/>
        </w:rPr>
        <w:t>im</w:t>
      </w:r>
      <w:r w:rsidR="00B82627" w:rsidRPr="00B82627">
        <w:rPr>
          <w:szCs w:val="22"/>
        </w:rPr>
        <w:t xml:space="preserve"> Bundesstaat Colorado </w:t>
      </w:r>
      <w:r w:rsidRPr="00B82627">
        <w:rPr>
          <w:szCs w:val="22"/>
        </w:rPr>
        <w:t>Regionen abzeichne</w:t>
      </w:r>
      <w:r w:rsidR="00B82627">
        <w:rPr>
          <w:szCs w:val="22"/>
        </w:rPr>
        <w:t>n</w:t>
      </w:r>
      <w:r>
        <w:rPr>
          <w:rStyle w:val="Funotenzeichen"/>
          <w:szCs w:val="22"/>
        </w:rPr>
        <w:footnoteReference w:id="34"/>
      </w:r>
      <w:r w:rsidRPr="00B82627">
        <w:rPr>
          <w:szCs w:val="22"/>
        </w:rPr>
        <w:t>, in denen eine h</w:t>
      </w:r>
      <w:r w:rsidRPr="00B82627">
        <w:rPr>
          <w:szCs w:val="22"/>
        </w:rPr>
        <w:t>o</w:t>
      </w:r>
      <w:r w:rsidRPr="00B82627">
        <w:rPr>
          <w:szCs w:val="22"/>
        </w:rPr>
        <w:t xml:space="preserve">he 30-Tages-Prävalenz berichtet wurde (dazu gehören u. a. </w:t>
      </w:r>
      <w:r w:rsidRPr="00B82627">
        <w:rPr>
          <w:rFonts w:cs="Calibri"/>
          <w:color w:val="000000"/>
          <w:szCs w:val="22"/>
        </w:rPr>
        <w:t>Pueblo County mit 32.1 %, Delta, Gunnison, Hinsdale, Montrose, Ouray, and San Miguel Counties mit bis zu 26.7 % und Denver mit 26.6 %</w:t>
      </w:r>
      <w:r w:rsidRPr="00B82627">
        <w:rPr>
          <w:szCs w:val="22"/>
        </w:rPr>
        <w:t xml:space="preserve">). Diesen Regionen stehen Gegenden gegenüber, in denen </w:t>
      </w:r>
      <w:r w:rsidR="00B82627">
        <w:rPr>
          <w:szCs w:val="22"/>
        </w:rPr>
        <w:t>die</w:t>
      </w:r>
      <w:r w:rsidRPr="00B82627">
        <w:rPr>
          <w:szCs w:val="22"/>
        </w:rPr>
        <w:t xml:space="preserve"> J</w:t>
      </w:r>
      <w:r w:rsidRPr="00B82627">
        <w:rPr>
          <w:szCs w:val="22"/>
        </w:rPr>
        <w:t>u</w:t>
      </w:r>
      <w:r w:rsidRPr="00B82627">
        <w:rPr>
          <w:szCs w:val="22"/>
        </w:rPr>
        <w:t>gendlichen deutlich geringere Prävalenzraten berichtet</w:t>
      </w:r>
      <w:r w:rsidR="00B82627">
        <w:rPr>
          <w:szCs w:val="22"/>
        </w:rPr>
        <w:t>en</w:t>
      </w:r>
      <w:r w:rsidRPr="00B82627">
        <w:rPr>
          <w:szCs w:val="22"/>
        </w:rPr>
        <w:t xml:space="preserve"> (dazu gehören </w:t>
      </w:r>
      <w:r w:rsidRPr="00B82627">
        <w:rPr>
          <w:rFonts w:cs="Calibri"/>
          <w:color w:val="000000"/>
          <w:szCs w:val="22"/>
        </w:rPr>
        <w:t xml:space="preserve">u. a. Cheyenne, </w:t>
      </w:r>
      <w:r w:rsidRPr="004800A3">
        <w:rPr>
          <w:rFonts w:cs="Times"/>
          <w:noProof/>
          <w:color w:val="000000"/>
          <w:szCs w:val="22"/>
        </w:rPr>
        <w:drawing>
          <wp:inline distT="0" distB="0" distL="0" distR="0" wp14:anchorId="30312DA5" wp14:editId="69B0F013">
            <wp:extent cx="20320" cy="6985"/>
            <wp:effectExtent l="0" t="0" r="0" b="0"/>
            <wp:docPr id="1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20" cy="6985"/>
                    </a:xfrm>
                    <a:prstGeom prst="rect">
                      <a:avLst/>
                    </a:prstGeom>
                    <a:noFill/>
                    <a:ln>
                      <a:noFill/>
                    </a:ln>
                  </pic:spPr>
                </pic:pic>
              </a:graphicData>
            </a:graphic>
          </wp:inline>
        </w:drawing>
      </w:r>
      <w:r w:rsidRPr="00B82627">
        <w:rPr>
          <w:rFonts w:cs="Calibri"/>
          <w:color w:val="000000"/>
          <w:szCs w:val="22"/>
        </w:rPr>
        <w:t xml:space="preserve">Elbert, Kit Carson und Lincoln mit bis zu 9.4 %, Logan, Morgan, Philips, Sedgwick, Washington und Yuma mit bis zu 11.4 % und Douglas mit 13.2 % (vgl. </w:t>
      </w:r>
      <w:r w:rsidR="007C55FB">
        <w:rPr>
          <w:rFonts w:cs="Calibri"/>
          <w:color w:val="000000"/>
          <w:szCs w:val="22"/>
        </w:rPr>
        <w:t>Reed, a. a. O.,</w:t>
      </w:r>
      <w:r w:rsidRPr="00B82627">
        <w:rPr>
          <w:rFonts w:cs="Calibri"/>
          <w:color w:val="000000"/>
          <w:szCs w:val="22"/>
        </w:rPr>
        <w:t xml:space="preserve"> 2016, S. 57). </w:t>
      </w:r>
    </w:p>
    <w:p w14:paraId="6B12180A" w14:textId="0F87D0B7" w:rsidR="00914CC5" w:rsidRPr="00BD103A" w:rsidRDefault="00914CC5" w:rsidP="00914CC5">
      <w:pPr>
        <w:pStyle w:val="KeinLeerraum"/>
        <w:spacing w:line="276" w:lineRule="auto"/>
        <w:ind w:left="360"/>
        <w:jc w:val="both"/>
        <w:rPr>
          <w:rFonts w:cs="Times"/>
          <w:color w:val="000000"/>
          <w:szCs w:val="22"/>
        </w:rPr>
      </w:pPr>
      <w:r>
        <w:rPr>
          <w:rFonts w:cs="Calibri"/>
          <w:color w:val="000000"/>
          <w:szCs w:val="22"/>
        </w:rPr>
        <w:t>Diese</w:t>
      </w:r>
      <w:r w:rsidR="00B82627">
        <w:rPr>
          <w:rFonts w:cs="Calibri"/>
          <w:color w:val="000000"/>
          <w:szCs w:val="22"/>
        </w:rPr>
        <w:t xml:space="preserve">s Phänomen </w:t>
      </w:r>
      <w:r>
        <w:rPr>
          <w:rFonts w:cs="Calibri"/>
          <w:color w:val="000000"/>
          <w:szCs w:val="22"/>
        </w:rPr>
        <w:t>stütz</w:t>
      </w:r>
      <w:r w:rsidR="00B82627">
        <w:rPr>
          <w:rFonts w:cs="Calibri"/>
          <w:color w:val="000000"/>
          <w:szCs w:val="22"/>
        </w:rPr>
        <w:t>t</w:t>
      </w:r>
      <w:r>
        <w:rPr>
          <w:rFonts w:cs="Calibri"/>
          <w:color w:val="000000"/>
          <w:szCs w:val="22"/>
        </w:rPr>
        <w:t xml:space="preserve"> die These, dass die Verbreitung des Konsums von Marihuana auch unter Jugendlichen und </w:t>
      </w:r>
      <w:r w:rsidR="00B82627">
        <w:rPr>
          <w:rFonts w:cs="Calibri"/>
          <w:color w:val="000000"/>
          <w:szCs w:val="22"/>
        </w:rPr>
        <w:t>junge Erwachsene</w:t>
      </w:r>
      <w:r>
        <w:rPr>
          <w:rFonts w:cs="Calibri"/>
          <w:color w:val="000000"/>
          <w:szCs w:val="22"/>
        </w:rPr>
        <w:t xml:space="preserve"> weniger von der Verfügbarkeit dieser Substanz beeinflusst wird, sondern </w:t>
      </w:r>
      <w:r w:rsidR="00B82627">
        <w:rPr>
          <w:rFonts w:cs="Calibri"/>
          <w:color w:val="000000"/>
          <w:szCs w:val="22"/>
        </w:rPr>
        <w:t xml:space="preserve">dafür </w:t>
      </w:r>
      <w:r>
        <w:rPr>
          <w:rFonts w:cs="Calibri"/>
          <w:color w:val="000000"/>
          <w:szCs w:val="22"/>
        </w:rPr>
        <w:t>andere Erklärungsbündel in den Blick zu ne</w:t>
      </w:r>
      <w:r>
        <w:rPr>
          <w:rFonts w:cs="Calibri"/>
          <w:color w:val="000000"/>
          <w:szCs w:val="22"/>
        </w:rPr>
        <w:t>h</w:t>
      </w:r>
      <w:r>
        <w:rPr>
          <w:rFonts w:cs="Calibri"/>
          <w:color w:val="000000"/>
          <w:szCs w:val="22"/>
        </w:rPr>
        <w:t xml:space="preserve">men sind. </w:t>
      </w:r>
    </w:p>
    <w:p w14:paraId="179FCE4E" w14:textId="77777777" w:rsidR="00642089" w:rsidRDefault="00642089" w:rsidP="00642089">
      <w:pPr>
        <w:pStyle w:val="Listenabsatz"/>
        <w:spacing w:line="276" w:lineRule="auto"/>
        <w:jc w:val="both"/>
        <w:rPr>
          <w:szCs w:val="22"/>
        </w:rPr>
      </w:pPr>
    </w:p>
    <w:p w14:paraId="0B8D7911" w14:textId="77777777" w:rsidR="00E01335" w:rsidRDefault="00E01335" w:rsidP="001E7306">
      <w:pPr>
        <w:pStyle w:val="Listenabsatz"/>
        <w:keepNext/>
        <w:spacing w:line="276" w:lineRule="auto"/>
        <w:ind w:hanging="436"/>
        <w:jc w:val="both"/>
      </w:pPr>
      <w:r>
        <w:rPr>
          <w:noProof/>
        </w:rPr>
        <w:drawing>
          <wp:inline distT="0" distB="0" distL="0" distR="0" wp14:anchorId="36E3A7FE" wp14:editId="7BE12697">
            <wp:extent cx="5453995" cy="3424840"/>
            <wp:effectExtent l="25400" t="25400" r="33020" b="2984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15 um 13.50.41.png"/>
                    <pic:cNvPicPr/>
                  </pic:nvPicPr>
                  <pic:blipFill>
                    <a:blip r:embed="rId58">
                      <a:extLst>
                        <a:ext uri="{28A0092B-C50C-407E-A947-70E740481C1C}">
                          <a14:useLocalDpi xmlns:a14="http://schemas.microsoft.com/office/drawing/2010/main" val="0"/>
                        </a:ext>
                      </a:extLst>
                    </a:blip>
                    <a:stretch>
                      <a:fillRect/>
                    </a:stretch>
                  </pic:blipFill>
                  <pic:spPr>
                    <a:xfrm>
                      <a:off x="0" y="0"/>
                      <a:ext cx="5454555" cy="3425192"/>
                    </a:xfrm>
                    <a:prstGeom prst="rect">
                      <a:avLst/>
                    </a:prstGeom>
                    <a:ln>
                      <a:solidFill>
                        <a:srgbClr val="000000"/>
                      </a:solidFill>
                    </a:ln>
                  </pic:spPr>
                </pic:pic>
              </a:graphicData>
            </a:graphic>
          </wp:inline>
        </w:drawing>
      </w:r>
    </w:p>
    <w:p w14:paraId="348181FF" w14:textId="7C941DA8" w:rsidR="00E01335" w:rsidRDefault="00E01335" w:rsidP="00E01335">
      <w:pPr>
        <w:pStyle w:val="Beschriftung"/>
        <w:spacing w:line="276" w:lineRule="auto"/>
        <w:jc w:val="both"/>
      </w:pPr>
      <w:r>
        <w:t xml:space="preserve">Abbildung </w:t>
      </w:r>
      <w:fldSimple w:instr=" SEQ Abbildung \* ARABIC ">
        <w:r w:rsidR="00B86830">
          <w:rPr>
            <w:noProof/>
          </w:rPr>
          <w:t>15</w:t>
        </w:r>
      </w:fldSimple>
      <w:r>
        <w:t xml:space="preserve">: Entwicklung der </w:t>
      </w:r>
      <w:r w:rsidR="00054178">
        <w:t>30-Tages-Prävalenzraten</w:t>
      </w:r>
      <w:r>
        <w:t xml:space="preserve"> verschiedener Substanzen unter Jugendlichen Colorados (SAMHSA 2015)</w:t>
      </w:r>
    </w:p>
    <w:p w14:paraId="6FF59D57" w14:textId="51AAC158" w:rsidR="00D978F0" w:rsidRDefault="00D978F0" w:rsidP="00BD103A">
      <w:pPr>
        <w:pStyle w:val="berschrift3"/>
      </w:pPr>
      <w:bookmarkStart w:id="34" w:name="_Toc349300363"/>
      <w:r>
        <w:t xml:space="preserve">Jugendliche Risikobeurteilungen eines Marihuana-Konsums </w:t>
      </w:r>
      <w:r w:rsidR="00B82627">
        <w:t>„E</w:t>
      </w:r>
      <w:r>
        <w:t>in Mal im Monat</w:t>
      </w:r>
      <w:r w:rsidR="00B82627">
        <w:t>“</w:t>
      </w:r>
      <w:bookmarkEnd w:id="34"/>
      <w:r>
        <w:t xml:space="preserve"> </w:t>
      </w:r>
    </w:p>
    <w:p w14:paraId="3CA21342" w14:textId="0ABA7F92" w:rsidR="00D978F0" w:rsidRDefault="00D978F0" w:rsidP="009D7629">
      <w:pPr>
        <w:spacing w:line="276" w:lineRule="auto"/>
        <w:jc w:val="both"/>
      </w:pPr>
      <w:r w:rsidRPr="001227E1">
        <w:t>Mit den drogenpolitischen Veränderungen offensichtlich deutlich</w:t>
      </w:r>
      <w:r>
        <w:t>er</w:t>
      </w:r>
      <w:r w:rsidRPr="001227E1">
        <w:t xml:space="preserve"> in Zusammenhang st</w:t>
      </w:r>
      <w:r w:rsidR="00BD103A">
        <w:t>ehen Risikobeurteilungen, die im</w:t>
      </w:r>
      <w:r w:rsidRPr="001227E1">
        <w:t xml:space="preserve"> </w:t>
      </w:r>
      <w:r w:rsidR="00BD103A" w:rsidRPr="00BD103A">
        <w:rPr>
          <w:rFonts w:cs="Calibri"/>
          <w:i/>
          <w:color w:val="000000"/>
        </w:rPr>
        <w:t>Nationalen Survey on Drug Use and Health</w:t>
      </w:r>
      <w:r w:rsidR="00BD103A" w:rsidRPr="00ED7E30">
        <w:rPr>
          <w:rFonts w:cs="Calibri"/>
          <w:color w:val="000000"/>
        </w:rPr>
        <w:t xml:space="preserve"> </w:t>
      </w:r>
      <w:r w:rsidRPr="001227E1">
        <w:t>als „Großes Risiko e</w:t>
      </w:r>
      <w:r w:rsidRPr="001227E1">
        <w:t>i</w:t>
      </w:r>
      <w:r w:rsidR="00D67419">
        <w:t>nes Marihuana-K</w:t>
      </w:r>
      <w:r w:rsidRPr="001227E1">
        <w:t>onsums ein Mal pro Monat“ abgefragt werden. Diese sind in den USA insg</w:t>
      </w:r>
      <w:r w:rsidRPr="001227E1">
        <w:t>e</w:t>
      </w:r>
      <w:r w:rsidRPr="001227E1">
        <w:t xml:space="preserve">samt seit 2006 kontinuierlich gefallen. </w:t>
      </w:r>
      <w:r w:rsidR="00B82627">
        <w:t>A</w:t>
      </w:r>
      <w:r w:rsidR="00B82627" w:rsidRPr="001227E1">
        <w:t xml:space="preserve">llerdings wurde </w:t>
      </w:r>
      <w:r w:rsidR="00B82627">
        <w:t>im</w:t>
      </w:r>
      <w:r w:rsidR="00B82627" w:rsidRPr="001227E1">
        <w:t xml:space="preserve"> Bundesstaat </w:t>
      </w:r>
      <w:r w:rsidRPr="001227E1">
        <w:t>Colorado diese</w:t>
      </w:r>
      <w:r w:rsidR="00B82627">
        <w:t xml:space="preserve">r </w:t>
      </w:r>
      <w:r w:rsidRPr="001227E1">
        <w:t>M</w:t>
      </w:r>
      <w:r w:rsidRPr="001227E1">
        <w:t>a</w:t>
      </w:r>
      <w:r w:rsidRPr="001227E1">
        <w:t>rihuana</w:t>
      </w:r>
      <w:r w:rsidR="00EF7E04">
        <w:t>-K</w:t>
      </w:r>
      <w:r w:rsidR="00B82627">
        <w:t>onsum</w:t>
      </w:r>
      <w:r w:rsidRPr="001227E1">
        <w:t xml:space="preserve"> schon seit 2006 mit 5-6 Prozentpunkten </w:t>
      </w:r>
      <w:r w:rsidR="00B82627">
        <w:t xml:space="preserve">weniger </w:t>
      </w:r>
      <w:r w:rsidR="00BD103A">
        <w:t xml:space="preserve">als </w:t>
      </w:r>
      <w:r w:rsidRPr="001227E1">
        <w:t xml:space="preserve">riskant beurteilt als im nationalen Durchschnitt. 2014 und damit ein Jahr nach </w:t>
      </w:r>
      <w:r w:rsidR="00150F77">
        <w:t xml:space="preserve">Beginn </w:t>
      </w:r>
      <w:r w:rsidRPr="001227E1">
        <w:t xml:space="preserve">der </w:t>
      </w:r>
      <w:r w:rsidR="00D01097">
        <w:t>Regulierung</w:t>
      </w:r>
      <w:r w:rsidR="00150F77">
        <w:t>sprozesse</w:t>
      </w:r>
      <w:r w:rsidRPr="001227E1">
        <w:t xml:space="preserve"> </w:t>
      </w:r>
      <w:r w:rsidR="00B82627">
        <w:t>waren</w:t>
      </w:r>
      <w:r w:rsidRPr="001227E1">
        <w:t xml:space="preserve"> diese Risikoeinschätzungen </w:t>
      </w:r>
      <w:r>
        <w:t>nochmals</w:t>
      </w:r>
      <w:r w:rsidRPr="001227E1">
        <w:t xml:space="preserve"> </w:t>
      </w:r>
      <w:r>
        <w:t xml:space="preserve">(aber nicht </w:t>
      </w:r>
      <w:r w:rsidRPr="001227E1">
        <w:t>signifikant</w:t>
      </w:r>
      <w:r>
        <w:t>)</w:t>
      </w:r>
      <w:r w:rsidRPr="001227E1">
        <w:t xml:space="preserve"> </w:t>
      </w:r>
      <w:r w:rsidRPr="00EF7E04">
        <w:t xml:space="preserve">niedriger als in </w:t>
      </w:r>
      <w:r w:rsidR="00B82627">
        <w:t>den</w:t>
      </w:r>
      <w:r w:rsidRPr="00EF7E04">
        <w:t xml:space="preserve"> Vo</w:t>
      </w:r>
      <w:r w:rsidRPr="00EF7E04">
        <w:t>r</w:t>
      </w:r>
      <w:r w:rsidRPr="00EF7E04">
        <w:t>jahren (vgl. Abbildung</w:t>
      </w:r>
      <w:r w:rsidR="00EF7E04" w:rsidRPr="00EF7E04">
        <w:t xml:space="preserve"> 16</w:t>
      </w:r>
      <w:r w:rsidRPr="00EF7E04">
        <w:t>).</w:t>
      </w:r>
    </w:p>
    <w:p w14:paraId="13C90E27" w14:textId="77777777" w:rsidR="00B82627" w:rsidRPr="004409C7" w:rsidRDefault="00B82627" w:rsidP="00B82627">
      <w:pPr>
        <w:pStyle w:val="berschrift3"/>
        <w:numPr>
          <w:ilvl w:val="2"/>
          <w:numId w:val="33"/>
        </w:numPr>
      </w:pPr>
      <w:bookmarkStart w:id="35" w:name="_Toc349300364"/>
      <w:r w:rsidRPr="004409C7">
        <w:t>Störungen in der Ausbildung von Jugendlichen</w:t>
      </w:r>
      <w:bookmarkEnd w:id="35"/>
    </w:p>
    <w:p w14:paraId="228BA8EA" w14:textId="225B8220" w:rsidR="00B82627" w:rsidRDefault="00B82627" w:rsidP="00B82627">
      <w:pPr>
        <w:spacing w:line="276" w:lineRule="auto"/>
        <w:jc w:val="both"/>
        <w:rPr>
          <w:szCs w:val="22"/>
        </w:rPr>
      </w:pPr>
      <w:r w:rsidRPr="00B47E34">
        <w:rPr>
          <w:szCs w:val="22"/>
        </w:rPr>
        <w:t xml:space="preserve">Daten </w:t>
      </w:r>
      <w:r>
        <w:rPr>
          <w:szCs w:val="22"/>
        </w:rPr>
        <w:t>zu</w:t>
      </w:r>
      <w:r w:rsidRPr="00B47E34">
        <w:rPr>
          <w:szCs w:val="22"/>
        </w:rPr>
        <w:t xml:space="preserve"> temporären Schulausschlüssen</w:t>
      </w:r>
      <w:r>
        <w:rPr>
          <w:szCs w:val="22"/>
        </w:rPr>
        <w:t>,</w:t>
      </w:r>
      <w:r w:rsidRPr="00B47E34">
        <w:rPr>
          <w:szCs w:val="22"/>
        </w:rPr>
        <w:t xml:space="preserve"> Schulverweisen sowie zu Meldungen von Straftaten von Schülern an die Polizei werden du</w:t>
      </w:r>
      <w:r>
        <w:rPr>
          <w:szCs w:val="22"/>
        </w:rPr>
        <w:t>rch das Colorado Department of E</w:t>
      </w:r>
      <w:r w:rsidRPr="00B47E34">
        <w:rPr>
          <w:szCs w:val="22"/>
        </w:rPr>
        <w:t xml:space="preserve">ducation </w:t>
      </w:r>
      <w:r>
        <w:rPr>
          <w:szCs w:val="22"/>
        </w:rPr>
        <w:t xml:space="preserve">bereits seit </w:t>
      </w:r>
      <w:r w:rsidRPr="00B47E34">
        <w:rPr>
          <w:szCs w:val="22"/>
        </w:rPr>
        <w:t xml:space="preserve">über zehn Jahre in Form der </w:t>
      </w:r>
      <w:r>
        <w:t xml:space="preserve">Suspension/Expulsion </w:t>
      </w:r>
      <w:r w:rsidRPr="00B47E34">
        <w:t xml:space="preserve">Statistics </w:t>
      </w:r>
      <w:r w:rsidRPr="00B47E34">
        <w:rPr>
          <w:szCs w:val="22"/>
        </w:rPr>
        <w:t xml:space="preserve">gesammelt (vgl. </w:t>
      </w:r>
      <w:hyperlink r:id="rId59" w:history="1">
        <w:r w:rsidRPr="001E0A7B">
          <w:rPr>
            <w:rStyle w:val="Link"/>
            <w:color w:val="auto"/>
            <w:szCs w:val="22"/>
          </w:rPr>
          <w:t>https://www.cde.state.co.us/cdereval/suspend-expelcurrent</w:t>
        </w:r>
      </w:hyperlink>
      <w:r w:rsidRPr="001E0A7B">
        <w:rPr>
          <w:szCs w:val="22"/>
        </w:rPr>
        <w:t>).</w:t>
      </w:r>
      <w:r>
        <w:rPr>
          <w:szCs w:val="22"/>
        </w:rPr>
        <w:t xml:space="preserve"> </w:t>
      </w:r>
      <w:r w:rsidRPr="00B47E34">
        <w:rPr>
          <w:szCs w:val="22"/>
        </w:rPr>
        <w:t>Daraus könnte sich die Cha</w:t>
      </w:r>
      <w:r w:rsidRPr="00B47E34">
        <w:rPr>
          <w:szCs w:val="22"/>
        </w:rPr>
        <w:t>n</w:t>
      </w:r>
      <w:r w:rsidRPr="00B47E34">
        <w:rPr>
          <w:szCs w:val="22"/>
        </w:rPr>
        <w:t xml:space="preserve">ce ergeben, Langzeitentwicklungen in den Delikten </w:t>
      </w:r>
      <w:r>
        <w:rPr>
          <w:szCs w:val="22"/>
        </w:rPr>
        <w:t>aufzuzeigen</w:t>
      </w:r>
      <w:r w:rsidRPr="00B47E34">
        <w:rPr>
          <w:szCs w:val="22"/>
        </w:rPr>
        <w:t>, die zu Anlässen für diese diszipli</w:t>
      </w:r>
      <w:r>
        <w:rPr>
          <w:szCs w:val="22"/>
        </w:rPr>
        <w:t>narischen Maßnahmen we</w:t>
      </w:r>
      <w:r w:rsidRPr="00B47E34">
        <w:rPr>
          <w:szCs w:val="22"/>
        </w:rPr>
        <w:t xml:space="preserve">rden. </w:t>
      </w:r>
      <w:r>
        <w:rPr>
          <w:szCs w:val="22"/>
        </w:rPr>
        <w:t>Es überrascht allerdings</w:t>
      </w:r>
      <w:r w:rsidRPr="00B47E34">
        <w:rPr>
          <w:szCs w:val="22"/>
        </w:rPr>
        <w:t xml:space="preserve">, dass </w:t>
      </w:r>
      <w:r>
        <w:rPr>
          <w:szCs w:val="22"/>
        </w:rPr>
        <w:t xml:space="preserve">in den Statistiken </w:t>
      </w:r>
      <w:r w:rsidRPr="00B47E34">
        <w:rPr>
          <w:szCs w:val="22"/>
        </w:rPr>
        <w:t>seit mehr als zehn Jahren das Delikt „Drug</w:t>
      </w:r>
      <w:r w:rsidRPr="00B47E34">
        <w:rPr>
          <w:rFonts w:cs="Tahoma"/>
          <w:color w:val="000000"/>
        </w:rPr>
        <w:t xml:space="preserve"> violations“ ausgewiesen wird, allerdings erst seit 2015 </w:t>
      </w:r>
      <w:r>
        <w:rPr>
          <w:rFonts w:cs="Tahoma"/>
          <w:color w:val="000000"/>
        </w:rPr>
        <w:t xml:space="preserve">durch </w:t>
      </w:r>
      <w:r w:rsidRPr="00B47E34">
        <w:rPr>
          <w:rFonts w:cs="Tahoma"/>
          <w:color w:val="000000"/>
        </w:rPr>
        <w:t>das Delikt „Marijuana violations“</w:t>
      </w:r>
      <w:r>
        <w:rPr>
          <w:rFonts w:cs="Tahoma"/>
          <w:color w:val="000000"/>
        </w:rPr>
        <w:t xml:space="preserve"> weiter differenziert wird.</w:t>
      </w:r>
      <w:r w:rsidRPr="00B47E34">
        <w:rPr>
          <w:rFonts w:cs="Tahoma"/>
          <w:color w:val="000000"/>
        </w:rPr>
        <w:t xml:space="preserve"> Diese </w:t>
      </w:r>
      <w:r>
        <w:rPr>
          <w:rFonts w:cs="Tahoma"/>
          <w:color w:val="000000"/>
        </w:rPr>
        <w:t>Änderung in der</w:t>
      </w:r>
      <w:r w:rsidRPr="00B47E34">
        <w:rPr>
          <w:rFonts w:cs="Tahoma"/>
          <w:color w:val="000000"/>
        </w:rPr>
        <w:t xml:space="preserve"> st</w:t>
      </w:r>
      <w:r w:rsidRPr="00B47E34">
        <w:rPr>
          <w:rFonts w:cs="Tahoma"/>
          <w:color w:val="000000"/>
        </w:rPr>
        <w:t>a</w:t>
      </w:r>
      <w:r w:rsidRPr="00B47E34">
        <w:rPr>
          <w:rFonts w:cs="Tahoma"/>
          <w:color w:val="000000"/>
        </w:rPr>
        <w:t>tistische</w:t>
      </w:r>
      <w:r>
        <w:rPr>
          <w:rFonts w:cs="Tahoma"/>
          <w:color w:val="000000"/>
        </w:rPr>
        <w:t>n</w:t>
      </w:r>
      <w:r w:rsidRPr="00B47E34">
        <w:rPr>
          <w:rFonts w:cs="Tahoma"/>
          <w:color w:val="000000"/>
        </w:rPr>
        <w:t xml:space="preserve"> Erfassung führt dazu, dass sich die Gesamtzahl der allgemein</w:t>
      </w:r>
      <w:r>
        <w:rPr>
          <w:rFonts w:cs="Tahoma"/>
          <w:color w:val="000000"/>
        </w:rPr>
        <w:t>en</w:t>
      </w:r>
      <w:r w:rsidRPr="00B47E34">
        <w:rPr>
          <w:rFonts w:cs="Tahoma"/>
          <w:color w:val="000000"/>
        </w:rPr>
        <w:t xml:space="preserve"> Drogendelikte </w:t>
      </w:r>
      <w:r>
        <w:rPr>
          <w:rFonts w:cs="Tahoma"/>
          <w:color w:val="000000"/>
        </w:rPr>
        <w:t xml:space="preserve">drastisch </w:t>
      </w:r>
      <w:r w:rsidRPr="00B47E34">
        <w:rPr>
          <w:rFonts w:cs="Tahoma"/>
          <w:color w:val="000000"/>
        </w:rPr>
        <w:t xml:space="preserve">verringert, dafür </w:t>
      </w:r>
      <w:r>
        <w:rPr>
          <w:rFonts w:cs="Tahoma"/>
          <w:color w:val="000000"/>
        </w:rPr>
        <w:t xml:space="preserve">aber </w:t>
      </w:r>
      <w:r w:rsidRPr="00B47E34">
        <w:rPr>
          <w:rFonts w:cs="Tahoma"/>
          <w:color w:val="000000"/>
        </w:rPr>
        <w:t xml:space="preserve">ein </w:t>
      </w:r>
      <w:r>
        <w:rPr>
          <w:rFonts w:cs="Tahoma"/>
          <w:color w:val="000000"/>
        </w:rPr>
        <w:t>sprunghafter Anstieg in den</w:t>
      </w:r>
      <w:r w:rsidRPr="00B47E34">
        <w:rPr>
          <w:rFonts w:cs="Tahoma"/>
          <w:color w:val="000000"/>
        </w:rPr>
        <w:t xml:space="preserve"> temporä</w:t>
      </w:r>
      <w:r>
        <w:rPr>
          <w:rFonts w:cs="Tahoma"/>
          <w:color w:val="000000"/>
        </w:rPr>
        <w:t>ren</w:t>
      </w:r>
      <w:r w:rsidRPr="00B47E34">
        <w:rPr>
          <w:rFonts w:cs="Tahoma"/>
          <w:color w:val="000000"/>
        </w:rPr>
        <w:t xml:space="preserve"> Schulverwei</w:t>
      </w:r>
      <w:r>
        <w:rPr>
          <w:rFonts w:cs="Tahoma"/>
          <w:color w:val="000000"/>
        </w:rPr>
        <w:t>sen</w:t>
      </w:r>
      <w:r w:rsidRPr="00B47E34">
        <w:rPr>
          <w:rFonts w:cs="Tahoma"/>
          <w:color w:val="000000"/>
        </w:rPr>
        <w:t>, Sch</w:t>
      </w:r>
      <w:r>
        <w:rPr>
          <w:rFonts w:cs="Tahoma"/>
          <w:color w:val="000000"/>
        </w:rPr>
        <w:t>ulausschlüssen</w:t>
      </w:r>
      <w:r w:rsidRPr="00B47E34">
        <w:rPr>
          <w:rFonts w:cs="Tahoma"/>
          <w:color w:val="000000"/>
        </w:rPr>
        <w:t xml:space="preserve"> und Meldungen an die Polizei </w:t>
      </w:r>
      <w:r>
        <w:rPr>
          <w:rFonts w:cs="Tahoma"/>
          <w:color w:val="000000"/>
        </w:rPr>
        <w:t xml:space="preserve">in Zusammenhang mit Marihuana </w:t>
      </w:r>
      <w:r w:rsidRPr="00B47E34">
        <w:rPr>
          <w:rFonts w:cs="Tahoma"/>
          <w:color w:val="000000"/>
        </w:rPr>
        <w:t>ausg</w:t>
      </w:r>
      <w:r w:rsidRPr="00B47E34">
        <w:rPr>
          <w:rFonts w:cs="Tahoma"/>
          <w:color w:val="000000"/>
        </w:rPr>
        <w:t>e</w:t>
      </w:r>
      <w:r w:rsidRPr="00B47E34">
        <w:rPr>
          <w:rFonts w:cs="Tahoma"/>
          <w:color w:val="000000"/>
        </w:rPr>
        <w:t xml:space="preserve">wiesen wird </w:t>
      </w:r>
      <w:r>
        <w:rPr>
          <w:rFonts w:cs="Tahoma"/>
          <w:color w:val="000000"/>
        </w:rPr>
        <w:t>(vgl. Abbildung 17)</w:t>
      </w:r>
      <w:r w:rsidRPr="00B47E34">
        <w:rPr>
          <w:rFonts w:cs="Tahoma"/>
          <w:color w:val="000000"/>
        </w:rPr>
        <w:t>(vgl. 10-Year Trend Data: Colorado State Suspension and Expulsion Incidents</w:t>
      </w:r>
      <w:r>
        <w:rPr>
          <w:rFonts w:cs="Tahoma"/>
          <w:color w:val="000000"/>
        </w:rPr>
        <w:t xml:space="preserve"> 2015-16</w:t>
      </w:r>
      <w:r w:rsidRPr="00B47E34">
        <w:rPr>
          <w:rFonts w:cs="Tahoma"/>
          <w:color w:val="000000"/>
        </w:rPr>
        <w:t xml:space="preserve">). </w:t>
      </w:r>
    </w:p>
    <w:p w14:paraId="2330A04C" w14:textId="77777777" w:rsidR="00B82627" w:rsidRPr="00D43937" w:rsidRDefault="00B82627" w:rsidP="00B82627">
      <w:pPr>
        <w:spacing w:line="276" w:lineRule="auto"/>
        <w:jc w:val="both"/>
        <w:rPr>
          <w:szCs w:val="22"/>
        </w:rPr>
      </w:pPr>
    </w:p>
    <w:p w14:paraId="135B5276" w14:textId="77777777" w:rsidR="00150F77" w:rsidRPr="00EF7E04" w:rsidRDefault="00150F77" w:rsidP="009D7629">
      <w:pPr>
        <w:spacing w:line="276" w:lineRule="auto"/>
        <w:jc w:val="both"/>
      </w:pPr>
    </w:p>
    <w:p w14:paraId="729FB73B" w14:textId="77777777" w:rsidR="00EF7E04" w:rsidRDefault="00EF7E04" w:rsidP="001E7306">
      <w:pPr>
        <w:keepNext/>
        <w:spacing w:line="276" w:lineRule="auto"/>
        <w:ind w:firstLine="142"/>
        <w:jc w:val="both"/>
      </w:pPr>
      <w:r>
        <w:rPr>
          <w:b/>
          <w:noProof/>
          <w:szCs w:val="22"/>
        </w:rPr>
        <w:drawing>
          <wp:inline distT="0" distB="0" distL="0" distR="0" wp14:anchorId="50113235" wp14:editId="32BD1B4C">
            <wp:extent cx="5314458" cy="3192426"/>
            <wp:effectExtent l="25400" t="25400" r="19685" b="336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15 um 13.55.19.png"/>
                    <pic:cNvPicPr/>
                  </pic:nvPicPr>
                  <pic:blipFill>
                    <a:blip r:embed="rId60">
                      <a:extLst>
                        <a:ext uri="{28A0092B-C50C-407E-A947-70E740481C1C}">
                          <a14:useLocalDpi xmlns:a14="http://schemas.microsoft.com/office/drawing/2010/main" val="0"/>
                        </a:ext>
                      </a:extLst>
                    </a:blip>
                    <a:stretch>
                      <a:fillRect/>
                    </a:stretch>
                  </pic:blipFill>
                  <pic:spPr>
                    <a:xfrm>
                      <a:off x="0" y="0"/>
                      <a:ext cx="5314458" cy="3192426"/>
                    </a:xfrm>
                    <a:prstGeom prst="rect">
                      <a:avLst/>
                    </a:prstGeom>
                    <a:ln>
                      <a:solidFill>
                        <a:schemeClr val="tx1"/>
                      </a:solidFill>
                    </a:ln>
                  </pic:spPr>
                </pic:pic>
              </a:graphicData>
            </a:graphic>
          </wp:inline>
        </w:drawing>
      </w:r>
    </w:p>
    <w:p w14:paraId="335BFD15" w14:textId="7043BC3F" w:rsidR="00BD103A" w:rsidRDefault="00EF7E04" w:rsidP="00BD103A">
      <w:pPr>
        <w:pStyle w:val="Beschriftung"/>
        <w:jc w:val="both"/>
        <w:rPr>
          <w:rFonts w:cs="Calibri"/>
          <w:color w:val="000000"/>
          <w:szCs w:val="22"/>
        </w:rPr>
      </w:pPr>
      <w:r w:rsidRPr="00EF7E04">
        <w:t xml:space="preserve">Abbildung </w:t>
      </w:r>
      <w:fldSimple w:instr=" SEQ Abbildung \* ARABIC ">
        <w:r w:rsidR="00B86830">
          <w:rPr>
            <w:noProof/>
          </w:rPr>
          <w:t>16</w:t>
        </w:r>
      </w:fldSimple>
      <w:r w:rsidRPr="00EF7E04">
        <w:t xml:space="preserve">: </w:t>
      </w:r>
      <w:r w:rsidRPr="00EF7E04">
        <w:rPr>
          <w:szCs w:val="22"/>
        </w:rPr>
        <w:t>Zustimmungsraten zu "Der Konsum von Marihuana einmal pro Monat ist ein großes Risiko" (</w:t>
      </w:r>
      <w:r w:rsidRPr="00EF7E04">
        <w:rPr>
          <w:rFonts w:cs="Calibri"/>
          <w:color w:val="000000"/>
          <w:szCs w:val="22"/>
        </w:rPr>
        <w:t>Substance Abuse and Mental Health Services Administration, National</w:t>
      </w:r>
      <w:r w:rsidR="00BD103A">
        <w:rPr>
          <w:rFonts w:cs="Calibri"/>
          <w:color w:val="000000"/>
          <w:szCs w:val="22"/>
        </w:rPr>
        <w:t xml:space="preserve"> Survey on Drug Use and Health –  </w:t>
      </w:r>
      <w:r w:rsidRPr="00EF7E04">
        <w:rPr>
          <w:rFonts w:cs="Calibri"/>
          <w:color w:val="000000"/>
          <w:szCs w:val="22"/>
        </w:rPr>
        <w:t>SAM</w:t>
      </w:r>
      <w:r w:rsidR="00BD103A">
        <w:rPr>
          <w:rFonts w:cs="Calibri"/>
          <w:color w:val="000000"/>
          <w:szCs w:val="22"/>
        </w:rPr>
        <w:t>HSA 2015)</w:t>
      </w:r>
    </w:p>
    <w:p w14:paraId="7D8568FA" w14:textId="31ECE07A" w:rsidR="00B82627" w:rsidRDefault="00B82627" w:rsidP="00B82627">
      <w:pPr>
        <w:spacing w:line="276" w:lineRule="auto"/>
        <w:jc w:val="both"/>
        <w:rPr>
          <w:szCs w:val="22"/>
        </w:rPr>
      </w:pPr>
      <w:r>
        <w:rPr>
          <w:rFonts w:cs="Tahoma"/>
          <w:color w:val="000000"/>
        </w:rPr>
        <w:t>Deutlich wird, dass mit diesen Änderungen in der Datenerfassung A</w:t>
      </w:r>
      <w:r w:rsidRPr="00B47E34">
        <w:rPr>
          <w:rFonts w:cs="Tahoma"/>
          <w:color w:val="000000"/>
        </w:rPr>
        <w:t xml:space="preserve">ussagen </w:t>
      </w:r>
      <w:r>
        <w:rPr>
          <w:rFonts w:cs="Tahoma"/>
          <w:color w:val="000000"/>
        </w:rPr>
        <w:t xml:space="preserve">zu </w:t>
      </w:r>
      <w:r w:rsidRPr="00B47E34">
        <w:rPr>
          <w:rFonts w:cs="Tahoma"/>
          <w:color w:val="000000"/>
        </w:rPr>
        <w:t>Prä- und Pos</w:t>
      </w:r>
      <w:r w:rsidRPr="00B47E34">
        <w:rPr>
          <w:rFonts w:cs="Tahoma"/>
          <w:color w:val="000000"/>
        </w:rPr>
        <w:t>t</w:t>
      </w:r>
      <w:r>
        <w:rPr>
          <w:rFonts w:cs="Tahoma"/>
          <w:color w:val="000000"/>
        </w:rPr>
        <w:t xml:space="preserve">regulierung </w:t>
      </w:r>
      <w:r w:rsidRPr="00B47E34">
        <w:rPr>
          <w:rFonts w:cs="Tahoma"/>
          <w:color w:val="000000"/>
        </w:rPr>
        <w:t>für diesen Bereich nicht möglich</w:t>
      </w:r>
      <w:r w:rsidRPr="00D670E5">
        <w:rPr>
          <w:rFonts w:cs="Tahoma"/>
          <w:color w:val="000000"/>
        </w:rPr>
        <w:t xml:space="preserve"> </w:t>
      </w:r>
      <w:r w:rsidRPr="00B47E34">
        <w:rPr>
          <w:rFonts w:cs="Tahoma"/>
          <w:color w:val="000000"/>
        </w:rPr>
        <w:t>sind</w:t>
      </w:r>
      <w:r>
        <w:rPr>
          <w:rFonts w:cs="Tahoma"/>
          <w:color w:val="000000"/>
        </w:rPr>
        <w:t>. Interpretationen dieser Entwicklungen müssen deshalb ausgesprochen zurückhaltend bleiben</w:t>
      </w:r>
      <w:r w:rsidRPr="00B47E34">
        <w:rPr>
          <w:rFonts w:cs="Tahoma"/>
          <w:color w:val="000000"/>
        </w:rPr>
        <w:t>.</w:t>
      </w:r>
    </w:p>
    <w:p w14:paraId="3C0A9867" w14:textId="77777777" w:rsidR="00B82627" w:rsidRPr="00B82627" w:rsidRDefault="00B82627" w:rsidP="00B82627"/>
    <w:p w14:paraId="3F5E91FB" w14:textId="597CC483" w:rsidR="00EF7E04" w:rsidRDefault="00EF7E04" w:rsidP="00EF7E04">
      <w:pPr>
        <w:keepNext/>
        <w:spacing w:line="276" w:lineRule="auto"/>
        <w:jc w:val="both"/>
      </w:pPr>
      <w:r>
        <w:rPr>
          <w:noProof/>
        </w:rPr>
        <w:drawing>
          <wp:inline distT="0" distB="0" distL="0" distR="0" wp14:anchorId="7A3C25DD" wp14:editId="144CB05D">
            <wp:extent cx="5685647" cy="2743200"/>
            <wp:effectExtent l="0" t="0" r="29845" b="25400"/>
            <wp:docPr id="52" name="Diagram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AB69CC0" w14:textId="62EF81CD" w:rsidR="00D978F0" w:rsidRPr="00EF7E04" w:rsidRDefault="00EF7E04" w:rsidP="00EF7E04">
      <w:pPr>
        <w:pStyle w:val="Beschriftung"/>
        <w:jc w:val="both"/>
        <w:rPr>
          <w:rFonts w:cs="Tahoma"/>
          <w:color w:val="000000"/>
        </w:rPr>
      </w:pPr>
      <w:r w:rsidRPr="00EF7E04">
        <w:t xml:space="preserve">Abbildung </w:t>
      </w:r>
      <w:fldSimple w:instr=" SEQ Abbildung \* ARABIC ">
        <w:r w:rsidR="00B86830">
          <w:rPr>
            <w:noProof/>
          </w:rPr>
          <w:t>17</w:t>
        </w:r>
      </w:fldSimple>
      <w:r w:rsidRPr="00EF7E04">
        <w:t>: Temporäre Schul</w:t>
      </w:r>
      <w:r w:rsidR="001E0A7B">
        <w:t>ausschlüsse</w:t>
      </w:r>
      <w:r w:rsidRPr="00EF7E04">
        <w:t xml:space="preserve"> in Colorado für Drogendelikte allgemein und für Marihuana speziell </w:t>
      </w:r>
      <w:r w:rsidR="001E0A7B">
        <w:rPr>
          <w:rFonts w:cs="Tahoma"/>
        </w:rPr>
        <w:t>(vgl. Colorado Department of E</w:t>
      </w:r>
      <w:r w:rsidRPr="00EF7E04">
        <w:rPr>
          <w:rFonts w:cs="Tahoma"/>
        </w:rPr>
        <w:t>ducation 2016)</w:t>
      </w:r>
    </w:p>
    <w:p w14:paraId="0B62992E" w14:textId="4CE016F9" w:rsidR="00EF7E04" w:rsidRDefault="00B82627" w:rsidP="009D7629">
      <w:pPr>
        <w:spacing w:line="276" w:lineRule="auto"/>
        <w:jc w:val="both"/>
        <w:rPr>
          <w:rFonts w:cs="Tahoma"/>
          <w:color w:val="000000"/>
        </w:rPr>
      </w:pPr>
      <w:r>
        <w:rPr>
          <w:rFonts w:cs="Tahoma"/>
          <w:color w:val="000000"/>
        </w:rPr>
        <w:t>Für die</w:t>
      </w:r>
      <w:r w:rsidR="00352870">
        <w:rPr>
          <w:rFonts w:cs="Tahoma"/>
          <w:color w:val="000000"/>
        </w:rPr>
        <w:t xml:space="preserve"> Daten </w:t>
      </w:r>
      <w:r w:rsidR="00D978F0">
        <w:rPr>
          <w:rFonts w:cs="Tahoma"/>
          <w:color w:val="000000"/>
        </w:rPr>
        <w:t xml:space="preserve">ist </w:t>
      </w:r>
      <w:r w:rsidR="00352870">
        <w:rPr>
          <w:rFonts w:cs="Tahoma"/>
          <w:color w:val="000000"/>
        </w:rPr>
        <w:t>herauszuheben</w:t>
      </w:r>
      <w:r w:rsidR="00D978F0">
        <w:rPr>
          <w:rFonts w:cs="Tahoma"/>
          <w:color w:val="000000"/>
        </w:rPr>
        <w:t xml:space="preserve">, dass die Raten </w:t>
      </w:r>
      <w:r>
        <w:rPr>
          <w:rFonts w:cs="Tahoma"/>
          <w:color w:val="000000"/>
        </w:rPr>
        <w:t>temporärer</w:t>
      </w:r>
      <w:r w:rsidR="00D978F0">
        <w:rPr>
          <w:rFonts w:cs="Tahoma"/>
          <w:color w:val="000000"/>
        </w:rPr>
        <w:t xml:space="preserve"> Schulverweise genauso wie Schulausschlüsse und Überstellungen von Sc</w:t>
      </w:r>
      <w:r w:rsidR="00D43937">
        <w:rPr>
          <w:rFonts w:cs="Tahoma"/>
          <w:color w:val="000000"/>
        </w:rPr>
        <w:t>hülern an die Polizei insgesamt</w:t>
      </w:r>
      <w:r w:rsidR="00D978F0">
        <w:rPr>
          <w:rFonts w:cs="Tahoma"/>
          <w:color w:val="000000"/>
        </w:rPr>
        <w:t xml:space="preserve"> </w:t>
      </w:r>
      <w:r w:rsidR="001E0A7B">
        <w:rPr>
          <w:rFonts w:cs="Tahoma"/>
          <w:color w:val="000000"/>
        </w:rPr>
        <w:t xml:space="preserve">fast zehn Jahren </w:t>
      </w:r>
      <w:r w:rsidR="00D978F0">
        <w:rPr>
          <w:rFonts w:cs="Tahoma"/>
          <w:color w:val="000000"/>
        </w:rPr>
        <w:t>kontinuierlich abgenommen haben</w:t>
      </w:r>
      <w:r w:rsidR="001E0A7B">
        <w:rPr>
          <w:rFonts w:cs="Tahoma"/>
          <w:color w:val="000000"/>
        </w:rPr>
        <w:t>, ehe sie im Schul</w:t>
      </w:r>
      <w:r w:rsidR="00352870">
        <w:rPr>
          <w:rFonts w:cs="Tahoma"/>
          <w:color w:val="000000"/>
        </w:rPr>
        <w:t>jahr 2013-2014</w:t>
      </w:r>
      <w:r w:rsidR="001E0A7B">
        <w:rPr>
          <w:rFonts w:cs="Tahoma"/>
          <w:color w:val="000000"/>
        </w:rPr>
        <w:t xml:space="preserve"> wieder anstiegen. </w:t>
      </w:r>
    </w:p>
    <w:p w14:paraId="609B20F9" w14:textId="77777777" w:rsidR="00EF7E04" w:rsidRDefault="00EF7E04" w:rsidP="009D7629">
      <w:pPr>
        <w:spacing w:line="276" w:lineRule="auto"/>
        <w:jc w:val="both"/>
        <w:rPr>
          <w:rFonts w:cs="Tahoma"/>
          <w:color w:val="000000"/>
        </w:rPr>
      </w:pPr>
    </w:p>
    <w:p w14:paraId="1E7FEDD5" w14:textId="77777777" w:rsidR="00EF7E04" w:rsidRDefault="00EF7E04" w:rsidP="001E7306">
      <w:pPr>
        <w:keepNext/>
        <w:spacing w:line="276" w:lineRule="auto"/>
        <w:jc w:val="both"/>
      </w:pPr>
      <w:r>
        <w:rPr>
          <w:rFonts w:cs="Tahoma"/>
          <w:noProof/>
          <w:color w:val="000000"/>
        </w:rPr>
        <w:drawing>
          <wp:inline distT="0" distB="0" distL="0" distR="0" wp14:anchorId="597B8C7C" wp14:editId="7F68F908">
            <wp:extent cx="5579930" cy="2757960"/>
            <wp:effectExtent l="25400" t="25400" r="33655" b="36195"/>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09 um 14.17.08.png"/>
                    <pic:cNvPicPr/>
                  </pic:nvPicPr>
                  <pic:blipFill>
                    <a:blip r:embed="rId62">
                      <a:extLst>
                        <a:ext uri="{28A0092B-C50C-407E-A947-70E740481C1C}">
                          <a14:useLocalDpi xmlns:a14="http://schemas.microsoft.com/office/drawing/2010/main" val="0"/>
                        </a:ext>
                      </a:extLst>
                    </a:blip>
                    <a:stretch>
                      <a:fillRect/>
                    </a:stretch>
                  </pic:blipFill>
                  <pic:spPr>
                    <a:xfrm>
                      <a:off x="0" y="0"/>
                      <a:ext cx="5579930" cy="2757960"/>
                    </a:xfrm>
                    <a:prstGeom prst="rect">
                      <a:avLst/>
                    </a:prstGeom>
                    <a:ln>
                      <a:solidFill>
                        <a:srgbClr val="000000"/>
                      </a:solidFill>
                    </a:ln>
                  </pic:spPr>
                </pic:pic>
              </a:graphicData>
            </a:graphic>
          </wp:inline>
        </w:drawing>
      </w:r>
    </w:p>
    <w:p w14:paraId="2CD3B742" w14:textId="7B1A43C3" w:rsidR="00EF7E04" w:rsidRPr="00EF7E04" w:rsidRDefault="00EF7E04" w:rsidP="00EF7E04">
      <w:pPr>
        <w:pStyle w:val="Beschriftung"/>
        <w:jc w:val="both"/>
      </w:pPr>
      <w:r w:rsidRPr="00EF7E04">
        <w:t xml:space="preserve">Abbildung </w:t>
      </w:r>
      <w:fldSimple w:instr=" SEQ Abbildung \* ARABIC ">
        <w:r w:rsidR="00B86830">
          <w:rPr>
            <w:noProof/>
          </w:rPr>
          <w:t>18</w:t>
        </w:r>
      </w:fldSimple>
      <w:r w:rsidRPr="00EF7E04">
        <w:t xml:space="preserve">: </w:t>
      </w:r>
      <w:r w:rsidRPr="00EF7E04">
        <w:rPr>
          <w:rFonts w:cs="Tahoma"/>
        </w:rPr>
        <w:t>Die R</w:t>
      </w:r>
      <w:r w:rsidR="001E0A7B">
        <w:rPr>
          <w:rFonts w:cs="Tahoma"/>
        </w:rPr>
        <w:t>ate der temporären Schulausschlüsse</w:t>
      </w:r>
      <w:r w:rsidRPr="00EF7E04">
        <w:rPr>
          <w:rFonts w:cs="Tahoma"/>
        </w:rPr>
        <w:t xml:space="preserve"> insgesamt und der </w:t>
      </w:r>
      <w:r w:rsidR="001E0A7B">
        <w:rPr>
          <w:rFonts w:cs="Tahoma"/>
        </w:rPr>
        <w:t xml:space="preserve">Ausschlüsse wegen </w:t>
      </w:r>
      <w:r w:rsidRPr="00EF7E04">
        <w:rPr>
          <w:rFonts w:cs="Tahoma"/>
        </w:rPr>
        <w:t>Dr</w:t>
      </w:r>
      <w:r w:rsidRPr="00EF7E04">
        <w:rPr>
          <w:rFonts w:cs="Tahoma"/>
        </w:rPr>
        <w:t>o</w:t>
      </w:r>
      <w:r w:rsidRPr="00EF7E04">
        <w:rPr>
          <w:rFonts w:cs="Tahoma"/>
        </w:rPr>
        <w:t>gendelikte</w:t>
      </w:r>
      <w:r w:rsidR="001E0A7B">
        <w:rPr>
          <w:rFonts w:cs="Tahoma"/>
        </w:rPr>
        <w:t>n</w:t>
      </w:r>
      <w:r w:rsidRPr="00EF7E04">
        <w:rPr>
          <w:rFonts w:cs="Tahoma"/>
        </w:rPr>
        <w:t xml:space="preserve"> bezogen auf 100.000 Schüler von 2005-2015 </w:t>
      </w:r>
      <w:r w:rsidR="001E0A7B">
        <w:rPr>
          <w:rFonts w:cs="Tahoma"/>
        </w:rPr>
        <w:t xml:space="preserve">im Bundesstaat Colorado </w:t>
      </w:r>
      <w:r w:rsidRPr="00EF7E04">
        <w:rPr>
          <w:rFonts w:cs="Tahoma"/>
        </w:rPr>
        <w:t>(</w:t>
      </w:r>
      <w:r w:rsidR="007C55FB">
        <w:rPr>
          <w:rFonts w:cs="Tahoma"/>
        </w:rPr>
        <w:t>Reed, a. a. O.,</w:t>
      </w:r>
      <w:r w:rsidRPr="00EF7E04">
        <w:rPr>
          <w:rFonts w:cs="Tahoma"/>
        </w:rPr>
        <w:t xml:space="preserve"> 2016, S. 66)</w:t>
      </w:r>
    </w:p>
    <w:p w14:paraId="1863CB8E" w14:textId="4310E8DA" w:rsidR="00150F77" w:rsidRDefault="00150F77" w:rsidP="00150F77">
      <w:pPr>
        <w:spacing w:line="276" w:lineRule="auto"/>
        <w:jc w:val="both"/>
        <w:rPr>
          <w:rFonts w:cs="Tahoma"/>
          <w:color w:val="000000"/>
        </w:rPr>
      </w:pPr>
      <w:r>
        <w:rPr>
          <w:rFonts w:cs="Tahoma"/>
          <w:color w:val="000000"/>
        </w:rPr>
        <w:t xml:space="preserve">Demgegenüber stiegen die Raten temporärer Schulverweise </w:t>
      </w:r>
      <w:r w:rsidR="00B82627">
        <w:rPr>
          <w:rFonts w:cs="Tahoma"/>
          <w:color w:val="000000"/>
        </w:rPr>
        <w:t>wegen</w:t>
      </w:r>
      <w:r>
        <w:rPr>
          <w:rFonts w:cs="Tahoma"/>
          <w:color w:val="000000"/>
        </w:rPr>
        <w:t xml:space="preserve"> „Umgang</w:t>
      </w:r>
      <w:r w:rsidR="00B82627">
        <w:rPr>
          <w:rFonts w:cs="Tahoma"/>
          <w:color w:val="000000"/>
        </w:rPr>
        <w:t>s</w:t>
      </w:r>
      <w:r>
        <w:rPr>
          <w:rFonts w:cs="Tahoma"/>
          <w:color w:val="000000"/>
        </w:rPr>
        <w:t xml:space="preserve"> mit Drogen“ mehr als fünf Jahre kontinuierlich an, erreichten 2010 </w:t>
      </w:r>
      <w:r w:rsidR="00B82627">
        <w:rPr>
          <w:rFonts w:cs="Tahoma"/>
          <w:color w:val="000000"/>
        </w:rPr>
        <w:t xml:space="preserve">und 2013 </w:t>
      </w:r>
      <w:r>
        <w:rPr>
          <w:rFonts w:cs="Tahoma"/>
          <w:color w:val="000000"/>
        </w:rPr>
        <w:t xml:space="preserve">einen  gewissen Höhepunkt, um langsam wieder zu fallen. Nach Beginn des </w:t>
      </w:r>
      <w:r w:rsidR="00D01097">
        <w:rPr>
          <w:rFonts w:cs="Tahoma"/>
          <w:color w:val="000000"/>
        </w:rPr>
        <w:t>Regulierung</w:t>
      </w:r>
      <w:r>
        <w:rPr>
          <w:rFonts w:cs="Tahoma"/>
          <w:color w:val="000000"/>
        </w:rPr>
        <w:t>sp</w:t>
      </w:r>
      <w:r w:rsidR="00126EA4">
        <w:rPr>
          <w:rFonts w:cs="Tahoma"/>
          <w:color w:val="000000"/>
        </w:rPr>
        <w:t>r</w:t>
      </w:r>
      <w:r>
        <w:rPr>
          <w:rFonts w:cs="Tahoma"/>
          <w:color w:val="000000"/>
        </w:rPr>
        <w:t xml:space="preserve">ozesses im Schuljahr 2013-2014 </w:t>
      </w:r>
      <w:r w:rsidR="00B82627">
        <w:rPr>
          <w:rFonts w:cs="Tahoma"/>
          <w:color w:val="000000"/>
        </w:rPr>
        <w:t xml:space="preserve">zeichnet sich </w:t>
      </w:r>
      <w:r>
        <w:rPr>
          <w:rFonts w:cs="Tahoma"/>
          <w:color w:val="000000"/>
        </w:rPr>
        <w:t xml:space="preserve">sogar ein Rückgang in der Zahl entsprechender disziplinarischer </w:t>
      </w:r>
      <w:r w:rsidRPr="00EF7E04">
        <w:rPr>
          <w:rFonts w:cs="Tahoma"/>
        </w:rPr>
        <w:t>Ma</w:t>
      </w:r>
      <w:r w:rsidRPr="00EF7E04">
        <w:rPr>
          <w:rFonts w:cs="Tahoma"/>
        </w:rPr>
        <w:t>ß</w:t>
      </w:r>
      <w:r w:rsidRPr="00EF7E04">
        <w:rPr>
          <w:rFonts w:cs="Tahoma"/>
        </w:rPr>
        <w:t>nahmen ab</w:t>
      </w:r>
      <w:r>
        <w:rPr>
          <w:rFonts w:cs="Tahoma"/>
        </w:rPr>
        <w:t xml:space="preserve"> </w:t>
      </w:r>
      <w:r w:rsidRPr="00EF7E04">
        <w:rPr>
          <w:rFonts w:cs="Tahoma"/>
        </w:rPr>
        <w:t xml:space="preserve">(vgl. Abbildung 18)(vgl. </w:t>
      </w:r>
      <w:r w:rsidR="007C55FB">
        <w:rPr>
          <w:rFonts w:cs="Tahoma"/>
        </w:rPr>
        <w:t>Reed, a. a. O.,</w:t>
      </w:r>
      <w:r w:rsidRPr="00EF7E04">
        <w:rPr>
          <w:rFonts w:cs="Tahoma"/>
        </w:rPr>
        <w:t xml:space="preserve"> 2016, S. 66)</w:t>
      </w:r>
      <w:r>
        <w:rPr>
          <w:rFonts w:cs="Tahoma"/>
        </w:rPr>
        <w:t>. Insofern kann ausges</w:t>
      </w:r>
      <w:r w:rsidR="00126EA4">
        <w:rPr>
          <w:rFonts w:cs="Tahoma"/>
        </w:rPr>
        <w:t>chlossen werden, dass Marihuana</w:t>
      </w:r>
      <w:r>
        <w:rPr>
          <w:rFonts w:cs="Tahoma"/>
        </w:rPr>
        <w:t>-Delikte an dem Anstieg der Schulausschlüsse insgesamt beteiligt waren</w:t>
      </w:r>
      <w:r w:rsidRPr="00EF7E04">
        <w:rPr>
          <w:rFonts w:cs="Tahoma"/>
        </w:rPr>
        <w:t>.</w:t>
      </w:r>
      <w:r w:rsidRPr="00097F6D">
        <w:rPr>
          <w:rFonts w:cs="Tahoma"/>
          <w:color w:val="FF0000"/>
        </w:rPr>
        <w:t xml:space="preserve"> </w:t>
      </w:r>
    </w:p>
    <w:p w14:paraId="2AA84F1D" w14:textId="5D59428D" w:rsidR="00D978F0" w:rsidRDefault="00352870" w:rsidP="009D7629">
      <w:pPr>
        <w:spacing w:line="276" w:lineRule="auto"/>
        <w:jc w:val="both"/>
        <w:rPr>
          <w:rFonts w:cs="Tahoma"/>
          <w:color w:val="000000"/>
        </w:rPr>
      </w:pPr>
      <w:r>
        <w:rPr>
          <w:rFonts w:cs="Tahoma"/>
          <w:color w:val="000000"/>
        </w:rPr>
        <w:t xml:space="preserve">Die Gründe </w:t>
      </w:r>
      <w:r w:rsidR="00D978F0">
        <w:rPr>
          <w:rFonts w:cs="Tahoma"/>
          <w:color w:val="000000"/>
        </w:rPr>
        <w:t>für</w:t>
      </w:r>
      <w:r>
        <w:rPr>
          <w:rFonts w:cs="Tahoma"/>
          <w:color w:val="000000"/>
        </w:rPr>
        <w:t xml:space="preserve"> diese Entwicklungen in Bezug auf Drogendelikte</w:t>
      </w:r>
      <w:r w:rsidR="00D978F0">
        <w:rPr>
          <w:rFonts w:cs="Tahoma"/>
          <w:color w:val="000000"/>
        </w:rPr>
        <w:t xml:space="preserve"> sind </w:t>
      </w:r>
      <w:r w:rsidR="00B82627">
        <w:rPr>
          <w:rFonts w:cs="Tahoma"/>
          <w:color w:val="000000"/>
        </w:rPr>
        <w:t>zu klären</w:t>
      </w:r>
      <w:r w:rsidR="00D43937">
        <w:rPr>
          <w:rFonts w:cs="Tahoma"/>
          <w:color w:val="000000"/>
        </w:rPr>
        <w:t xml:space="preserve">: Sie </w:t>
      </w:r>
      <w:r w:rsidR="00D978F0">
        <w:rPr>
          <w:rFonts w:cs="Tahoma"/>
          <w:color w:val="000000"/>
        </w:rPr>
        <w:t xml:space="preserve">können sich aus einer veränderten Strafpraxis, </w:t>
      </w:r>
      <w:r w:rsidR="00B82627">
        <w:rPr>
          <w:rFonts w:cs="Tahoma"/>
          <w:color w:val="000000"/>
        </w:rPr>
        <w:t>geringer</w:t>
      </w:r>
      <w:r w:rsidR="00D978F0">
        <w:rPr>
          <w:rFonts w:cs="Tahoma"/>
          <w:color w:val="000000"/>
        </w:rPr>
        <w:t>en Konsumraten unter Schülern</w:t>
      </w:r>
      <w:r w:rsidR="00B82627">
        <w:rPr>
          <w:rFonts w:cs="Tahoma"/>
          <w:color w:val="000000"/>
        </w:rPr>
        <w:t xml:space="preserve">, </w:t>
      </w:r>
      <w:r w:rsidR="00D978F0">
        <w:rPr>
          <w:rFonts w:cs="Tahoma"/>
          <w:color w:val="000000"/>
        </w:rPr>
        <w:t>weniger Umgang mit Marihuana auf dem Schulgelände</w:t>
      </w:r>
      <w:r w:rsidR="00EF7E04">
        <w:rPr>
          <w:rFonts w:cs="Tahoma"/>
          <w:color w:val="000000"/>
        </w:rPr>
        <w:t xml:space="preserve"> </w:t>
      </w:r>
      <w:r w:rsidR="00B82627">
        <w:rPr>
          <w:rFonts w:cs="Tahoma"/>
          <w:color w:val="000000"/>
        </w:rPr>
        <w:t>und/</w:t>
      </w:r>
      <w:r w:rsidR="00D43937">
        <w:rPr>
          <w:rFonts w:cs="Tahoma"/>
          <w:color w:val="000000"/>
        </w:rPr>
        <w:t xml:space="preserve">oder weiteren sozialen Bezügen </w:t>
      </w:r>
      <w:r>
        <w:rPr>
          <w:rFonts w:cs="Tahoma"/>
          <w:color w:val="000000"/>
        </w:rPr>
        <w:t>ergeben</w:t>
      </w:r>
      <w:r w:rsidR="00D978F0">
        <w:rPr>
          <w:rFonts w:cs="Tahoma"/>
          <w:color w:val="000000"/>
        </w:rPr>
        <w:t xml:space="preserve"> (vgl. </w:t>
      </w:r>
      <w:r w:rsidR="00EF7E04">
        <w:rPr>
          <w:rFonts w:cs="Tahoma"/>
          <w:color w:val="000000"/>
        </w:rPr>
        <w:t>ebenda</w:t>
      </w:r>
      <w:r w:rsidR="00D978F0">
        <w:rPr>
          <w:rFonts w:cs="Tahoma"/>
          <w:color w:val="000000"/>
        </w:rPr>
        <w:t>, S. 67)</w:t>
      </w:r>
      <w:r w:rsidR="00EF7E04">
        <w:rPr>
          <w:rFonts w:cs="Tahoma"/>
          <w:color w:val="000000"/>
        </w:rPr>
        <w:t>.</w:t>
      </w:r>
      <w:r w:rsidR="00D978F0">
        <w:rPr>
          <w:rFonts w:cs="Tahoma"/>
          <w:color w:val="000000"/>
        </w:rPr>
        <w:t xml:space="preserve"> </w:t>
      </w:r>
    </w:p>
    <w:p w14:paraId="15EFCB74" w14:textId="77777777" w:rsidR="00D978F0" w:rsidRDefault="00D978F0" w:rsidP="009D7629">
      <w:pPr>
        <w:spacing w:line="276" w:lineRule="auto"/>
        <w:jc w:val="both"/>
        <w:rPr>
          <w:rFonts w:cs="Tahoma"/>
          <w:color w:val="000000"/>
        </w:rPr>
      </w:pPr>
    </w:p>
    <w:p w14:paraId="2B5CD24C" w14:textId="2C78DC6D" w:rsidR="00D978F0" w:rsidRDefault="00B82627" w:rsidP="009D7629">
      <w:pPr>
        <w:spacing w:line="276" w:lineRule="auto"/>
        <w:jc w:val="both"/>
        <w:rPr>
          <w:rFonts w:cs="Tahoma"/>
          <w:color w:val="000000"/>
        </w:rPr>
      </w:pPr>
      <w:r>
        <w:rPr>
          <w:rFonts w:cs="Tahoma"/>
          <w:color w:val="000000"/>
        </w:rPr>
        <w:t>Für diese neu eingeführte</w:t>
      </w:r>
      <w:r w:rsidR="00D978F0">
        <w:rPr>
          <w:rFonts w:cs="Tahoma"/>
          <w:color w:val="000000"/>
        </w:rPr>
        <w:t xml:space="preserve"> Differenzierung in allgemeine Drogen- und Marihuana-Delikte </w:t>
      </w:r>
      <w:r>
        <w:rPr>
          <w:rFonts w:cs="Tahoma"/>
          <w:color w:val="000000"/>
        </w:rPr>
        <w:t>kann hervorgehoben werden</w:t>
      </w:r>
      <w:r w:rsidR="00D978F0">
        <w:rPr>
          <w:rFonts w:cs="Tahoma"/>
          <w:color w:val="000000"/>
        </w:rPr>
        <w:t>, dass beide Deliktarten im Schuljahr 2015-16</w:t>
      </w:r>
      <w:r w:rsidR="00352870">
        <w:rPr>
          <w:rFonts w:cs="Tahoma"/>
          <w:color w:val="000000"/>
        </w:rPr>
        <w:t>, wie auch in den Schuljahren zuvor</w:t>
      </w:r>
      <w:r w:rsidR="00D978F0">
        <w:rPr>
          <w:rFonts w:cs="Tahoma"/>
          <w:color w:val="000000"/>
        </w:rPr>
        <w:t xml:space="preserve"> eine eher untergeordnete Rolle bei temporären Schul</w:t>
      </w:r>
      <w:r w:rsidR="00352870">
        <w:rPr>
          <w:rFonts w:cs="Tahoma"/>
          <w:color w:val="000000"/>
        </w:rPr>
        <w:t xml:space="preserve">ausschlüssen </w:t>
      </w:r>
      <w:r w:rsidR="00D978F0" w:rsidRPr="001E410E">
        <w:rPr>
          <w:rFonts w:cs="Tahoma"/>
        </w:rPr>
        <w:t>spielten (vgl. Abbildung</w:t>
      </w:r>
      <w:r w:rsidR="001E410E" w:rsidRPr="001E410E">
        <w:rPr>
          <w:rFonts w:cs="Tahoma"/>
        </w:rPr>
        <w:t xml:space="preserve"> 19</w:t>
      </w:r>
      <w:r w:rsidR="00D978F0" w:rsidRPr="001E410E">
        <w:rPr>
          <w:rFonts w:cs="Tahoma"/>
        </w:rPr>
        <w:t>).</w:t>
      </w:r>
      <w:r w:rsidR="00D978F0">
        <w:rPr>
          <w:rFonts w:cs="Tahoma"/>
          <w:color w:val="000000"/>
        </w:rPr>
        <w:t xml:space="preserve"> </w:t>
      </w:r>
    </w:p>
    <w:p w14:paraId="52A99416" w14:textId="72B16487" w:rsidR="00B82627" w:rsidRDefault="00B82627" w:rsidP="00B82627">
      <w:pPr>
        <w:spacing w:line="276" w:lineRule="auto"/>
        <w:jc w:val="both"/>
        <w:rPr>
          <w:rFonts w:cs="Tahoma"/>
          <w:color w:val="000000"/>
        </w:rPr>
      </w:pPr>
      <w:r>
        <w:rPr>
          <w:rFonts w:cs="Tahoma"/>
          <w:color w:val="000000"/>
        </w:rPr>
        <w:t xml:space="preserve">Auch wenn die Gesamtzahl temporärer Schulverweise wegen Umgangs mit Drogen gesunken ist, wird deutlich, dass auf Marihuana-Konsum offensichtlich weiterhin disziplinarisch eher in Form eines temporären Schulverweises reagiert wird: Dieses Delikt gehört mit 20,1 % zu den fünf Delikten, die am meisten zu einem Schulverweis geführt haben </w:t>
      </w:r>
      <w:r w:rsidRPr="001E0A7B">
        <w:rPr>
          <w:rFonts w:cs="Tahoma"/>
        </w:rPr>
        <w:t>(vgl. Abbildung</w:t>
      </w:r>
      <w:r>
        <w:rPr>
          <w:rFonts w:cs="Tahoma"/>
        </w:rPr>
        <w:t xml:space="preserve"> 19</w:t>
      </w:r>
      <w:r w:rsidRPr="001E0A7B">
        <w:rPr>
          <w:rFonts w:cs="Tahoma"/>
        </w:rPr>
        <w:t>).</w:t>
      </w:r>
      <w:r>
        <w:rPr>
          <w:rFonts w:cs="Tahoma"/>
          <w:color w:val="000000"/>
        </w:rPr>
        <w:t xml:space="preserve"> </w:t>
      </w:r>
    </w:p>
    <w:p w14:paraId="4EA2F06D" w14:textId="1934B8F2" w:rsidR="00B82627" w:rsidRDefault="00B82627" w:rsidP="00B82627">
      <w:pPr>
        <w:spacing w:line="276" w:lineRule="auto"/>
        <w:jc w:val="both"/>
        <w:rPr>
          <w:rFonts w:cs="Tahoma"/>
          <w:color w:val="000000"/>
        </w:rPr>
      </w:pPr>
      <w:r>
        <w:rPr>
          <w:rFonts w:cs="Tahoma"/>
          <w:color w:val="000000"/>
        </w:rPr>
        <w:t>Insofern kann davon ausgegangen werden, dass die vormalige Zero-Tolerance-Politik in B</w:t>
      </w:r>
      <w:r>
        <w:rPr>
          <w:rFonts w:cs="Tahoma"/>
          <w:color w:val="000000"/>
        </w:rPr>
        <w:t>e</w:t>
      </w:r>
      <w:r>
        <w:rPr>
          <w:rFonts w:cs="Tahoma"/>
          <w:color w:val="000000"/>
        </w:rPr>
        <w:t>zug auf den Marihuana-Konsum von Schülern in öffentlichen Bildungseinrichtungen weder mit dem Regulierungsprozess, noch mit dem gesetzlichen Auftrag zur Vermeidung von Strafmaßnahmen, die eine zumindest zeitweise Suspendierungen von der Schule zur Folge haben, verändert wurde.</w:t>
      </w:r>
    </w:p>
    <w:p w14:paraId="6D182753" w14:textId="05D2AB74" w:rsidR="00B82627" w:rsidRDefault="00B82627" w:rsidP="009D7629">
      <w:pPr>
        <w:spacing w:line="276" w:lineRule="auto"/>
        <w:jc w:val="both"/>
        <w:rPr>
          <w:rFonts w:cs="Tahoma"/>
          <w:color w:val="000000"/>
        </w:rPr>
      </w:pPr>
      <w:r>
        <w:rPr>
          <w:rFonts w:cs="Tahoma"/>
          <w:color w:val="000000"/>
        </w:rPr>
        <w:t>Eine interessante Entwicklung zeichnet sich bei den Schulausschlüssen ab: Hier nimmt nicht nur die Gesamtzahl ab, sondern parallel auch die Bestrafung mit Schulausschlüssen für Sch</w:t>
      </w:r>
      <w:r>
        <w:rPr>
          <w:rFonts w:cs="Tahoma"/>
          <w:color w:val="000000"/>
        </w:rPr>
        <w:t>ü</w:t>
      </w:r>
      <w:r>
        <w:rPr>
          <w:rFonts w:cs="Tahoma"/>
          <w:color w:val="000000"/>
        </w:rPr>
        <w:t>lern, in der Schule mit Drogen umgehen (vgl. Abbildung 20).</w:t>
      </w:r>
    </w:p>
    <w:p w14:paraId="282DC312" w14:textId="77777777" w:rsidR="001E410E" w:rsidRDefault="001E410E" w:rsidP="001E410E">
      <w:pPr>
        <w:keepNext/>
        <w:spacing w:line="276" w:lineRule="auto"/>
        <w:jc w:val="both"/>
      </w:pPr>
      <w:r>
        <w:rPr>
          <w:noProof/>
        </w:rPr>
        <w:drawing>
          <wp:inline distT="0" distB="0" distL="0" distR="0" wp14:anchorId="145229B9" wp14:editId="7EC02A65">
            <wp:extent cx="5715143" cy="4984750"/>
            <wp:effectExtent l="0" t="0" r="25400" b="19050"/>
            <wp:docPr id="54" name="Diagram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CA34987" w14:textId="4883C82B" w:rsidR="001E410E" w:rsidRDefault="001E410E" w:rsidP="001E410E">
      <w:pPr>
        <w:pStyle w:val="Beschriftung"/>
        <w:jc w:val="both"/>
        <w:rPr>
          <w:rFonts w:cs="Tahoma"/>
          <w:color w:val="000000"/>
        </w:rPr>
      </w:pPr>
      <w:r>
        <w:t xml:space="preserve">Abbildung </w:t>
      </w:r>
      <w:fldSimple w:instr=" SEQ Abbildung \* ARABIC ">
        <w:r w:rsidR="00B86830">
          <w:rPr>
            <w:noProof/>
          </w:rPr>
          <w:t>19</w:t>
        </w:r>
      </w:fldSimple>
      <w:r>
        <w:t>: Überblick über Delikte, die im Schuljahr 2015-16 im Bundesstaat Colorado zu einem te</w:t>
      </w:r>
      <w:r>
        <w:t>m</w:t>
      </w:r>
      <w:r>
        <w:t>porären Schul</w:t>
      </w:r>
      <w:r w:rsidR="00D43937">
        <w:t xml:space="preserve">verweis </w:t>
      </w:r>
      <w:r>
        <w:t>geführt haben (</w:t>
      </w:r>
      <w:r w:rsidR="001E0A7B">
        <w:rPr>
          <w:rFonts w:cs="Tahoma"/>
        </w:rPr>
        <w:t>vgl. Colorado Department of E</w:t>
      </w:r>
      <w:r w:rsidRPr="00EF7E04">
        <w:rPr>
          <w:rFonts w:cs="Tahoma"/>
        </w:rPr>
        <w:t>ducation 2016)</w:t>
      </w:r>
    </w:p>
    <w:p w14:paraId="274512A2" w14:textId="356A1541" w:rsidR="00507C16" w:rsidRDefault="00B82627" w:rsidP="00507C16">
      <w:pPr>
        <w:spacing w:line="276" w:lineRule="auto"/>
        <w:jc w:val="both"/>
        <w:rPr>
          <w:rFonts w:cs="Tahoma"/>
          <w:color w:val="000000"/>
        </w:rPr>
      </w:pPr>
      <w:r>
        <w:rPr>
          <w:rFonts w:cs="Tahoma"/>
          <w:color w:val="000000"/>
        </w:rPr>
        <w:t>D</w:t>
      </w:r>
      <w:r w:rsidR="00507C16">
        <w:rPr>
          <w:rFonts w:cs="Tahoma"/>
          <w:color w:val="000000"/>
        </w:rPr>
        <w:t xml:space="preserve">ie Hintergründe </w:t>
      </w:r>
      <w:r>
        <w:rPr>
          <w:rFonts w:cs="Tahoma"/>
          <w:color w:val="000000"/>
        </w:rPr>
        <w:t xml:space="preserve">dieser Entwicklungen lassen sich </w:t>
      </w:r>
      <w:r w:rsidR="00507C16">
        <w:rPr>
          <w:rFonts w:cs="Tahoma"/>
          <w:color w:val="000000"/>
        </w:rPr>
        <w:t>nicht klären</w:t>
      </w:r>
      <w:r w:rsidR="00D43937">
        <w:rPr>
          <w:rFonts w:cs="Tahoma"/>
          <w:color w:val="000000"/>
        </w:rPr>
        <w:t xml:space="preserve">: Es </w:t>
      </w:r>
      <w:r w:rsidR="00507C16">
        <w:rPr>
          <w:rFonts w:cs="Tahoma"/>
          <w:color w:val="000000"/>
        </w:rPr>
        <w:t xml:space="preserve">könnte </w:t>
      </w:r>
      <w:r w:rsidR="00D43937">
        <w:rPr>
          <w:rFonts w:cs="Tahoma"/>
          <w:color w:val="000000"/>
        </w:rPr>
        <w:t>zum einen gefo</w:t>
      </w:r>
      <w:r w:rsidR="00D43937">
        <w:rPr>
          <w:rFonts w:cs="Tahoma"/>
          <w:color w:val="000000"/>
        </w:rPr>
        <w:t>l</w:t>
      </w:r>
      <w:r w:rsidR="00D43937">
        <w:rPr>
          <w:rFonts w:cs="Tahoma"/>
          <w:color w:val="000000"/>
        </w:rPr>
        <w:t xml:space="preserve">gert werden, dass gravierende Delikte in Zusammenhang mit Drogen im Zuge von </w:t>
      </w:r>
      <w:r w:rsidR="00D01097">
        <w:rPr>
          <w:rFonts w:cs="Tahoma"/>
          <w:color w:val="000000"/>
        </w:rPr>
        <w:t>Reguli</w:t>
      </w:r>
      <w:r w:rsidR="00D01097">
        <w:rPr>
          <w:rFonts w:cs="Tahoma"/>
          <w:color w:val="000000"/>
        </w:rPr>
        <w:t>e</w:t>
      </w:r>
      <w:r w:rsidR="00D01097">
        <w:rPr>
          <w:rFonts w:cs="Tahoma"/>
          <w:color w:val="000000"/>
        </w:rPr>
        <w:t>rung</w:t>
      </w:r>
      <w:r w:rsidR="00D43937">
        <w:rPr>
          <w:rFonts w:cs="Tahoma"/>
          <w:color w:val="000000"/>
        </w:rPr>
        <w:t>sprozessen unter Schülern weniger vorkommen. Z</w:t>
      </w:r>
      <w:r w:rsidR="001E7306">
        <w:rPr>
          <w:rFonts w:cs="Tahoma"/>
          <w:color w:val="000000"/>
        </w:rPr>
        <w:t>u</w:t>
      </w:r>
      <w:r w:rsidR="00D43937">
        <w:rPr>
          <w:rFonts w:cs="Tahoma"/>
          <w:color w:val="000000"/>
        </w:rPr>
        <w:t>m anderen lässt sich auch anne</w:t>
      </w:r>
      <w:r w:rsidR="00D43937">
        <w:rPr>
          <w:rFonts w:cs="Tahoma"/>
          <w:color w:val="000000"/>
        </w:rPr>
        <w:t>h</w:t>
      </w:r>
      <w:r w:rsidR="00D43937">
        <w:rPr>
          <w:rFonts w:cs="Tahoma"/>
          <w:color w:val="000000"/>
        </w:rPr>
        <w:t xml:space="preserve">men, dass </w:t>
      </w:r>
      <w:r w:rsidR="00507C16">
        <w:rPr>
          <w:rFonts w:cs="Tahoma"/>
          <w:color w:val="000000"/>
        </w:rPr>
        <w:t xml:space="preserve">auf </w:t>
      </w:r>
      <w:r>
        <w:rPr>
          <w:rFonts w:cs="Tahoma"/>
          <w:color w:val="000000"/>
        </w:rPr>
        <w:t xml:space="preserve">diese </w:t>
      </w:r>
      <w:r w:rsidR="00507C16">
        <w:rPr>
          <w:rFonts w:cs="Tahoma"/>
          <w:color w:val="000000"/>
        </w:rPr>
        <w:t xml:space="preserve">Delikte von Schülern </w:t>
      </w:r>
      <w:r>
        <w:rPr>
          <w:rFonts w:cs="Tahoma"/>
          <w:color w:val="000000"/>
        </w:rPr>
        <w:t xml:space="preserve">nicht </w:t>
      </w:r>
      <w:r w:rsidR="00507C16">
        <w:rPr>
          <w:rFonts w:cs="Tahoma"/>
          <w:color w:val="000000"/>
        </w:rPr>
        <w:t xml:space="preserve">mehr unbesehen mit einem Schulausschluss reagiert wird, sondern andere </w:t>
      </w:r>
      <w:r>
        <w:rPr>
          <w:rFonts w:cs="Tahoma"/>
          <w:color w:val="000000"/>
        </w:rPr>
        <w:t xml:space="preserve">disziplinarische Reaktionen </w:t>
      </w:r>
      <w:r w:rsidR="00150F77">
        <w:rPr>
          <w:rFonts w:cs="Tahoma"/>
          <w:color w:val="000000"/>
        </w:rPr>
        <w:t>(z. B. temporäre Schulverweise</w:t>
      </w:r>
      <w:r>
        <w:rPr>
          <w:rFonts w:cs="Tahoma"/>
          <w:color w:val="000000"/>
        </w:rPr>
        <w:t>,</w:t>
      </w:r>
      <w:r w:rsidR="00150F77">
        <w:rPr>
          <w:rFonts w:cs="Tahoma"/>
          <w:color w:val="000000"/>
        </w:rPr>
        <w:t xml:space="preserve"> siehe oben)</w:t>
      </w:r>
      <w:r w:rsidR="00507C16">
        <w:rPr>
          <w:rFonts w:cs="Tahoma"/>
          <w:color w:val="000000"/>
        </w:rPr>
        <w:t xml:space="preserve"> </w:t>
      </w:r>
      <w:r>
        <w:rPr>
          <w:rFonts w:cs="Tahoma"/>
          <w:color w:val="000000"/>
        </w:rPr>
        <w:t>erfolgen</w:t>
      </w:r>
      <w:r w:rsidR="00507C16">
        <w:rPr>
          <w:rFonts w:cs="Tahoma"/>
          <w:color w:val="000000"/>
        </w:rPr>
        <w:t>. Es bleibt abzuwarten, welche Entwicklungen sich zukünftig in diesem Bereich ergeben</w:t>
      </w:r>
      <w:r w:rsidR="00D43937">
        <w:rPr>
          <w:rFonts w:cs="Tahoma"/>
          <w:color w:val="000000"/>
        </w:rPr>
        <w:t xml:space="preserve"> werden</w:t>
      </w:r>
      <w:r w:rsidR="00507C16">
        <w:rPr>
          <w:rFonts w:cs="Tahoma"/>
          <w:color w:val="000000"/>
        </w:rPr>
        <w:t xml:space="preserve">. </w:t>
      </w:r>
    </w:p>
    <w:p w14:paraId="18A0E26C" w14:textId="77777777" w:rsidR="00B82627" w:rsidRPr="00953F32" w:rsidRDefault="00B82627" w:rsidP="00B82627">
      <w:pPr>
        <w:pStyle w:val="berschrift3"/>
        <w:numPr>
          <w:ilvl w:val="2"/>
          <w:numId w:val="34"/>
        </w:numPr>
      </w:pPr>
      <w:bookmarkStart w:id="36" w:name="_Toc349300365"/>
      <w:r>
        <w:t>E</w:t>
      </w:r>
      <w:r w:rsidRPr="00953F32">
        <w:t>ntwicklung von Fallzahlen zu „drogengefährdeten Kindern“</w:t>
      </w:r>
      <w:bookmarkEnd w:id="36"/>
    </w:p>
    <w:p w14:paraId="6F1AFDFB" w14:textId="75FDD9CB" w:rsidR="00B82627" w:rsidRDefault="00B82627" w:rsidP="00B82627">
      <w:pPr>
        <w:spacing w:line="276" w:lineRule="auto"/>
        <w:jc w:val="both"/>
        <w:rPr>
          <w:szCs w:val="22"/>
        </w:rPr>
      </w:pPr>
      <w:r w:rsidRPr="00953F32">
        <w:rPr>
          <w:szCs w:val="22"/>
        </w:rPr>
        <w:t>Das Gesetz „Senat Bill 13-283“</w:t>
      </w:r>
      <w:r w:rsidRPr="00953F32">
        <w:rPr>
          <w:rStyle w:val="Funotenzeichen"/>
          <w:rFonts w:cs="Tahoma"/>
          <w:color w:val="000000"/>
          <w:szCs w:val="22"/>
        </w:rPr>
        <w:footnoteReference w:id="35"/>
      </w:r>
      <w:r w:rsidRPr="00953F32">
        <w:rPr>
          <w:szCs w:val="22"/>
        </w:rPr>
        <w:t xml:space="preserve"> legte im Mai 2013 fest, dass </w:t>
      </w:r>
      <w:r>
        <w:rPr>
          <w:szCs w:val="22"/>
        </w:rPr>
        <w:t xml:space="preserve">zu den Effekten der Marihuana-Regulierung </w:t>
      </w:r>
      <w:r w:rsidRPr="00953F32">
        <w:rPr>
          <w:szCs w:val="22"/>
        </w:rPr>
        <w:t>auch Daten zu „</w:t>
      </w:r>
      <w:r w:rsidRPr="00953F32">
        <w:rPr>
          <w:rFonts w:cs="Calibri"/>
          <w:szCs w:val="22"/>
        </w:rPr>
        <w:t>drug-endangered children“ (</w:t>
      </w:r>
      <w:r w:rsidRPr="00953F32">
        <w:rPr>
          <w:szCs w:val="22"/>
        </w:rPr>
        <w:t>drogengefährdeten Kindern)</w:t>
      </w:r>
      <w:r>
        <w:rPr>
          <w:szCs w:val="22"/>
        </w:rPr>
        <w:t xml:space="preserve"> so di</w:t>
      </w:r>
      <w:r>
        <w:rPr>
          <w:szCs w:val="22"/>
        </w:rPr>
        <w:t>f</w:t>
      </w:r>
      <w:r>
        <w:rPr>
          <w:szCs w:val="22"/>
        </w:rPr>
        <w:t>ferenziert zu sammeln sind</w:t>
      </w:r>
      <w:r w:rsidRPr="00953F32">
        <w:rPr>
          <w:szCs w:val="22"/>
        </w:rPr>
        <w:t xml:space="preserve">, </w:t>
      </w:r>
      <w:r>
        <w:rPr>
          <w:szCs w:val="22"/>
        </w:rPr>
        <w:t>dass</w:t>
      </w:r>
      <w:r w:rsidRPr="00953F32">
        <w:rPr>
          <w:szCs w:val="22"/>
        </w:rPr>
        <w:t xml:space="preserve"> </w:t>
      </w:r>
      <w:r>
        <w:rPr>
          <w:szCs w:val="22"/>
        </w:rPr>
        <w:t>auch</w:t>
      </w:r>
      <w:r w:rsidRPr="00953F32">
        <w:rPr>
          <w:szCs w:val="22"/>
        </w:rPr>
        <w:t xml:space="preserve"> eine Bezug zum Mari</w:t>
      </w:r>
      <w:r>
        <w:rPr>
          <w:szCs w:val="22"/>
        </w:rPr>
        <w:t>huana-K</w:t>
      </w:r>
      <w:r w:rsidRPr="00953F32">
        <w:rPr>
          <w:szCs w:val="22"/>
        </w:rPr>
        <w:t>onsum hergestellt we</w:t>
      </w:r>
      <w:r w:rsidRPr="00953F32">
        <w:rPr>
          <w:szCs w:val="22"/>
        </w:rPr>
        <w:t>r</w:t>
      </w:r>
      <w:r w:rsidRPr="00953F32">
        <w:rPr>
          <w:szCs w:val="22"/>
        </w:rPr>
        <w:t>den kann (vgl. Section 9, Absatz 2i, S. 1894). Es gibt je</w:t>
      </w:r>
      <w:r>
        <w:rPr>
          <w:szCs w:val="22"/>
        </w:rPr>
        <w:t>doch keine einheitliche</w:t>
      </w:r>
      <w:r w:rsidRPr="00953F32">
        <w:rPr>
          <w:szCs w:val="22"/>
        </w:rPr>
        <w:t xml:space="preserve"> Definition di</w:t>
      </w:r>
      <w:r w:rsidRPr="00953F32">
        <w:rPr>
          <w:szCs w:val="22"/>
        </w:rPr>
        <w:t>e</w:t>
      </w:r>
      <w:r>
        <w:rPr>
          <w:szCs w:val="22"/>
        </w:rPr>
        <w:t>ses</w:t>
      </w:r>
      <w:r w:rsidRPr="00953F32">
        <w:rPr>
          <w:szCs w:val="22"/>
        </w:rPr>
        <w:t xml:space="preserve"> Begriffe</w:t>
      </w:r>
      <w:r>
        <w:rPr>
          <w:szCs w:val="22"/>
        </w:rPr>
        <w:t>s</w:t>
      </w:r>
      <w:r w:rsidRPr="00953F32">
        <w:rPr>
          <w:szCs w:val="22"/>
        </w:rPr>
        <w:t xml:space="preserve">, </w:t>
      </w:r>
      <w:r>
        <w:rPr>
          <w:szCs w:val="22"/>
        </w:rPr>
        <w:t>weshalb</w:t>
      </w:r>
      <w:r w:rsidRPr="00953F32">
        <w:rPr>
          <w:szCs w:val="22"/>
        </w:rPr>
        <w:t xml:space="preserve"> </w:t>
      </w:r>
      <w:r>
        <w:rPr>
          <w:szCs w:val="22"/>
        </w:rPr>
        <w:t>das</w:t>
      </w:r>
      <w:r w:rsidRPr="00953F32">
        <w:rPr>
          <w:szCs w:val="22"/>
        </w:rPr>
        <w:t xml:space="preserve"> Samm</w:t>
      </w:r>
      <w:r>
        <w:rPr>
          <w:szCs w:val="22"/>
        </w:rPr>
        <w:t>e</w:t>
      </w:r>
      <w:r w:rsidRPr="00953F32">
        <w:rPr>
          <w:szCs w:val="22"/>
        </w:rPr>
        <w:t>l</w:t>
      </w:r>
      <w:r>
        <w:rPr>
          <w:szCs w:val="22"/>
        </w:rPr>
        <w:t>n</w:t>
      </w:r>
      <w:r w:rsidRPr="00953F32">
        <w:rPr>
          <w:szCs w:val="22"/>
        </w:rPr>
        <w:t xml:space="preserve"> von Daten dazu schwierig ist (vgl. </w:t>
      </w:r>
      <w:r w:rsidR="007C55FB">
        <w:rPr>
          <w:szCs w:val="22"/>
        </w:rPr>
        <w:t>Reed, a. a. O.,</w:t>
      </w:r>
      <w:r w:rsidRPr="00953F32">
        <w:rPr>
          <w:szCs w:val="22"/>
        </w:rPr>
        <w:t xml:space="preserve"> 2016, S. 69). </w:t>
      </w:r>
    </w:p>
    <w:p w14:paraId="641D7472" w14:textId="2F5F9507" w:rsidR="001E0A7B" w:rsidRDefault="00507C16" w:rsidP="009D7629">
      <w:pPr>
        <w:spacing w:line="276" w:lineRule="auto"/>
        <w:jc w:val="both"/>
        <w:rPr>
          <w:rFonts w:cs="Tahoma"/>
          <w:color w:val="000000"/>
        </w:rPr>
      </w:pPr>
      <w:r>
        <w:rPr>
          <w:rFonts w:cs="Tahoma"/>
          <w:color w:val="000000"/>
        </w:rPr>
        <w:t xml:space="preserve"> </w:t>
      </w:r>
    </w:p>
    <w:p w14:paraId="67EF29C4" w14:textId="77777777" w:rsidR="001E0A7B" w:rsidRDefault="001E0A7B" w:rsidP="001E0A7B">
      <w:pPr>
        <w:keepNext/>
        <w:spacing w:line="276" w:lineRule="auto"/>
        <w:jc w:val="both"/>
      </w:pPr>
      <w:r>
        <w:rPr>
          <w:noProof/>
        </w:rPr>
        <w:drawing>
          <wp:inline distT="0" distB="0" distL="0" distR="0" wp14:anchorId="3ADF7C1E" wp14:editId="6E884291">
            <wp:extent cx="5693021" cy="2459355"/>
            <wp:effectExtent l="25400" t="25400" r="22225" b="2984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19 um 16.11.37.png"/>
                    <pic:cNvPicPr/>
                  </pic:nvPicPr>
                  <pic:blipFill>
                    <a:blip r:embed="rId64">
                      <a:extLst>
                        <a:ext uri="{28A0092B-C50C-407E-A947-70E740481C1C}">
                          <a14:useLocalDpi xmlns:a14="http://schemas.microsoft.com/office/drawing/2010/main" val="0"/>
                        </a:ext>
                      </a:extLst>
                    </a:blip>
                    <a:stretch>
                      <a:fillRect/>
                    </a:stretch>
                  </pic:blipFill>
                  <pic:spPr>
                    <a:xfrm>
                      <a:off x="0" y="0"/>
                      <a:ext cx="5695618" cy="2460477"/>
                    </a:xfrm>
                    <a:prstGeom prst="rect">
                      <a:avLst/>
                    </a:prstGeom>
                    <a:ln>
                      <a:solidFill>
                        <a:schemeClr val="tx1"/>
                      </a:solidFill>
                    </a:ln>
                  </pic:spPr>
                </pic:pic>
              </a:graphicData>
            </a:graphic>
          </wp:inline>
        </w:drawing>
      </w:r>
    </w:p>
    <w:p w14:paraId="7199A901" w14:textId="6B20B8C0" w:rsidR="00BD103A" w:rsidRDefault="001E0A7B" w:rsidP="00626478">
      <w:pPr>
        <w:pStyle w:val="Beschriftung"/>
        <w:jc w:val="both"/>
      </w:pPr>
      <w:r>
        <w:t xml:space="preserve">Abbildung </w:t>
      </w:r>
      <w:fldSimple w:instr=" SEQ Abbildung \* ARABIC ">
        <w:r w:rsidR="00B86830">
          <w:rPr>
            <w:noProof/>
          </w:rPr>
          <w:t>20</w:t>
        </w:r>
      </w:fldSimple>
      <w:r>
        <w:t>: Entwicklung der Schulverweis</w:t>
      </w:r>
      <w:r w:rsidR="00507C16">
        <w:t>e</w:t>
      </w:r>
      <w:r>
        <w:t xml:space="preserve"> wegen </w:t>
      </w:r>
      <w:r w:rsidRPr="00EF7E04">
        <w:rPr>
          <w:rFonts w:cs="Tahoma"/>
        </w:rPr>
        <w:t>Drogendelikte</w:t>
      </w:r>
      <w:r>
        <w:rPr>
          <w:rFonts w:cs="Tahoma"/>
        </w:rPr>
        <w:t>n</w:t>
      </w:r>
      <w:r w:rsidRPr="00EF7E04">
        <w:rPr>
          <w:rFonts w:cs="Tahoma"/>
        </w:rPr>
        <w:t xml:space="preserve"> bezogen auf 100.000 Schüler </w:t>
      </w:r>
      <w:r>
        <w:rPr>
          <w:rFonts w:cs="Tahoma"/>
        </w:rPr>
        <w:t xml:space="preserve">im Bundesstaat Colorado </w:t>
      </w:r>
      <w:r>
        <w:t>(</w:t>
      </w:r>
      <w:r w:rsidR="00CE65B8">
        <w:rPr>
          <w:rFonts w:cs="Tahoma"/>
          <w:color w:val="000000"/>
        </w:rPr>
        <w:t>Reed, a. a. O.</w:t>
      </w:r>
      <w:r w:rsidR="00507C16">
        <w:rPr>
          <w:rFonts w:cs="Tahoma"/>
          <w:color w:val="000000"/>
        </w:rPr>
        <w:t>, S. 66</w:t>
      </w:r>
      <w:r w:rsidRPr="00EF7E04">
        <w:rPr>
          <w:rFonts w:cs="Tahoma"/>
        </w:rPr>
        <w:t>)</w:t>
      </w:r>
      <w:r>
        <w:t xml:space="preserve"> </w:t>
      </w:r>
    </w:p>
    <w:p w14:paraId="18668198" w14:textId="698064CC" w:rsidR="00B82627" w:rsidRPr="00591085" w:rsidRDefault="00B82627" w:rsidP="00591085">
      <w:pPr>
        <w:spacing w:line="276" w:lineRule="auto"/>
        <w:jc w:val="both"/>
        <w:rPr>
          <w:szCs w:val="22"/>
        </w:rPr>
      </w:pPr>
      <w:r w:rsidRPr="00953F32">
        <w:rPr>
          <w:szCs w:val="22"/>
        </w:rPr>
        <w:t>Hinweise zu</w:t>
      </w:r>
      <w:r>
        <w:rPr>
          <w:szCs w:val="22"/>
        </w:rPr>
        <w:t>r</w:t>
      </w:r>
      <w:r w:rsidRPr="00953F32">
        <w:rPr>
          <w:szCs w:val="22"/>
        </w:rPr>
        <w:t xml:space="preserve"> Zahl betroffener Kinder und typischen Gefährdungssituationen lassen sich aus dem Drug/Alcohol Coordinated Data System (DACODS) entnehmen, dem alle Hilfeeinrichtu</w:t>
      </w:r>
      <w:r w:rsidRPr="00953F32">
        <w:rPr>
          <w:szCs w:val="22"/>
        </w:rPr>
        <w:t>n</w:t>
      </w:r>
      <w:r w:rsidRPr="00953F32">
        <w:rPr>
          <w:szCs w:val="22"/>
        </w:rPr>
        <w:t>gen mit abgefragten Datensätzen dem Colorado Department of Human Services zuarbeiten müssen</w:t>
      </w:r>
      <w:r>
        <w:rPr>
          <w:szCs w:val="22"/>
        </w:rPr>
        <w:t xml:space="preserve"> und die an das nationale Datenbanksystem </w:t>
      </w:r>
      <w:r w:rsidRPr="00F27FC2">
        <w:rPr>
          <w:rFonts w:cs="Times New Roman"/>
          <w:iCs/>
          <w:szCs w:val="22"/>
        </w:rPr>
        <w:t xml:space="preserve">Treatment Episode Data Set (TEDS) </w:t>
      </w:r>
      <w:r>
        <w:rPr>
          <w:szCs w:val="22"/>
        </w:rPr>
        <w:t>we</w:t>
      </w:r>
      <w:r>
        <w:rPr>
          <w:szCs w:val="22"/>
        </w:rPr>
        <w:t>i</w:t>
      </w:r>
      <w:r>
        <w:rPr>
          <w:szCs w:val="22"/>
        </w:rPr>
        <w:t>tergemeldet werden</w:t>
      </w:r>
      <w:r w:rsidRPr="00953F32">
        <w:rPr>
          <w:szCs w:val="22"/>
        </w:rPr>
        <w:t>.</w:t>
      </w:r>
      <w:r w:rsidRPr="00953F32">
        <w:rPr>
          <w:rStyle w:val="Funotenzeichen"/>
          <w:szCs w:val="22"/>
        </w:rPr>
        <w:footnoteReference w:id="36"/>
      </w:r>
      <w:r w:rsidRPr="00953F32">
        <w:rPr>
          <w:szCs w:val="22"/>
        </w:rPr>
        <w:t xml:space="preserve"> </w:t>
      </w:r>
      <w:r>
        <w:rPr>
          <w:szCs w:val="22"/>
        </w:rPr>
        <w:t>Da diese Vorgaben zur Erhebung von Daten in Zusammenhang mit Marihuana-Konsum allerdings erst im Frühjahr 2013 gesetzeswirksam eingeführt und zuvor nicht separat gesammelt wurden, liegen dazu keine Daten bezüglich Prä- und Postregulierung vor.</w:t>
      </w:r>
    </w:p>
    <w:p w14:paraId="0DB8478E" w14:textId="4ECC8F43" w:rsidR="00E178C1" w:rsidRDefault="00E178C1" w:rsidP="002A7A16">
      <w:pPr>
        <w:pStyle w:val="berschrift2"/>
      </w:pPr>
      <w:bookmarkStart w:id="37" w:name="_Toc349300366"/>
      <w:r>
        <w:t>Das Beispiel Washington</w:t>
      </w:r>
      <w:bookmarkEnd w:id="37"/>
    </w:p>
    <w:p w14:paraId="68A7DE00" w14:textId="76B078EA" w:rsidR="0034350E" w:rsidRDefault="0034350E" w:rsidP="009D7629">
      <w:pPr>
        <w:spacing w:line="276" w:lineRule="auto"/>
        <w:jc w:val="both"/>
      </w:pPr>
      <w:r>
        <w:t xml:space="preserve">Auch für den Bundesstaat Washington kann auf </w:t>
      </w:r>
      <w:r w:rsidRPr="00D65DB7">
        <w:t xml:space="preserve">mehrere </w:t>
      </w:r>
      <w:r>
        <w:t>Surveys zurückgegriffen werden, die Auf</w:t>
      </w:r>
      <w:r w:rsidR="0040679B">
        <w:t xml:space="preserve">schluss über </w:t>
      </w:r>
      <w:r w:rsidR="00591085">
        <w:t>den Marihuana-Konsum</w:t>
      </w:r>
      <w:r w:rsidR="0040679B">
        <w:t xml:space="preserve"> u</w:t>
      </w:r>
      <w:r w:rsidR="00983E8F">
        <w:t>nter Schülern geben</w:t>
      </w:r>
      <w:r w:rsidR="00591085">
        <w:t>:</w:t>
      </w:r>
      <w:r w:rsidR="00983E8F">
        <w:t xml:space="preserve"> Dazu gehören</w:t>
      </w:r>
      <w:r w:rsidR="0040679B">
        <w:t xml:space="preserve"> der </w:t>
      </w:r>
      <w:r w:rsidR="00591085">
        <w:t>alle zwei Jahre</w:t>
      </w:r>
      <w:r w:rsidR="0040679B">
        <w:t xml:space="preserve"> vorgenommene </w:t>
      </w:r>
      <w:r w:rsidR="0040679B" w:rsidRPr="004F009E">
        <w:rPr>
          <w:i/>
        </w:rPr>
        <w:t>Hea</w:t>
      </w:r>
      <w:r w:rsidR="00983E8F" w:rsidRPr="004F009E">
        <w:rPr>
          <w:i/>
        </w:rPr>
        <w:t>l</w:t>
      </w:r>
      <w:r w:rsidR="0040679B" w:rsidRPr="004F009E">
        <w:rPr>
          <w:i/>
        </w:rPr>
        <w:t>th Youth Survey (HYS)</w:t>
      </w:r>
      <w:r w:rsidR="0040679B" w:rsidRPr="004F009E">
        <w:rPr>
          <w:rStyle w:val="Funotenzeichen"/>
          <w:i/>
        </w:rPr>
        <w:footnoteReference w:id="37"/>
      </w:r>
      <w:r w:rsidR="00983E8F" w:rsidRPr="004F009E">
        <w:rPr>
          <w:i/>
        </w:rPr>
        <w:t>,</w:t>
      </w:r>
      <w:r w:rsidR="00983E8F">
        <w:t xml:space="preserve"> </w:t>
      </w:r>
      <w:r w:rsidR="00591085">
        <w:rPr>
          <w:rFonts w:cs="Calibri"/>
          <w:color w:val="000000"/>
        </w:rPr>
        <w:t>der</w:t>
      </w:r>
      <w:r w:rsidR="0040679B" w:rsidRPr="00D65DB7">
        <w:rPr>
          <w:rFonts w:cs="Calibri"/>
          <w:color w:val="000000"/>
        </w:rPr>
        <w:t xml:space="preserve"> jährlich durchgeführ</w:t>
      </w:r>
      <w:r w:rsidR="00591085">
        <w:rPr>
          <w:rFonts w:cs="Calibri"/>
          <w:color w:val="000000"/>
        </w:rPr>
        <w:t>te</w:t>
      </w:r>
      <w:r w:rsidR="0040679B" w:rsidRPr="00D65DB7">
        <w:rPr>
          <w:rFonts w:cs="Calibri"/>
          <w:color w:val="000000"/>
        </w:rPr>
        <w:t xml:space="preserve"> </w:t>
      </w:r>
      <w:r w:rsidR="0040679B" w:rsidRPr="004F009E">
        <w:rPr>
          <w:rFonts w:cs="Calibri"/>
          <w:i/>
          <w:color w:val="000000"/>
        </w:rPr>
        <w:t>Nation</w:t>
      </w:r>
      <w:r w:rsidR="0040679B" w:rsidRPr="004F009E">
        <w:rPr>
          <w:rFonts w:cs="Calibri"/>
          <w:i/>
          <w:color w:val="000000"/>
        </w:rPr>
        <w:t>a</w:t>
      </w:r>
      <w:r w:rsidR="0040679B" w:rsidRPr="004F009E">
        <w:rPr>
          <w:rFonts w:cs="Calibri"/>
          <w:i/>
          <w:color w:val="000000"/>
        </w:rPr>
        <w:t>len Survey on Drug Use and Health</w:t>
      </w:r>
      <w:r w:rsidR="00686E94">
        <w:rPr>
          <w:rStyle w:val="Funotenzeichen"/>
          <w:rFonts w:cs="Calibri"/>
          <w:color w:val="000000"/>
        </w:rPr>
        <w:footnoteReference w:id="38"/>
      </w:r>
      <w:r w:rsidR="00983E8F">
        <w:rPr>
          <w:rFonts w:cs="Calibri"/>
          <w:color w:val="000000"/>
        </w:rPr>
        <w:t xml:space="preserve"> und </w:t>
      </w:r>
      <w:r w:rsidR="00591085">
        <w:rPr>
          <w:rFonts w:cs="Calibri"/>
          <w:color w:val="000000"/>
        </w:rPr>
        <w:t>der</w:t>
      </w:r>
      <w:r w:rsidR="0040679B" w:rsidRPr="00D65DB7">
        <w:rPr>
          <w:rFonts w:cs="Calibri"/>
          <w:color w:val="000000"/>
        </w:rPr>
        <w:t xml:space="preserve"> </w:t>
      </w:r>
      <w:r w:rsidR="0040679B" w:rsidRPr="004F009E">
        <w:rPr>
          <w:rFonts w:cs="Calibri"/>
          <w:i/>
          <w:color w:val="000000"/>
        </w:rPr>
        <w:t>Youth Risk Behavior Survey</w:t>
      </w:r>
      <w:r w:rsidR="00591085">
        <w:rPr>
          <w:rFonts w:cs="Calibri"/>
          <w:i/>
          <w:color w:val="000000"/>
        </w:rPr>
        <w:t xml:space="preserve">. </w:t>
      </w:r>
      <w:r w:rsidR="00983E8F">
        <w:rPr>
          <w:rFonts w:cs="Calibri"/>
          <w:color w:val="000000"/>
        </w:rPr>
        <w:t>Ein Zugang zu den Originaldaten zu temporären Schul</w:t>
      </w:r>
      <w:r w:rsidR="00516767">
        <w:rPr>
          <w:rFonts w:cs="Calibri"/>
          <w:color w:val="000000"/>
        </w:rPr>
        <w:t>verweisen</w:t>
      </w:r>
      <w:r w:rsidR="00983E8F">
        <w:rPr>
          <w:rFonts w:cs="Calibri"/>
          <w:color w:val="000000"/>
        </w:rPr>
        <w:t>, Schul</w:t>
      </w:r>
      <w:r w:rsidR="00516767">
        <w:rPr>
          <w:rFonts w:cs="Calibri"/>
          <w:color w:val="000000"/>
        </w:rPr>
        <w:t>aus</w:t>
      </w:r>
      <w:r w:rsidR="00983E8F">
        <w:rPr>
          <w:rFonts w:cs="Calibri"/>
          <w:color w:val="000000"/>
        </w:rPr>
        <w:t>schlüssen un</w:t>
      </w:r>
      <w:r w:rsidR="00516767">
        <w:rPr>
          <w:rFonts w:cs="Calibri"/>
          <w:color w:val="000000"/>
        </w:rPr>
        <w:t xml:space="preserve">d Überstellungen von Schülern an die Polizei konnte nicht ermittelt werden. </w:t>
      </w:r>
    </w:p>
    <w:p w14:paraId="6EE4F4F5" w14:textId="77777777" w:rsidR="00686E94" w:rsidRDefault="00686E94" w:rsidP="009D7629">
      <w:pPr>
        <w:spacing w:line="276" w:lineRule="auto"/>
        <w:jc w:val="both"/>
        <w:rPr>
          <w:b/>
          <w:szCs w:val="22"/>
        </w:rPr>
      </w:pPr>
    </w:p>
    <w:p w14:paraId="2F30038E" w14:textId="6005349A" w:rsidR="009C4B3C" w:rsidRDefault="009C4B3C" w:rsidP="009D7629">
      <w:pPr>
        <w:spacing w:line="276" w:lineRule="auto"/>
        <w:jc w:val="both"/>
        <w:rPr>
          <w:b/>
          <w:szCs w:val="22"/>
        </w:rPr>
      </w:pPr>
      <w:r>
        <w:rPr>
          <w:b/>
          <w:szCs w:val="22"/>
        </w:rPr>
        <w:t>Entwicklungen in den Konsumraten von Marihuana</w:t>
      </w:r>
    </w:p>
    <w:p w14:paraId="5C449DA1" w14:textId="6976B9B2" w:rsidR="00150F77" w:rsidRDefault="00686E94" w:rsidP="00150F77">
      <w:pPr>
        <w:spacing w:line="276" w:lineRule="auto"/>
        <w:jc w:val="both"/>
        <w:rPr>
          <w:szCs w:val="22"/>
        </w:rPr>
      </w:pPr>
      <w:r w:rsidRPr="009C4B3C">
        <w:rPr>
          <w:szCs w:val="22"/>
        </w:rPr>
        <w:t>Eine Zusammenschau der vorliegenden Daten aus dem H</w:t>
      </w:r>
      <w:r w:rsidR="00970F71">
        <w:rPr>
          <w:szCs w:val="22"/>
        </w:rPr>
        <w:t xml:space="preserve">ealth </w:t>
      </w:r>
      <w:r w:rsidRPr="009C4B3C">
        <w:rPr>
          <w:szCs w:val="22"/>
        </w:rPr>
        <w:t>Y</w:t>
      </w:r>
      <w:r w:rsidR="00970F71">
        <w:rPr>
          <w:szCs w:val="22"/>
        </w:rPr>
        <w:t xml:space="preserve">outh </w:t>
      </w:r>
      <w:r w:rsidRPr="009C4B3C">
        <w:rPr>
          <w:szCs w:val="22"/>
        </w:rPr>
        <w:t>S</w:t>
      </w:r>
      <w:r w:rsidR="00970F71">
        <w:rPr>
          <w:szCs w:val="22"/>
        </w:rPr>
        <w:t>urvey</w:t>
      </w:r>
      <w:r w:rsidRPr="009C4B3C">
        <w:rPr>
          <w:szCs w:val="22"/>
        </w:rPr>
        <w:t xml:space="preserve"> aus </w:t>
      </w:r>
      <w:r w:rsidR="004B2277">
        <w:rPr>
          <w:szCs w:val="22"/>
        </w:rPr>
        <w:t xml:space="preserve">den Jahren 2010, 2012 und 2014 </w:t>
      </w:r>
      <w:r w:rsidRPr="009C4B3C">
        <w:rPr>
          <w:szCs w:val="22"/>
        </w:rPr>
        <w:t xml:space="preserve">unterstreicht, dass es auch im Bundesstaat Washington nach </w:t>
      </w:r>
      <w:r w:rsidR="00150F77">
        <w:rPr>
          <w:szCs w:val="22"/>
        </w:rPr>
        <w:t xml:space="preserve">Beginn </w:t>
      </w:r>
      <w:r w:rsidRPr="009C4B3C">
        <w:rPr>
          <w:szCs w:val="22"/>
        </w:rPr>
        <w:t xml:space="preserve">der </w:t>
      </w:r>
      <w:r w:rsidR="00D01097">
        <w:rPr>
          <w:szCs w:val="22"/>
        </w:rPr>
        <w:t>Regulierung</w:t>
      </w:r>
      <w:r w:rsidRPr="00150F77">
        <w:rPr>
          <w:szCs w:val="22"/>
        </w:rPr>
        <w:t xml:space="preserve"> nicht zu einer Zunahme des Marihuana-Konsums unter den Schülern g</w:t>
      </w:r>
      <w:r w:rsidRPr="00150F77">
        <w:rPr>
          <w:szCs w:val="22"/>
        </w:rPr>
        <w:t>e</w:t>
      </w:r>
      <w:r w:rsidRPr="00150F77">
        <w:rPr>
          <w:szCs w:val="22"/>
        </w:rPr>
        <w:t>kommen ist</w:t>
      </w:r>
      <w:r w:rsidR="00591085">
        <w:rPr>
          <w:szCs w:val="22"/>
        </w:rPr>
        <w:t>. I</w:t>
      </w:r>
      <w:r w:rsidRPr="00150F77">
        <w:rPr>
          <w:szCs w:val="22"/>
        </w:rPr>
        <w:t>m Ge</w:t>
      </w:r>
      <w:r w:rsidR="00150F77">
        <w:rPr>
          <w:szCs w:val="22"/>
        </w:rPr>
        <w:t>genteil: Sowohl u</w:t>
      </w:r>
      <w:r w:rsidR="00150F77" w:rsidRPr="009C4B3C">
        <w:rPr>
          <w:szCs w:val="22"/>
        </w:rPr>
        <w:t>nter den ganz jungen Schülern (6. Klasse)</w:t>
      </w:r>
      <w:r w:rsidR="00150F77" w:rsidRPr="00150F77">
        <w:rPr>
          <w:szCs w:val="22"/>
        </w:rPr>
        <w:t xml:space="preserve"> </w:t>
      </w:r>
      <w:r w:rsidR="00150F77" w:rsidRPr="009C4B3C">
        <w:rPr>
          <w:szCs w:val="22"/>
        </w:rPr>
        <w:t>als auch unter</w:t>
      </w:r>
    </w:p>
    <w:p w14:paraId="1364D2B3" w14:textId="4F601AA1" w:rsidR="00626478" w:rsidRDefault="00686E94" w:rsidP="00150F77">
      <w:pPr>
        <w:spacing w:line="276" w:lineRule="auto"/>
        <w:jc w:val="both"/>
      </w:pPr>
      <w:r w:rsidRPr="009C4B3C">
        <w:rPr>
          <w:szCs w:val="22"/>
        </w:rPr>
        <w:t xml:space="preserve"> </w:t>
      </w:r>
      <w:r w:rsidR="00626478">
        <w:rPr>
          <w:noProof/>
        </w:rPr>
        <w:drawing>
          <wp:inline distT="0" distB="0" distL="0" distR="0" wp14:anchorId="242AC04E" wp14:editId="25C8D438">
            <wp:extent cx="4686300" cy="2488647"/>
            <wp:effectExtent l="0" t="0" r="12700" b="26035"/>
            <wp:docPr id="36" name="Diagram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B2F6C08" w14:textId="3AE19B4F" w:rsidR="00626478" w:rsidRDefault="00626478" w:rsidP="00626478">
      <w:pPr>
        <w:pStyle w:val="Beschriftung"/>
        <w:spacing w:line="276" w:lineRule="auto"/>
        <w:jc w:val="both"/>
      </w:pPr>
      <w:r>
        <w:t xml:space="preserve">Abbildung </w:t>
      </w:r>
      <w:fldSimple w:instr=" SEQ Abbildung \* ARABIC ">
        <w:r w:rsidR="00B86830">
          <w:rPr>
            <w:noProof/>
          </w:rPr>
          <w:t>21</w:t>
        </w:r>
      </w:fldSimple>
      <w:r>
        <w:t xml:space="preserve">: Entwicklung der Lebenszeitprävalenz des Marihuana-Konsums unter </w:t>
      </w:r>
      <w:r w:rsidR="00617CD2">
        <w:t xml:space="preserve">Schülern </w:t>
      </w:r>
      <w:r>
        <w:t>Washin</w:t>
      </w:r>
      <w:r>
        <w:t>g</w:t>
      </w:r>
      <w:r>
        <w:t>ton</w:t>
      </w:r>
      <w:r w:rsidR="00617CD2">
        <w:t>s</w:t>
      </w:r>
      <w:r>
        <w:t xml:space="preserve"> (vgl. H</w:t>
      </w:r>
      <w:r w:rsidR="008A7E3C">
        <w:t xml:space="preserve">ealth </w:t>
      </w:r>
      <w:r>
        <w:t>Y</w:t>
      </w:r>
      <w:r w:rsidR="008A7E3C">
        <w:t xml:space="preserve">outh </w:t>
      </w:r>
      <w:r>
        <w:t>S</w:t>
      </w:r>
      <w:r w:rsidR="008A7E3C">
        <w:t>urvey</w:t>
      </w:r>
      <w:r>
        <w:t xml:space="preserve"> 2010, 2012, 2014)</w:t>
      </w:r>
    </w:p>
    <w:p w14:paraId="4873A37C" w14:textId="7C0FE78F" w:rsidR="008078CE" w:rsidRDefault="008078CE" w:rsidP="008078CE">
      <w:pPr>
        <w:spacing w:line="276" w:lineRule="auto"/>
        <w:jc w:val="both"/>
        <w:rPr>
          <w:szCs w:val="22"/>
        </w:rPr>
      </w:pPr>
      <w:r w:rsidRPr="009C4B3C">
        <w:rPr>
          <w:szCs w:val="22"/>
        </w:rPr>
        <w:t xml:space="preserve">den älteren </w:t>
      </w:r>
      <w:r w:rsidR="00617CD2">
        <w:rPr>
          <w:szCs w:val="22"/>
        </w:rPr>
        <w:t xml:space="preserve">Schüler </w:t>
      </w:r>
      <w:r w:rsidRPr="009C4B3C">
        <w:rPr>
          <w:szCs w:val="22"/>
        </w:rPr>
        <w:t xml:space="preserve">(12. Klasse) </w:t>
      </w:r>
      <w:r w:rsidR="00591085">
        <w:rPr>
          <w:szCs w:val="22"/>
        </w:rPr>
        <w:t>ist die</w:t>
      </w:r>
      <w:r w:rsidR="00617CD2">
        <w:rPr>
          <w:szCs w:val="22"/>
        </w:rPr>
        <w:t xml:space="preserve"> Lebenszeitp</w:t>
      </w:r>
      <w:r w:rsidRPr="009C4B3C">
        <w:rPr>
          <w:szCs w:val="22"/>
        </w:rPr>
        <w:t>rävalenz konstant geblieben</w:t>
      </w:r>
      <w:r>
        <w:rPr>
          <w:szCs w:val="22"/>
        </w:rPr>
        <w:t xml:space="preserve">, </w:t>
      </w:r>
      <w:r w:rsidRPr="009C4B3C">
        <w:rPr>
          <w:szCs w:val="22"/>
        </w:rPr>
        <w:t xml:space="preserve">unter den Schülern der mittleren Klassen (8. </w:t>
      </w:r>
      <w:r>
        <w:rPr>
          <w:szCs w:val="22"/>
        </w:rPr>
        <w:t>u</w:t>
      </w:r>
      <w:r w:rsidRPr="009C4B3C">
        <w:rPr>
          <w:szCs w:val="22"/>
        </w:rPr>
        <w:t xml:space="preserve">nd 10. Klasse) </w:t>
      </w:r>
      <w:r>
        <w:rPr>
          <w:szCs w:val="22"/>
        </w:rPr>
        <w:t xml:space="preserve">sogar </w:t>
      </w:r>
      <w:r w:rsidRPr="009C4B3C">
        <w:rPr>
          <w:szCs w:val="22"/>
        </w:rPr>
        <w:t>zurückgegangen</w:t>
      </w:r>
      <w:r>
        <w:rPr>
          <w:szCs w:val="22"/>
        </w:rPr>
        <w:t xml:space="preserve"> </w:t>
      </w:r>
      <w:r w:rsidRPr="00626478">
        <w:rPr>
          <w:szCs w:val="22"/>
        </w:rPr>
        <w:t>(vgl. Abbildung 21).</w:t>
      </w:r>
      <w:r>
        <w:rPr>
          <w:szCs w:val="22"/>
        </w:rPr>
        <w:t xml:space="preserve"> </w:t>
      </w:r>
      <w:r w:rsidR="00591085">
        <w:rPr>
          <w:szCs w:val="22"/>
        </w:rPr>
        <w:t>Offensichtlich sehen</w:t>
      </w:r>
      <w:r>
        <w:rPr>
          <w:szCs w:val="22"/>
        </w:rPr>
        <w:t xml:space="preserve"> </w:t>
      </w:r>
      <w:r w:rsidR="00591085">
        <w:rPr>
          <w:szCs w:val="22"/>
        </w:rPr>
        <w:t>die weiterhin unter Prohibition stehenden Jugendlichen und Hera</w:t>
      </w:r>
      <w:r w:rsidR="00591085">
        <w:rPr>
          <w:szCs w:val="22"/>
        </w:rPr>
        <w:t>n</w:t>
      </w:r>
      <w:r w:rsidR="00591085">
        <w:rPr>
          <w:szCs w:val="22"/>
        </w:rPr>
        <w:t xml:space="preserve">wachsenden </w:t>
      </w:r>
      <w:r>
        <w:rPr>
          <w:szCs w:val="22"/>
        </w:rPr>
        <w:t xml:space="preserve">nach dem Beginn des </w:t>
      </w:r>
      <w:r w:rsidR="00D01097">
        <w:rPr>
          <w:szCs w:val="22"/>
        </w:rPr>
        <w:t>Regulierung</w:t>
      </w:r>
      <w:r>
        <w:rPr>
          <w:szCs w:val="22"/>
        </w:rPr>
        <w:t>sprozesses für Erwachsene keine Veränd</w:t>
      </w:r>
      <w:r>
        <w:rPr>
          <w:szCs w:val="22"/>
        </w:rPr>
        <w:t>e</w:t>
      </w:r>
      <w:r>
        <w:rPr>
          <w:szCs w:val="22"/>
        </w:rPr>
        <w:t>rungen in den Rahmenbedingungen, die für einen (Neugier-)Konsum motivieren (vgl. Abbi</w:t>
      </w:r>
      <w:r>
        <w:rPr>
          <w:szCs w:val="22"/>
        </w:rPr>
        <w:t>l</w:t>
      </w:r>
      <w:r>
        <w:rPr>
          <w:szCs w:val="22"/>
        </w:rPr>
        <w:t xml:space="preserve">dung 21). </w:t>
      </w:r>
    </w:p>
    <w:p w14:paraId="38AE2618" w14:textId="73C4388B" w:rsidR="00626478" w:rsidRPr="00C641E1" w:rsidRDefault="00591085" w:rsidP="00C641E1">
      <w:pPr>
        <w:pStyle w:val="Beschriftung"/>
        <w:spacing w:line="276" w:lineRule="auto"/>
        <w:jc w:val="both"/>
        <w:rPr>
          <w:b w:val="0"/>
          <w:sz w:val="22"/>
          <w:szCs w:val="22"/>
        </w:rPr>
      </w:pPr>
      <w:r>
        <w:rPr>
          <w:b w:val="0"/>
          <w:sz w:val="22"/>
          <w:szCs w:val="22"/>
        </w:rPr>
        <w:t>Der gleiche Effekt</w:t>
      </w:r>
      <w:r w:rsidR="00626478" w:rsidRPr="00C641E1">
        <w:rPr>
          <w:b w:val="0"/>
          <w:sz w:val="22"/>
          <w:szCs w:val="22"/>
        </w:rPr>
        <w:t xml:space="preserve"> </w:t>
      </w:r>
      <w:r>
        <w:rPr>
          <w:b w:val="0"/>
          <w:sz w:val="22"/>
          <w:szCs w:val="22"/>
        </w:rPr>
        <w:t>lässt</w:t>
      </w:r>
      <w:r w:rsidR="00626478" w:rsidRPr="00C641E1">
        <w:rPr>
          <w:b w:val="0"/>
          <w:sz w:val="22"/>
          <w:szCs w:val="22"/>
        </w:rPr>
        <w:t xml:space="preserve"> sich auch für die 30-Tage-Prävalenz (</w:t>
      </w:r>
      <w:r>
        <w:rPr>
          <w:b w:val="0"/>
          <w:sz w:val="22"/>
          <w:szCs w:val="22"/>
        </w:rPr>
        <w:t>?</w:t>
      </w:r>
      <w:r w:rsidR="008078CE">
        <w:rPr>
          <w:b w:val="0"/>
          <w:sz w:val="22"/>
          <w:szCs w:val="22"/>
        </w:rPr>
        <w:t>als aktuellen</w:t>
      </w:r>
      <w:r w:rsidR="00626478" w:rsidRPr="00C641E1">
        <w:rPr>
          <w:b w:val="0"/>
          <w:sz w:val="22"/>
          <w:szCs w:val="22"/>
        </w:rPr>
        <w:t xml:space="preserve"> Konsum</w:t>
      </w:r>
      <w:r w:rsidR="008078CE">
        <w:rPr>
          <w:b w:val="0"/>
          <w:sz w:val="22"/>
          <w:szCs w:val="22"/>
        </w:rPr>
        <w:t xml:space="preserve"> gedeutet</w:t>
      </w:r>
      <w:r w:rsidR="00626478" w:rsidRPr="00C641E1">
        <w:rPr>
          <w:b w:val="0"/>
          <w:sz w:val="22"/>
          <w:szCs w:val="22"/>
        </w:rPr>
        <w:t>) in den Jahren 2010-2014 aufzeigen</w:t>
      </w:r>
      <w:r>
        <w:rPr>
          <w:b w:val="0"/>
          <w:sz w:val="22"/>
          <w:szCs w:val="22"/>
        </w:rPr>
        <w:t>: A</w:t>
      </w:r>
      <w:r w:rsidR="00626478" w:rsidRPr="00C641E1">
        <w:rPr>
          <w:b w:val="0"/>
          <w:sz w:val="22"/>
          <w:szCs w:val="22"/>
        </w:rPr>
        <w:t>uch dazu f</w:t>
      </w:r>
      <w:r w:rsidR="00C641E1" w:rsidRPr="00C641E1">
        <w:rPr>
          <w:b w:val="0"/>
          <w:sz w:val="22"/>
          <w:szCs w:val="22"/>
        </w:rPr>
        <w:t>inden sich kaum Veränderungen</w:t>
      </w:r>
      <w:r w:rsidR="00150F77">
        <w:rPr>
          <w:b w:val="0"/>
          <w:sz w:val="22"/>
          <w:szCs w:val="22"/>
        </w:rPr>
        <w:t xml:space="preserve">; </w:t>
      </w:r>
      <w:r w:rsidR="00C641E1" w:rsidRPr="00C641E1">
        <w:rPr>
          <w:b w:val="0"/>
          <w:sz w:val="22"/>
          <w:szCs w:val="22"/>
        </w:rPr>
        <w:t>allein in der Gruppe der Schüler der 8. Klasse zeigt sich ein gewisser Rückgang der berichteten 30-Tage-Prävalenz (vgl. Abbildung 22).</w:t>
      </w:r>
    </w:p>
    <w:p w14:paraId="1B3A7F52" w14:textId="77777777" w:rsidR="002E29A0" w:rsidRDefault="002E29A0" w:rsidP="009D7629">
      <w:pPr>
        <w:keepNext/>
        <w:spacing w:line="276" w:lineRule="auto"/>
        <w:jc w:val="both"/>
      </w:pPr>
      <w:r>
        <w:rPr>
          <w:noProof/>
        </w:rPr>
        <w:drawing>
          <wp:inline distT="0" distB="0" distL="0" distR="0" wp14:anchorId="7B227B1A" wp14:editId="2820F138">
            <wp:extent cx="5029343" cy="2707640"/>
            <wp:effectExtent l="0" t="0" r="25400" b="35560"/>
            <wp:docPr id="38" name="Diagram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CE96287" w14:textId="54F5C079" w:rsidR="002E29A0" w:rsidRDefault="002E29A0" w:rsidP="009D7629">
      <w:pPr>
        <w:pStyle w:val="Beschriftung"/>
        <w:spacing w:line="276" w:lineRule="auto"/>
        <w:jc w:val="both"/>
      </w:pPr>
      <w:r>
        <w:t xml:space="preserve">Abbildung </w:t>
      </w:r>
      <w:fldSimple w:instr=" SEQ Abbildung \* ARABIC ">
        <w:r w:rsidR="00B86830">
          <w:rPr>
            <w:noProof/>
          </w:rPr>
          <w:t>22</w:t>
        </w:r>
      </w:fldSimple>
      <w:r>
        <w:t>: Entwicklung der 30-Tage-Prävalenz des Marihuana-Konsum</w:t>
      </w:r>
      <w:r w:rsidR="00C641E1">
        <w:t>s</w:t>
      </w:r>
      <w:r>
        <w:t xml:space="preserve"> unter Washingtoner Schülern (vgl. H</w:t>
      </w:r>
      <w:r w:rsidR="008A7E3C">
        <w:t xml:space="preserve">ealth </w:t>
      </w:r>
      <w:r>
        <w:t>Y</w:t>
      </w:r>
      <w:r w:rsidR="008A7E3C">
        <w:t xml:space="preserve">outh </w:t>
      </w:r>
      <w:r>
        <w:t>S</w:t>
      </w:r>
      <w:r w:rsidR="008A7E3C">
        <w:t>urvey</w:t>
      </w:r>
      <w:r>
        <w:t xml:space="preserve"> 2010, 2012, 2014)</w:t>
      </w:r>
    </w:p>
    <w:p w14:paraId="236147C7" w14:textId="1323684F" w:rsidR="008078CE" w:rsidRPr="008078CE" w:rsidRDefault="008078CE" w:rsidP="008078CE">
      <w:pPr>
        <w:pStyle w:val="KeinLeerraum"/>
        <w:spacing w:line="276" w:lineRule="auto"/>
        <w:jc w:val="both"/>
      </w:pPr>
      <w:r w:rsidRPr="008078CE">
        <w:t>Von den Jugendlichen, die auf Grund der 30-Tage-Prävalenz als aktuelle Konsumenten gede</w:t>
      </w:r>
      <w:r w:rsidRPr="008078CE">
        <w:t>u</w:t>
      </w:r>
      <w:r w:rsidRPr="008078CE">
        <w:t>tet wurden, gaben 25 % der 8</w:t>
      </w:r>
      <w:r w:rsidR="00591085">
        <w:t>. Klasse und fast 30 % der 10. u</w:t>
      </w:r>
      <w:r w:rsidRPr="008078CE">
        <w:t xml:space="preserve">nd 12. Klasse an, dass sie auf dem Schulgelände Marihuana konsumiert hätten (NWHDTA 2016, S. 56). Da auch diese Frage neu in den </w:t>
      </w:r>
      <w:r>
        <w:t xml:space="preserve">Health </w:t>
      </w:r>
      <w:r w:rsidRPr="008078CE">
        <w:t>You</w:t>
      </w:r>
      <w:r>
        <w:t>th Survey aufgenommen wurde, lass</w:t>
      </w:r>
      <w:r w:rsidRPr="008078CE">
        <w:t>en sich dazu leider keine Vergle</w:t>
      </w:r>
      <w:r w:rsidRPr="008078CE">
        <w:t>i</w:t>
      </w:r>
      <w:r w:rsidRPr="008078CE">
        <w:t>che zu Vorjahren finden.</w:t>
      </w:r>
      <w:r w:rsidR="008C5D04">
        <w:t xml:space="preserve"> Im Vergleich zum Bundesstaat Colorado (4,4 %) sind diese </w:t>
      </w:r>
      <w:r w:rsidR="008A7E3C">
        <w:t xml:space="preserve">Raten </w:t>
      </w:r>
      <w:r w:rsidR="008C5D04">
        <w:t>allerdings bemerkenswert hoch</w:t>
      </w:r>
      <w:r w:rsidR="001E7306">
        <w:t xml:space="preserve">, so dass dringlich eine Auseinandersetzung </w:t>
      </w:r>
      <w:r w:rsidR="00591085">
        <w:t>zu den</w:t>
      </w:r>
      <w:r w:rsidR="001E7306">
        <w:t xml:space="preserve"> Hinte</w:t>
      </w:r>
      <w:r w:rsidR="001E7306">
        <w:t>r</w:t>
      </w:r>
      <w:r w:rsidR="001E7306">
        <w:t>gründen angeraten erscheint, die hier nicht geleistet werden konnte</w:t>
      </w:r>
      <w:r w:rsidR="008C5D04">
        <w:t>.</w:t>
      </w:r>
    </w:p>
    <w:p w14:paraId="1E20D01A" w14:textId="660B50B1" w:rsidR="008078CE" w:rsidRDefault="008078CE" w:rsidP="00626478">
      <w:pPr>
        <w:pStyle w:val="KeinLeerraum"/>
        <w:spacing w:line="276" w:lineRule="auto"/>
        <w:jc w:val="both"/>
        <w:rPr>
          <w:b/>
        </w:rPr>
      </w:pPr>
      <w:r>
        <w:rPr>
          <w:b/>
        </w:rPr>
        <w:t xml:space="preserve">  </w:t>
      </w:r>
    </w:p>
    <w:p w14:paraId="38217F0A" w14:textId="4F6DBC86" w:rsidR="00626478" w:rsidRPr="00406527" w:rsidRDefault="00626478" w:rsidP="00626478">
      <w:pPr>
        <w:pStyle w:val="KeinLeerraum"/>
        <w:spacing w:line="276" w:lineRule="auto"/>
        <w:jc w:val="both"/>
        <w:rPr>
          <w:b/>
        </w:rPr>
      </w:pPr>
      <w:r w:rsidRPr="00406527">
        <w:rPr>
          <w:b/>
        </w:rPr>
        <w:t xml:space="preserve">Jugendliche Risikobeurteilungen eines Marihuana-Konsums </w:t>
      </w:r>
      <w:r w:rsidR="00C641E1">
        <w:rPr>
          <w:b/>
        </w:rPr>
        <w:t>„</w:t>
      </w:r>
      <w:r w:rsidR="00591085">
        <w:rPr>
          <w:b/>
        </w:rPr>
        <w:t>E</w:t>
      </w:r>
      <w:r w:rsidRPr="00406527">
        <w:rPr>
          <w:b/>
        </w:rPr>
        <w:t>in Mal im Monat</w:t>
      </w:r>
      <w:r w:rsidR="00C641E1">
        <w:rPr>
          <w:b/>
        </w:rPr>
        <w:t>“</w:t>
      </w:r>
      <w:r w:rsidRPr="00406527">
        <w:rPr>
          <w:b/>
        </w:rPr>
        <w:t xml:space="preserve"> </w:t>
      </w:r>
    </w:p>
    <w:p w14:paraId="4AD346B1" w14:textId="6C226F1D" w:rsidR="00C641E1" w:rsidRPr="00150F77" w:rsidRDefault="00626478" w:rsidP="001E7306">
      <w:pPr>
        <w:spacing w:line="276" w:lineRule="auto"/>
        <w:jc w:val="both"/>
        <w:rPr>
          <w:rFonts w:cs="Arial"/>
          <w:szCs w:val="22"/>
        </w:rPr>
      </w:pPr>
      <w:r w:rsidRPr="00150F77">
        <w:rPr>
          <w:szCs w:val="22"/>
        </w:rPr>
        <w:t xml:space="preserve">Interessanterweise haben sich diese Entwicklungen vollzogen, obwohl es unter Schülern </w:t>
      </w:r>
      <w:r w:rsidR="008078CE" w:rsidRPr="00150F77">
        <w:rPr>
          <w:szCs w:val="22"/>
        </w:rPr>
        <w:t xml:space="preserve">des Bundesstaates Washington </w:t>
      </w:r>
      <w:r w:rsidRPr="00150F77">
        <w:rPr>
          <w:szCs w:val="22"/>
        </w:rPr>
        <w:t xml:space="preserve">zwischen 2012 und 2014 zu einer </w:t>
      </w:r>
      <w:r w:rsidR="008078CE" w:rsidRPr="00150F77">
        <w:rPr>
          <w:szCs w:val="22"/>
        </w:rPr>
        <w:t xml:space="preserve">statistisch </w:t>
      </w:r>
      <w:r w:rsidRPr="00150F77">
        <w:rPr>
          <w:szCs w:val="22"/>
        </w:rPr>
        <w:t>signifikanten Relat</w:t>
      </w:r>
      <w:r w:rsidRPr="00150F77">
        <w:rPr>
          <w:szCs w:val="22"/>
        </w:rPr>
        <w:t>i</w:t>
      </w:r>
      <w:r w:rsidRPr="00150F77">
        <w:rPr>
          <w:szCs w:val="22"/>
        </w:rPr>
        <w:t xml:space="preserve">vierung in der Einschätzung gekommen ist, wie stark sich jemand gefährdet, der </w:t>
      </w:r>
      <w:r w:rsidR="00591085">
        <w:rPr>
          <w:szCs w:val="22"/>
        </w:rPr>
        <w:t>„Ein M</w:t>
      </w:r>
      <w:r w:rsidRPr="00150F77">
        <w:rPr>
          <w:szCs w:val="22"/>
        </w:rPr>
        <w:t>al pro Monat</w:t>
      </w:r>
      <w:r w:rsidR="00591085">
        <w:rPr>
          <w:szCs w:val="22"/>
        </w:rPr>
        <w:t>“</w:t>
      </w:r>
      <w:r w:rsidRPr="00150F77">
        <w:rPr>
          <w:szCs w:val="22"/>
        </w:rPr>
        <w:t xml:space="preserve"> Marihuana raucht (vgl. </w:t>
      </w:r>
      <w:r w:rsidRPr="00150F77">
        <w:rPr>
          <w:rFonts w:cs="Arial"/>
          <w:szCs w:val="22"/>
        </w:rPr>
        <w:t>Hughes, Rachel, Lipari; Williams 2015)(vgl. Abbildung</w:t>
      </w:r>
      <w:r w:rsidR="00C641E1" w:rsidRPr="00150F77">
        <w:rPr>
          <w:rFonts w:cs="Arial"/>
          <w:szCs w:val="22"/>
        </w:rPr>
        <w:t xml:space="preserve"> 23</w:t>
      </w:r>
      <w:r w:rsidRPr="00150F77">
        <w:rPr>
          <w:rFonts w:cs="Arial"/>
          <w:szCs w:val="22"/>
        </w:rPr>
        <w:t>).</w:t>
      </w:r>
    </w:p>
    <w:p w14:paraId="07FE2235" w14:textId="46EC4923" w:rsidR="00150F77" w:rsidRPr="00150F77" w:rsidRDefault="00150F77" w:rsidP="001E7306">
      <w:pPr>
        <w:pStyle w:val="KeinLeerraum"/>
        <w:spacing w:line="276" w:lineRule="auto"/>
        <w:jc w:val="both"/>
        <w:rPr>
          <w:szCs w:val="22"/>
        </w:rPr>
      </w:pPr>
      <w:r w:rsidRPr="00150F77">
        <w:rPr>
          <w:szCs w:val="22"/>
        </w:rPr>
        <w:t>Allerdings muss bei der Bewertung beachtet werden, dass d</w:t>
      </w:r>
      <w:r>
        <w:rPr>
          <w:szCs w:val="22"/>
        </w:rPr>
        <w:t>iese Frage in d</w:t>
      </w:r>
      <w:r w:rsidRPr="00150F77">
        <w:rPr>
          <w:szCs w:val="22"/>
        </w:rPr>
        <w:t>em Survey meh</w:t>
      </w:r>
      <w:r w:rsidRPr="00150F77">
        <w:rPr>
          <w:szCs w:val="22"/>
        </w:rPr>
        <w:t>r</w:t>
      </w:r>
      <w:r w:rsidRPr="00150F77">
        <w:rPr>
          <w:szCs w:val="22"/>
        </w:rPr>
        <w:t>fach geändert wurde: 2010 wurde gefragt: „Was denkst Du, wie hoch ist das Risiko für j</w:t>
      </w:r>
      <w:r w:rsidRPr="00150F77">
        <w:rPr>
          <w:szCs w:val="22"/>
        </w:rPr>
        <w:t>e</w:t>
      </w:r>
      <w:r w:rsidRPr="00150F77">
        <w:rPr>
          <w:szCs w:val="22"/>
        </w:rPr>
        <w:t>manden, der gelegentlich Marihuana konsumiert?“ („How much do you think people risk harming themselves if they smoke marijuana occasionally?“), diese Frage wurde 2012 geä</w:t>
      </w:r>
      <w:r w:rsidRPr="00150F77">
        <w:rPr>
          <w:szCs w:val="22"/>
        </w:rPr>
        <w:t>n</w:t>
      </w:r>
      <w:r w:rsidRPr="00150F77">
        <w:rPr>
          <w:szCs w:val="22"/>
        </w:rPr>
        <w:t>dert in: „Was denkst Du, wie hoch ist das Risiko für jemanden, der regelmäßig Marihuana konsumiert (1-2 Mal in der Woche)?“ („How much do you think people risk harming themse</w:t>
      </w:r>
      <w:r w:rsidRPr="00150F77">
        <w:rPr>
          <w:szCs w:val="22"/>
        </w:rPr>
        <w:t>l</w:t>
      </w:r>
      <w:r w:rsidRPr="00150F77">
        <w:rPr>
          <w:szCs w:val="22"/>
        </w:rPr>
        <w:t>ves if they: Smoke marijuana regularly? (at least once or twice a week“) und 2014 wurde g</w:t>
      </w:r>
      <w:r w:rsidRPr="00150F77">
        <w:rPr>
          <w:szCs w:val="22"/>
        </w:rPr>
        <w:t>e</w:t>
      </w:r>
      <w:r w:rsidRPr="00150F77">
        <w:rPr>
          <w:szCs w:val="22"/>
        </w:rPr>
        <w:t xml:space="preserve">fragt: </w:t>
      </w:r>
      <w:r w:rsidR="00591085">
        <w:rPr>
          <w:szCs w:val="22"/>
        </w:rPr>
        <w:t>„</w:t>
      </w:r>
      <w:r w:rsidRPr="00150F77">
        <w:rPr>
          <w:szCs w:val="22"/>
        </w:rPr>
        <w:t>Was würden Deine Freunde meinen, wie schlimm es für Dich ist, wenn Du Marihuana konsumieren würdest?</w:t>
      </w:r>
      <w:r w:rsidR="00591085">
        <w:rPr>
          <w:szCs w:val="22"/>
        </w:rPr>
        <w:t>“</w:t>
      </w:r>
      <w:r w:rsidRPr="00150F77">
        <w:rPr>
          <w:szCs w:val="22"/>
        </w:rPr>
        <w:t xml:space="preserve"> („</w:t>
      </w:r>
      <w:r w:rsidRPr="00150F77">
        <w:rPr>
          <w:bCs/>
          <w:szCs w:val="22"/>
        </w:rPr>
        <w:t>How wrong do your friends feel it would be for you to: Use m</w:t>
      </w:r>
      <w:r w:rsidRPr="00150F77">
        <w:rPr>
          <w:bCs/>
          <w:szCs w:val="22"/>
        </w:rPr>
        <w:t>a</w:t>
      </w:r>
      <w:r w:rsidRPr="00150F77">
        <w:rPr>
          <w:bCs/>
          <w:szCs w:val="22"/>
        </w:rPr>
        <w:t>rijuana?“)(vgl. Health Youth Survey 2010, 2012, 2014). Damit sind Vergleiche zwischen den verschiedenen Erhebungen nicht mehr möglich.</w:t>
      </w:r>
    </w:p>
    <w:p w14:paraId="1F4DD557" w14:textId="77777777" w:rsidR="00150F77" w:rsidRDefault="00150F77" w:rsidP="008078CE">
      <w:pPr>
        <w:spacing w:line="276" w:lineRule="auto"/>
        <w:rPr>
          <w:rFonts w:cs="Arial"/>
        </w:rPr>
      </w:pPr>
    </w:p>
    <w:p w14:paraId="049B2D42" w14:textId="77777777" w:rsidR="00C641E1" w:rsidRDefault="00C641E1" w:rsidP="00C641E1">
      <w:pPr>
        <w:rPr>
          <w:rFonts w:cs="Arial"/>
        </w:rPr>
      </w:pPr>
    </w:p>
    <w:p w14:paraId="0C8E5FB4" w14:textId="4CFA296C" w:rsidR="00C641E1" w:rsidRDefault="00C641E1" w:rsidP="00C641E1">
      <w:pPr>
        <w:rPr>
          <w:rFonts w:cs="Arial"/>
        </w:rPr>
      </w:pPr>
      <w:r w:rsidRPr="00C641E1">
        <w:rPr>
          <w:noProof/>
        </w:rPr>
        <w:drawing>
          <wp:inline distT="0" distB="0" distL="0" distR="0" wp14:anchorId="3413F471" wp14:editId="1381F53F">
            <wp:extent cx="5029343" cy="2840990"/>
            <wp:effectExtent l="0" t="0" r="25400" b="29210"/>
            <wp:docPr id="39" name="Diagram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E595BAE" w14:textId="0B40B124" w:rsidR="004E07E2" w:rsidRDefault="00274CC3" w:rsidP="009D7629">
      <w:pPr>
        <w:pStyle w:val="Beschriftung"/>
        <w:spacing w:line="276" w:lineRule="auto"/>
        <w:jc w:val="both"/>
        <w:rPr>
          <w:rFonts w:cs="Arial"/>
          <w:sz w:val="20"/>
          <w:szCs w:val="20"/>
        </w:rPr>
      </w:pPr>
      <w:r w:rsidRPr="00274CC3">
        <w:rPr>
          <w:sz w:val="20"/>
          <w:szCs w:val="20"/>
        </w:rPr>
        <w:t xml:space="preserve">Abbildung </w:t>
      </w:r>
      <w:r w:rsidRPr="00274CC3">
        <w:rPr>
          <w:sz w:val="20"/>
          <w:szCs w:val="20"/>
        </w:rPr>
        <w:fldChar w:fldCharType="begin"/>
      </w:r>
      <w:r w:rsidRPr="00274CC3">
        <w:rPr>
          <w:sz w:val="20"/>
          <w:szCs w:val="20"/>
        </w:rPr>
        <w:instrText xml:space="preserve"> SEQ Abbildung \* ARABIC </w:instrText>
      </w:r>
      <w:r w:rsidRPr="00274CC3">
        <w:rPr>
          <w:sz w:val="20"/>
          <w:szCs w:val="20"/>
        </w:rPr>
        <w:fldChar w:fldCharType="separate"/>
      </w:r>
      <w:r w:rsidR="00B86830">
        <w:rPr>
          <w:noProof/>
          <w:sz w:val="20"/>
          <w:szCs w:val="20"/>
        </w:rPr>
        <w:t>23</w:t>
      </w:r>
      <w:r w:rsidRPr="00274CC3">
        <w:rPr>
          <w:sz w:val="20"/>
          <w:szCs w:val="20"/>
        </w:rPr>
        <w:fldChar w:fldCharType="end"/>
      </w:r>
      <w:r w:rsidRPr="00274CC3">
        <w:rPr>
          <w:sz w:val="20"/>
          <w:szCs w:val="20"/>
        </w:rPr>
        <w:t>: Risikoeinschätzung durch 12-17Jährige Schüler: "Ein mal pro Monat Marihuana-Rauchen</w:t>
      </w:r>
      <w:r w:rsidR="00C641E1">
        <w:rPr>
          <w:sz w:val="20"/>
          <w:szCs w:val="20"/>
        </w:rPr>
        <w:t>“</w:t>
      </w:r>
      <w:r w:rsidRPr="00274CC3">
        <w:rPr>
          <w:sz w:val="20"/>
          <w:szCs w:val="20"/>
        </w:rPr>
        <w:t xml:space="preserve"> (vgl. </w:t>
      </w:r>
      <w:r w:rsidRPr="00274CC3">
        <w:rPr>
          <w:rFonts w:cs="Arial"/>
          <w:sz w:val="20"/>
          <w:szCs w:val="20"/>
        </w:rPr>
        <w:t>Hughes, Rachel, Lipari; Williams 2015)</w:t>
      </w:r>
    </w:p>
    <w:p w14:paraId="04A10EE8" w14:textId="77777777" w:rsidR="00A429B2" w:rsidRPr="00224873" w:rsidRDefault="00A429B2" w:rsidP="009D7629">
      <w:pPr>
        <w:pStyle w:val="berschrift2"/>
        <w:spacing w:line="276" w:lineRule="auto"/>
        <w:jc w:val="both"/>
      </w:pPr>
      <w:bookmarkStart w:id="38" w:name="_Toc349300367"/>
      <w:r w:rsidRPr="00224873">
        <w:t>Drogenpolitische Schlussfolgerungen</w:t>
      </w:r>
      <w:bookmarkEnd w:id="38"/>
    </w:p>
    <w:p w14:paraId="299794DA" w14:textId="3736285E" w:rsidR="00591085" w:rsidRDefault="008F3538" w:rsidP="009D7629">
      <w:pPr>
        <w:spacing w:line="276" w:lineRule="auto"/>
        <w:jc w:val="both"/>
        <w:rPr>
          <w:szCs w:val="22"/>
        </w:rPr>
      </w:pPr>
      <w:r>
        <w:rPr>
          <w:szCs w:val="22"/>
        </w:rPr>
        <w:t>Die verfügbaren Daten aus den Bundesstaaten Colorado un</w:t>
      </w:r>
      <w:r w:rsidR="00150F77">
        <w:rPr>
          <w:szCs w:val="22"/>
        </w:rPr>
        <w:t xml:space="preserve">d Washington zu den Effekten des </w:t>
      </w:r>
      <w:r>
        <w:rPr>
          <w:szCs w:val="22"/>
        </w:rPr>
        <w:t xml:space="preserve"> Marihuana-</w:t>
      </w:r>
      <w:r w:rsidR="00D01097">
        <w:rPr>
          <w:szCs w:val="22"/>
        </w:rPr>
        <w:t>Regulierung</w:t>
      </w:r>
      <w:r w:rsidR="00150F77">
        <w:rPr>
          <w:szCs w:val="22"/>
        </w:rPr>
        <w:t>sprozesses</w:t>
      </w:r>
      <w:r>
        <w:rPr>
          <w:szCs w:val="22"/>
        </w:rPr>
        <w:t xml:space="preserve"> für </w:t>
      </w:r>
      <w:r w:rsidR="00C641E1">
        <w:rPr>
          <w:szCs w:val="22"/>
        </w:rPr>
        <w:t xml:space="preserve">Erwachsende (älter als 21 Jahre) </w:t>
      </w:r>
      <w:r>
        <w:rPr>
          <w:szCs w:val="22"/>
        </w:rPr>
        <w:t>können die gefürc</w:t>
      </w:r>
      <w:r>
        <w:rPr>
          <w:szCs w:val="22"/>
        </w:rPr>
        <w:t>h</w:t>
      </w:r>
      <w:r>
        <w:rPr>
          <w:szCs w:val="22"/>
        </w:rPr>
        <w:t>te</w:t>
      </w:r>
      <w:r w:rsidR="00C641E1">
        <w:rPr>
          <w:szCs w:val="22"/>
        </w:rPr>
        <w:t>ten Damm-Bruch-Sz</w:t>
      </w:r>
      <w:r w:rsidR="004D4841">
        <w:rPr>
          <w:szCs w:val="22"/>
        </w:rPr>
        <w:t>enarien für weiterhin unter Prohib</w:t>
      </w:r>
      <w:r w:rsidR="00C641E1">
        <w:rPr>
          <w:szCs w:val="22"/>
        </w:rPr>
        <w:t>ition stehende Jugendliche und He</w:t>
      </w:r>
      <w:r w:rsidR="00C641E1">
        <w:rPr>
          <w:szCs w:val="22"/>
        </w:rPr>
        <w:t>r</w:t>
      </w:r>
      <w:r w:rsidR="00C641E1">
        <w:rPr>
          <w:szCs w:val="22"/>
        </w:rPr>
        <w:t xml:space="preserve">anwachsenden </w:t>
      </w:r>
      <w:r>
        <w:rPr>
          <w:szCs w:val="22"/>
        </w:rPr>
        <w:t xml:space="preserve">nicht bestätigen. </w:t>
      </w:r>
      <w:r w:rsidR="00591085">
        <w:rPr>
          <w:szCs w:val="22"/>
        </w:rPr>
        <w:t xml:space="preserve">Es setzen </w:t>
      </w:r>
      <w:r>
        <w:rPr>
          <w:szCs w:val="22"/>
        </w:rPr>
        <w:t xml:space="preserve">sich </w:t>
      </w:r>
      <w:r w:rsidR="00591085">
        <w:rPr>
          <w:szCs w:val="22"/>
        </w:rPr>
        <w:t xml:space="preserve">nach einer drogenpolitischen Neuregelung </w:t>
      </w:r>
      <w:r w:rsidR="00C641E1">
        <w:rPr>
          <w:szCs w:val="22"/>
        </w:rPr>
        <w:t>in dieser Alter</w:t>
      </w:r>
      <w:r w:rsidR="004D4841">
        <w:rPr>
          <w:szCs w:val="22"/>
        </w:rPr>
        <w:t>s</w:t>
      </w:r>
      <w:r w:rsidR="00C641E1">
        <w:rPr>
          <w:szCs w:val="22"/>
        </w:rPr>
        <w:t xml:space="preserve">gruppe </w:t>
      </w:r>
      <w:r w:rsidR="00591085">
        <w:rPr>
          <w:szCs w:val="22"/>
        </w:rPr>
        <w:t>Entwicklungen fort, die schon</w:t>
      </w:r>
      <w:r>
        <w:rPr>
          <w:szCs w:val="22"/>
        </w:rPr>
        <w:t xml:space="preserve"> vor der </w:t>
      </w:r>
      <w:r w:rsidR="00D01097">
        <w:rPr>
          <w:szCs w:val="22"/>
        </w:rPr>
        <w:t>Regulierung</w:t>
      </w:r>
      <w:r w:rsidR="00591085">
        <w:rPr>
          <w:szCs w:val="22"/>
        </w:rPr>
        <w:t xml:space="preserve"> existierten</w:t>
      </w:r>
      <w:r>
        <w:rPr>
          <w:szCs w:val="22"/>
        </w:rPr>
        <w:t>. Dies b</w:t>
      </w:r>
      <w:r>
        <w:rPr>
          <w:szCs w:val="22"/>
        </w:rPr>
        <w:t>e</w:t>
      </w:r>
      <w:r>
        <w:rPr>
          <w:szCs w:val="22"/>
        </w:rPr>
        <w:t xml:space="preserve">trifft sowohl den Trend stagnierender bzw. leicht rückläufiger Konsumprävalenzen unter Jugendlichen, als auch </w:t>
      </w:r>
      <w:r w:rsidR="00C641E1">
        <w:rPr>
          <w:szCs w:val="22"/>
        </w:rPr>
        <w:t>(mit Einschränkunge</w:t>
      </w:r>
      <w:r w:rsidR="004D4841">
        <w:rPr>
          <w:szCs w:val="22"/>
        </w:rPr>
        <w:t>n</w:t>
      </w:r>
      <w:r w:rsidR="00C641E1">
        <w:rPr>
          <w:szCs w:val="22"/>
        </w:rPr>
        <w:t xml:space="preserve"> bezüglich der Verwendbarkeit dieser Daten) </w:t>
      </w:r>
      <w:r>
        <w:rPr>
          <w:szCs w:val="22"/>
        </w:rPr>
        <w:t>die Relativierung der Risikoeinschätzung des Kon</w:t>
      </w:r>
      <w:r w:rsidR="00C641E1">
        <w:rPr>
          <w:szCs w:val="22"/>
        </w:rPr>
        <w:t>sums</w:t>
      </w:r>
      <w:r>
        <w:rPr>
          <w:szCs w:val="22"/>
        </w:rPr>
        <w:t xml:space="preserve">. </w:t>
      </w:r>
    </w:p>
    <w:p w14:paraId="63D33E51" w14:textId="4E3A2FF3" w:rsidR="008F3538" w:rsidRDefault="008F3538" w:rsidP="009D7629">
      <w:pPr>
        <w:spacing w:line="276" w:lineRule="auto"/>
        <w:jc w:val="both"/>
        <w:rPr>
          <w:szCs w:val="22"/>
        </w:rPr>
      </w:pPr>
      <w:r>
        <w:rPr>
          <w:szCs w:val="22"/>
        </w:rPr>
        <w:t xml:space="preserve">Interessant wäre in diesem Zusammenhang herauszufinden, ob diese </w:t>
      </w:r>
      <w:r w:rsidR="00591085">
        <w:rPr>
          <w:szCs w:val="22"/>
        </w:rPr>
        <w:t>Entwicklungen</w:t>
      </w:r>
      <w:r>
        <w:rPr>
          <w:szCs w:val="22"/>
        </w:rPr>
        <w:t xml:space="preserve"> im Si</w:t>
      </w:r>
      <w:r>
        <w:rPr>
          <w:szCs w:val="22"/>
        </w:rPr>
        <w:t>n</w:t>
      </w:r>
      <w:r>
        <w:rPr>
          <w:szCs w:val="22"/>
        </w:rPr>
        <w:t xml:space="preserve">ne einer weiteren Normalisierung positiv bewertet werden </w:t>
      </w:r>
      <w:r w:rsidR="00591085">
        <w:rPr>
          <w:szCs w:val="22"/>
        </w:rPr>
        <w:t>können</w:t>
      </w:r>
      <w:r>
        <w:rPr>
          <w:szCs w:val="22"/>
        </w:rPr>
        <w:t xml:space="preserve">. </w:t>
      </w:r>
      <w:r w:rsidR="00591085">
        <w:rPr>
          <w:szCs w:val="22"/>
        </w:rPr>
        <w:t>I</w:t>
      </w:r>
      <w:r>
        <w:rPr>
          <w:szCs w:val="22"/>
        </w:rPr>
        <w:t xml:space="preserve">n deutschen Studien wurde </w:t>
      </w:r>
      <w:r w:rsidR="00591085">
        <w:rPr>
          <w:szCs w:val="22"/>
        </w:rPr>
        <w:t xml:space="preserve">z. B. </w:t>
      </w:r>
      <w:r>
        <w:rPr>
          <w:szCs w:val="22"/>
        </w:rPr>
        <w:t>heraus gestellt, dass die manipulative Dramatisierung negati</w:t>
      </w:r>
      <w:r w:rsidR="00591085">
        <w:rPr>
          <w:szCs w:val="22"/>
        </w:rPr>
        <w:t>ver</w:t>
      </w:r>
      <w:r>
        <w:rPr>
          <w:szCs w:val="22"/>
        </w:rPr>
        <w:t xml:space="preserve"> Effekte des Ko</w:t>
      </w:r>
      <w:r>
        <w:rPr>
          <w:szCs w:val="22"/>
        </w:rPr>
        <w:t>n</w:t>
      </w:r>
      <w:r>
        <w:rPr>
          <w:szCs w:val="22"/>
        </w:rPr>
        <w:t>sums psycho</w:t>
      </w:r>
      <w:r w:rsidR="00591085">
        <w:rPr>
          <w:szCs w:val="22"/>
        </w:rPr>
        <w:t>-</w:t>
      </w:r>
      <w:r>
        <w:rPr>
          <w:szCs w:val="22"/>
        </w:rPr>
        <w:t xml:space="preserve">aktiver Substanzen </w:t>
      </w:r>
      <w:r w:rsidR="00591085">
        <w:rPr>
          <w:szCs w:val="22"/>
        </w:rPr>
        <w:t>u. a. über Medien und</w:t>
      </w:r>
      <w:r>
        <w:rPr>
          <w:szCs w:val="22"/>
        </w:rPr>
        <w:t xml:space="preserve"> Prävention</w:t>
      </w:r>
      <w:r w:rsidR="00591085">
        <w:rPr>
          <w:szCs w:val="22"/>
        </w:rPr>
        <w:t>sprojekte</w:t>
      </w:r>
      <w:r>
        <w:rPr>
          <w:szCs w:val="22"/>
        </w:rPr>
        <w:t xml:space="preserve"> einen negativen Dominoeffekt haben, wenn </w:t>
      </w:r>
      <w:r w:rsidR="00591085">
        <w:rPr>
          <w:szCs w:val="22"/>
        </w:rPr>
        <w:t xml:space="preserve">Jugendliche </w:t>
      </w:r>
      <w:r>
        <w:rPr>
          <w:szCs w:val="22"/>
        </w:rPr>
        <w:t>im Rahmen eigener Erfahrungen diese Information</w:t>
      </w:r>
      <w:r>
        <w:rPr>
          <w:szCs w:val="22"/>
        </w:rPr>
        <w:t>s</w:t>
      </w:r>
      <w:r>
        <w:rPr>
          <w:szCs w:val="22"/>
        </w:rPr>
        <w:t>strategien enttarnen und in der Folge jegliche Verweise auf Risiken und Gefahren nicht mehr annehmen</w:t>
      </w:r>
      <w:r w:rsidR="00C65FA0">
        <w:rPr>
          <w:szCs w:val="22"/>
        </w:rPr>
        <w:t xml:space="preserve"> (vgl. u.</w:t>
      </w:r>
      <w:r w:rsidR="0061354A">
        <w:rPr>
          <w:szCs w:val="22"/>
        </w:rPr>
        <w:t xml:space="preserve"> a. Kappeler, Barsch et al. 1999</w:t>
      </w:r>
      <w:r w:rsidR="00C65FA0">
        <w:rPr>
          <w:szCs w:val="22"/>
        </w:rPr>
        <w:t>)</w:t>
      </w:r>
      <w:r>
        <w:rPr>
          <w:szCs w:val="22"/>
        </w:rPr>
        <w:t>. In diesem Sinne könnte bereits die mediz</w:t>
      </w:r>
      <w:r>
        <w:rPr>
          <w:szCs w:val="22"/>
        </w:rPr>
        <w:t>i</w:t>
      </w:r>
      <w:r>
        <w:rPr>
          <w:szCs w:val="22"/>
        </w:rPr>
        <w:t xml:space="preserve">nische Vergabe von Marihuana </w:t>
      </w:r>
      <w:r w:rsidR="00C65FA0">
        <w:rPr>
          <w:szCs w:val="22"/>
        </w:rPr>
        <w:t>eine</w:t>
      </w:r>
      <w:r>
        <w:rPr>
          <w:szCs w:val="22"/>
        </w:rPr>
        <w:t xml:space="preserve"> Korrektur überzogener </w:t>
      </w:r>
      <w:r w:rsidR="00C65FA0">
        <w:rPr>
          <w:szCs w:val="22"/>
        </w:rPr>
        <w:t xml:space="preserve">Risikodarstellungen </w:t>
      </w:r>
      <w:r>
        <w:rPr>
          <w:szCs w:val="22"/>
        </w:rPr>
        <w:t xml:space="preserve"> </w:t>
      </w:r>
      <w:r w:rsidR="00C65FA0">
        <w:rPr>
          <w:szCs w:val="22"/>
        </w:rPr>
        <w:t>anregen und eine realitätsgerechte Auseinandersetzung der Jugendlichen mit den Effekten des Ko</w:t>
      </w:r>
      <w:r w:rsidR="00C65FA0">
        <w:rPr>
          <w:szCs w:val="22"/>
        </w:rPr>
        <w:t>n</w:t>
      </w:r>
      <w:r w:rsidR="00C65FA0">
        <w:rPr>
          <w:szCs w:val="22"/>
        </w:rPr>
        <w:t>sums erlauben</w:t>
      </w:r>
      <w:r w:rsidR="00591085">
        <w:rPr>
          <w:szCs w:val="22"/>
        </w:rPr>
        <w:t>: B</w:t>
      </w:r>
      <w:r w:rsidR="0061354A">
        <w:rPr>
          <w:szCs w:val="22"/>
        </w:rPr>
        <w:t>asale Voraussetzungen, sich dieser Substanz mit gebotenem Respekt zu n</w:t>
      </w:r>
      <w:r w:rsidR="0061354A">
        <w:rPr>
          <w:szCs w:val="22"/>
        </w:rPr>
        <w:t>ä</w:t>
      </w:r>
      <w:r w:rsidR="0061354A">
        <w:rPr>
          <w:szCs w:val="22"/>
        </w:rPr>
        <w:t xml:space="preserve">hern. </w:t>
      </w:r>
    </w:p>
    <w:p w14:paraId="294E5A44" w14:textId="77777777" w:rsidR="00591085" w:rsidRDefault="00591085" w:rsidP="009D7629">
      <w:pPr>
        <w:spacing w:line="276" w:lineRule="auto"/>
        <w:jc w:val="both"/>
        <w:rPr>
          <w:szCs w:val="22"/>
        </w:rPr>
      </w:pPr>
    </w:p>
    <w:p w14:paraId="0DD9D7DD" w14:textId="33561195" w:rsidR="0061354A" w:rsidRDefault="00C65FA0" w:rsidP="009D7629">
      <w:pPr>
        <w:spacing w:line="276" w:lineRule="auto"/>
        <w:jc w:val="both"/>
        <w:rPr>
          <w:szCs w:val="22"/>
        </w:rPr>
      </w:pPr>
      <w:r>
        <w:rPr>
          <w:szCs w:val="22"/>
        </w:rPr>
        <w:t xml:space="preserve">Wenn auch nicht in signifikant ausweisbaren Bezügen </w:t>
      </w:r>
      <w:r w:rsidR="008F3538">
        <w:rPr>
          <w:szCs w:val="22"/>
        </w:rPr>
        <w:t xml:space="preserve">deuten sich jedoch wünschenswerte Entwicklungen in Form einer Erhöhung des Probieralters und eines Sinkens der Zahl sehr intensiver Konsummuster </w:t>
      </w:r>
      <w:r w:rsidR="00591085">
        <w:rPr>
          <w:szCs w:val="22"/>
        </w:rPr>
        <w:t xml:space="preserve">unter Jugendlichen </w:t>
      </w:r>
      <w:r w:rsidR="008F3538">
        <w:rPr>
          <w:szCs w:val="22"/>
        </w:rPr>
        <w:t>an</w:t>
      </w:r>
      <w:r w:rsidR="00150F77">
        <w:rPr>
          <w:szCs w:val="22"/>
        </w:rPr>
        <w:t>, die möglicherweise Folgen des</w:t>
      </w:r>
      <w:r w:rsidR="0061354A">
        <w:rPr>
          <w:szCs w:val="22"/>
        </w:rPr>
        <w:t xml:space="preserve"> </w:t>
      </w:r>
      <w:r w:rsidR="00D01097">
        <w:rPr>
          <w:szCs w:val="22"/>
        </w:rPr>
        <w:t>Reguli</w:t>
      </w:r>
      <w:r w:rsidR="00D01097">
        <w:rPr>
          <w:szCs w:val="22"/>
        </w:rPr>
        <w:t>e</w:t>
      </w:r>
      <w:r w:rsidR="00D01097">
        <w:rPr>
          <w:szCs w:val="22"/>
        </w:rPr>
        <w:t>rung</w:t>
      </w:r>
      <w:r w:rsidR="00150F77">
        <w:rPr>
          <w:szCs w:val="22"/>
        </w:rPr>
        <w:t>sprozesses</w:t>
      </w:r>
      <w:r w:rsidR="0061354A">
        <w:rPr>
          <w:szCs w:val="22"/>
        </w:rPr>
        <w:t xml:space="preserve"> sind</w:t>
      </w:r>
      <w:r w:rsidR="008F3538">
        <w:rPr>
          <w:szCs w:val="22"/>
        </w:rPr>
        <w:t xml:space="preserve">. </w:t>
      </w:r>
      <w:r w:rsidR="0061354A">
        <w:rPr>
          <w:szCs w:val="22"/>
        </w:rPr>
        <w:t xml:space="preserve">Es bleibt allerdings abzuwarten, ob diese zu einem stabilen Trend </w:t>
      </w:r>
      <w:r w:rsidR="00AC529F">
        <w:rPr>
          <w:szCs w:val="22"/>
        </w:rPr>
        <w:t>we</w:t>
      </w:r>
      <w:r w:rsidR="00AC529F">
        <w:rPr>
          <w:szCs w:val="22"/>
        </w:rPr>
        <w:t>r</w:t>
      </w:r>
      <w:r w:rsidR="00AC529F">
        <w:rPr>
          <w:szCs w:val="22"/>
        </w:rPr>
        <w:t>den</w:t>
      </w:r>
      <w:r w:rsidR="0061354A">
        <w:rPr>
          <w:szCs w:val="22"/>
        </w:rPr>
        <w:t xml:space="preserve">. </w:t>
      </w:r>
    </w:p>
    <w:p w14:paraId="2162173E" w14:textId="411D1899" w:rsidR="008F3538" w:rsidRDefault="008F3538" w:rsidP="009D7629">
      <w:pPr>
        <w:spacing w:line="276" w:lineRule="auto"/>
        <w:jc w:val="both"/>
        <w:rPr>
          <w:szCs w:val="22"/>
        </w:rPr>
      </w:pPr>
      <w:r>
        <w:rPr>
          <w:szCs w:val="22"/>
        </w:rPr>
        <w:t xml:space="preserve">Zu diesen positiven Veränderungen </w:t>
      </w:r>
      <w:r w:rsidR="00591085">
        <w:rPr>
          <w:szCs w:val="22"/>
        </w:rPr>
        <w:t>gehört</w:t>
      </w:r>
      <w:r>
        <w:rPr>
          <w:szCs w:val="22"/>
        </w:rPr>
        <w:t xml:space="preserve"> auch die leichte Zunahme des Probierkonsums </w:t>
      </w:r>
      <w:r w:rsidR="00591085">
        <w:rPr>
          <w:szCs w:val="22"/>
        </w:rPr>
        <w:t>in bestimmten Altersgruppen</w:t>
      </w:r>
      <w:r>
        <w:rPr>
          <w:szCs w:val="22"/>
        </w:rPr>
        <w:t xml:space="preserve">, </w:t>
      </w:r>
      <w:r w:rsidR="00C641E1">
        <w:rPr>
          <w:szCs w:val="22"/>
        </w:rPr>
        <w:t xml:space="preserve">die </w:t>
      </w:r>
      <w:r w:rsidR="00AC529F">
        <w:rPr>
          <w:szCs w:val="22"/>
        </w:rPr>
        <w:t>geringer als erwartet</w:t>
      </w:r>
      <w:r w:rsidR="00C641E1">
        <w:rPr>
          <w:szCs w:val="22"/>
        </w:rPr>
        <w:t xml:space="preserve"> ausfiel, in anderen </w:t>
      </w:r>
      <w:r w:rsidR="00591085">
        <w:rPr>
          <w:szCs w:val="22"/>
        </w:rPr>
        <w:t>Altersgruppen</w:t>
      </w:r>
      <w:r w:rsidR="00C641E1">
        <w:rPr>
          <w:szCs w:val="22"/>
        </w:rPr>
        <w:t xml:space="preserve"> sogar ganz ausblieb und </w:t>
      </w:r>
      <w:r>
        <w:rPr>
          <w:szCs w:val="22"/>
        </w:rPr>
        <w:t xml:space="preserve">offensichtlich nicht eine Zunahme des regelmäßigen Konsums </w:t>
      </w:r>
      <w:r w:rsidR="00591085">
        <w:rPr>
          <w:szCs w:val="22"/>
        </w:rPr>
        <w:t>ge</w:t>
      </w:r>
      <w:r>
        <w:rPr>
          <w:szCs w:val="22"/>
        </w:rPr>
        <w:t>fördert</w:t>
      </w:r>
      <w:r w:rsidR="00591085">
        <w:rPr>
          <w:szCs w:val="22"/>
        </w:rPr>
        <w:t xml:space="preserve"> hat</w:t>
      </w:r>
      <w:r>
        <w:rPr>
          <w:szCs w:val="22"/>
        </w:rPr>
        <w:t xml:space="preserve">. </w:t>
      </w:r>
      <w:r w:rsidR="00591085">
        <w:rPr>
          <w:szCs w:val="22"/>
        </w:rPr>
        <w:t xml:space="preserve">Insofern deuten sich </w:t>
      </w:r>
      <w:r>
        <w:rPr>
          <w:szCs w:val="22"/>
        </w:rPr>
        <w:t>die aus deutschen Untersuchungen bekannten Zusammenhänge</w:t>
      </w:r>
      <w:r w:rsidR="00591085">
        <w:rPr>
          <w:szCs w:val="22"/>
        </w:rPr>
        <w:t xml:space="preserve"> auch unter U.S.-amerikanischen Jugendlichen an</w:t>
      </w:r>
      <w:r>
        <w:rPr>
          <w:szCs w:val="22"/>
        </w:rPr>
        <w:t>, nach denen nur wenige, die Cannabis pr</w:t>
      </w:r>
      <w:r>
        <w:rPr>
          <w:szCs w:val="22"/>
        </w:rPr>
        <w:t>o</w:t>
      </w:r>
      <w:r>
        <w:rPr>
          <w:szCs w:val="22"/>
        </w:rPr>
        <w:t>bieren, diesen Konsum auch in Form eines Gelegenheits- oder regelmäßigen Konsums beib</w:t>
      </w:r>
      <w:r>
        <w:rPr>
          <w:szCs w:val="22"/>
        </w:rPr>
        <w:t>e</w:t>
      </w:r>
      <w:r>
        <w:rPr>
          <w:szCs w:val="22"/>
        </w:rPr>
        <w:t>halten (vgl. Kleiber, Soellner 1998)</w:t>
      </w:r>
      <w:r w:rsidR="00591085">
        <w:rPr>
          <w:szCs w:val="22"/>
        </w:rPr>
        <w:t>. Die</w:t>
      </w:r>
      <w:r w:rsidR="00C641E1">
        <w:rPr>
          <w:szCs w:val="22"/>
        </w:rPr>
        <w:t xml:space="preserve"> </w:t>
      </w:r>
      <w:r w:rsidR="004D4841">
        <w:rPr>
          <w:szCs w:val="22"/>
        </w:rPr>
        <w:t>durch ein Bündel sozialer Ein</w:t>
      </w:r>
      <w:r w:rsidR="00C641E1">
        <w:rPr>
          <w:szCs w:val="22"/>
        </w:rPr>
        <w:t xml:space="preserve">flussfaktoren geprägte </w:t>
      </w:r>
      <w:r>
        <w:rPr>
          <w:szCs w:val="22"/>
        </w:rPr>
        <w:t xml:space="preserve">Auseinandersetzung mit Cannabis </w:t>
      </w:r>
      <w:r w:rsidR="00C641E1">
        <w:rPr>
          <w:szCs w:val="22"/>
        </w:rPr>
        <w:t xml:space="preserve">wird </w:t>
      </w:r>
      <w:r>
        <w:rPr>
          <w:szCs w:val="22"/>
        </w:rPr>
        <w:t xml:space="preserve">offensichtlich durch </w:t>
      </w:r>
      <w:r w:rsidR="00D01097">
        <w:rPr>
          <w:szCs w:val="22"/>
        </w:rPr>
        <w:t>Regulierung</w:t>
      </w:r>
      <w:r w:rsidR="00AC529F">
        <w:rPr>
          <w:szCs w:val="22"/>
        </w:rPr>
        <w:t>sprozesse</w:t>
      </w:r>
      <w:r>
        <w:rPr>
          <w:szCs w:val="22"/>
        </w:rPr>
        <w:t xml:space="preserve"> nicht </w:t>
      </w:r>
      <w:r w:rsidR="00620E5A">
        <w:rPr>
          <w:szCs w:val="22"/>
        </w:rPr>
        <w:t xml:space="preserve">grundsätzlich </w:t>
      </w:r>
      <w:r>
        <w:rPr>
          <w:szCs w:val="22"/>
        </w:rPr>
        <w:t>verändert.</w:t>
      </w:r>
    </w:p>
    <w:p w14:paraId="394DC2DA" w14:textId="32C3A1A7" w:rsidR="00AC529F" w:rsidRDefault="003A737E" w:rsidP="00AC529F">
      <w:pPr>
        <w:spacing w:line="276" w:lineRule="auto"/>
        <w:jc w:val="both"/>
        <w:rPr>
          <w:szCs w:val="22"/>
        </w:rPr>
      </w:pPr>
      <w:r>
        <w:rPr>
          <w:rFonts w:cs="Times New Roman"/>
          <w:szCs w:val="22"/>
        </w:rPr>
        <w:t>Den</w:t>
      </w:r>
      <w:r w:rsidR="00AC529F">
        <w:rPr>
          <w:rFonts w:cs="Times New Roman"/>
          <w:szCs w:val="22"/>
        </w:rPr>
        <w:t xml:space="preserve"> sich mehrenden Hinweise</w:t>
      </w:r>
      <w:r>
        <w:rPr>
          <w:rFonts w:cs="Times New Roman"/>
          <w:szCs w:val="22"/>
        </w:rPr>
        <w:t>n</w:t>
      </w:r>
      <w:r w:rsidR="00AC529F">
        <w:rPr>
          <w:rFonts w:cs="Times New Roman"/>
          <w:szCs w:val="22"/>
        </w:rPr>
        <w:t>, dass die Institution Schule weniger zu dem Ort wird, an dem Jugendliche sich Marihuana beschaffen, ist nachzugehen. Diese sprechen dafür, dass nunmehr andere Möglichkeiten für die Beschaffung erschlossen werden und die Institution Schule, die weiterhin mit starken Sanktionen droht, dafür nicht mehr genutzt wird.</w:t>
      </w:r>
    </w:p>
    <w:p w14:paraId="161D4442" w14:textId="77777777" w:rsidR="00591085" w:rsidRDefault="00591085" w:rsidP="004B3101">
      <w:pPr>
        <w:spacing w:line="276" w:lineRule="auto"/>
        <w:jc w:val="both"/>
      </w:pPr>
    </w:p>
    <w:p w14:paraId="2430F3BA" w14:textId="77777777" w:rsidR="004B3101" w:rsidRPr="00AB7021" w:rsidRDefault="004B3101" w:rsidP="004B3101">
      <w:pPr>
        <w:spacing w:line="276" w:lineRule="auto"/>
        <w:jc w:val="both"/>
        <w:rPr>
          <w:i/>
          <w:szCs w:val="22"/>
        </w:rPr>
      </w:pPr>
      <w:r>
        <w:t>Wie im Rahmen von Drogenerziehung und Suchtprävention mit diesen Entwicklungen u</w:t>
      </w:r>
      <w:r>
        <w:t>m</w:t>
      </w:r>
      <w:r>
        <w:t>gangen werden muss, ist noch unklar. Die empirischen Befunde der letzten zehn Jahre bel</w:t>
      </w:r>
      <w:r>
        <w:t>e</w:t>
      </w:r>
      <w:r>
        <w:t>gen allerdings deutlich, dass ein Beharren auf Abschreckung und Manipulation durch ve</w:t>
      </w:r>
      <w:r>
        <w:t>r</w:t>
      </w:r>
      <w:r>
        <w:t>schobene Risikodarstellungen sowie auf einer strikten Abstinenzforderung diesen Herau</w:t>
      </w:r>
      <w:r>
        <w:t>s</w:t>
      </w:r>
      <w:r>
        <w:t>forderungen nicht gerecht wird und eher geeignet ist, Jugendliche und Heranwachsende mit ihrer Annäherung an den Umgang mit dieser Substanz in Heimlichkeit und ausschließlich auf ihre Peer-Group bezogen zu drängen.</w:t>
      </w:r>
    </w:p>
    <w:p w14:paraId="7DD0B798" w14:textId="77777777" w:rsidR="00DF2EE5" w:rsidRDefault="00DF2EE5" w:rsidP="009D7629">
      <w:pPr>
        <w:spacing w:line="276" w:lineRule="auto"/>
        <w:jc w:val="both"/>
      </w:pPr>
    </w:p>
    <w:p w14:paraId="62AFC951" w14:textId="56E3D5E3" w:rsidR="00C641E1" w:rsidRDefault="00620E5A" w:rsidP="009D7629">
      <w:pPr>
        <w:spacing w:line="276" w:lineRule="auto"/>
        <w:jc w:val="both"/>
      </w:pPr>
      <w:r>
        <w:t>Im Zuge der Auseinandersetzung mit den vorliegenden amerikanischen Daten</w:t>
      </w:r>
      <w:r w:rsidR="006938EE">
        <w:t xml:space="preserve"> </w:t>
      </w:r>
      <w:r>
        <w:t>wird zudem deut</w:t>
      </w:r>
      <w:r w:rsidR="00C641E1">
        <w:t xml:space="preserve">lich, </w:t>
      </w:r>
      <w:r>
        <w:t xml:space="preserve">dass die wissenschaftliche Begleitforschung </w:t>
      </w:r>
      <w:r w:rsidR="00C641E1">
        <w:t>eines</w:t>
      </w:r>
      <w:r>
        <w:t xml:space="preserve"> drogenpolitischen Wechsel</w:t>
      </w:r>
      <w:r w:rsidR="00C641E1">
        <w:t>s</w:t>
      </w:r>
      <w:r>
        <w:t xml:space="preserve"> </w:t>
      </w:r>
      <w:r w:rsidR="00C641E1">
        <w:t xml:space="preserve">mit einem </w:t>
      </w:r>
      <w:r>
        <w:t>möglichst weit</w:t>
      </w:r>
      <w:r w:rsidR="00C641E1">
        <w:t xml:space="preserve">en Vorlauf </w:t>
      </w:r>
      <w:r>
        <w:t>beginnen sollte, über einen tatsächlich aussagefähigen D</w:t>
      </w:r>
      <w:r>
        <w:t>a</w:t>
      </w:r>
      <w:r>
        <w:t>tenfundus nachzudenken und dazu ein belastbares Monitoringsystem aufzubauen</w:t>
      </w:r>
      <w:r w:rsidR="00C641E1">
        <w:t>. I</w:t>
      </w:r>
      <w:r>
        <w:t>n d</w:t>
      </w:r>
      <w:r w:rsidR="00C641E1">
        <w:t>ies</w:t>
      </w:r>
      <w:r>
        <w:t xml:space="preserve">em </w:t>
      </w:r>
      <w:r w:rsidR="00C641E1">
        <w:t xml:space="preserve">sollten </w:t>
      </w:r>
      <w:r>
        <w:t>Dateien aus unterschiedlichen soz</w:t>
      </w:r>
      <w:r w:rsidR="00AC529F">
        <w:t>ialen Bereichen zusammengeführt, deren Hinte</w:t>
      </w:r>
      <w:r w:rsidR="00AC529F">
        <w:t>r</w:t>
      </w:r>
      <w:r w:rsidR="00AC529F">
        <w:t>gründe dargestellt und Entwicklungen festgehalten werden</w:t>
      </w:r>
      <w:r w:rsidR="00591085">
        <w:rPr>
          <w:rStyle w:val="Funotenzeichen"/>
        </w:rPr>
        <w:footnoteReference w:id="39"/>
      </w:r>
      <w:r w:rsidR="00C641E1">
        <w:t xml:space="preserve">. </w:t>
      </w:r>
    </w:p>
    <w:p w14:paraId="5CCD0849" w14:textId="40C3AE76" w:rsidR="00C641E1" w:rsidRPr="00B475E7" w:rsidRDefault="00C641E1" w:rsidP="00C17576">
      <w:pPr>
        <w:pStyle w:val="berschrift2"/>
        <w:numPr>
          <w:ilvl w:val="0"/>
          <w:numId w:val="0"/>
        </w:numPr>
      </w:pPr>
      <w:bookmarkStart w:id="39" w:name="_Toc349300368"/>
      <w:r w:rsidRPr="00B475E7">
        <w:t>Literatur</w:t>
      </w:r>
      <w:bookmarkEnd w:id="39"/>
    </w:p>
    <w:p w14:paraId="4252EE53" w14:textId="37069A09" w:rsidR="00B475E7" w:rsidRPr="00AC529F" w:rsidRDefault="00617CD2" w:rsidP="00B475E7">
      <w:pPr>
        <w:ind w:left="142" w:hanging="142"/>
        <w:rPr>
          <w:szCs w:val="22"/>
        </w:rPr>
      </w:pPr>
      <w:r>
        <w:rPr>
          <w:szCs w:val="22"/>
        </w:rPr>
        <w:t>Centers of Disease Control and P</w:t>
      </w:r>
      <w:r w:rsidR="00B475E7" w:rsidRPr="00AC529F">
        <w:rPr>
          <w:szCs w:val="22"/>
        </w:rPr>
        <w:t xml:space="preserve">revention (2016): </w:t>
      </w:r>
      <w:r w:rsidR="00B475E7" w:rsidRPr="00AC529F">
        <w:rPr>
          <w:bCs/>
          <w:szCs w:val="22"/>
        </w:rPr>
        <w:t>Youth Risk Behavior Surveillance — Un</w:t>
      </w:r>
      <w:r w:rsidR="00B475E7" w:rsidRPr="00AC529F">
        <w:rPr>
          <w:bCs/>
          <w:szCs w:val="22"/>
        </w:rPr>
        <w:t>i</w:t>
      </w:r>
      <w:r w:rsidR="00B475E7" w:rsidRPr="00AC529F">
        <w:rPr>
          <w:bCs/>
          <w:szCs w:val="22"/>
        </w:rPr>
        <w:t xml:space="preserve">ted States, 2015. In: </w:t>
      </w:r>
      <w:r w:rsidR="00B475E7" w:rsidRPr="00AC529F">
        <w:rPr>
          <w:szCs w:val="22"/>
        </w:rPr>
        <w:t xml:space="preserve">Morbidity and Mortality Weekly Report Surveillance Summaries / Vol. 65 / No. 6 June 10, 2016, In: </w:t>
      </w:r>
      <w:hyperlink r:id="rId68" w:history="1">
        <w:r w:rsidR="00B475E7" w:rsidRPr="00AC529F">
          <w:rPr>
            <w:rStyle w:val="Link"/>
            <w:color w:val="auto"/>
            <w:szCs w:val="22"/>
          </w:rPr>
          <w:t>http://www.cdc.gov/healthyyouth/data/yrbs/pdf/2015/ss6506_updated.pdf</w:t>
        </w:r>
      </w:hyperlink>
      <w:r w:rsidR="00B475E7" w:rsidRPr="00AC529F">
        <w:rPr>
          <w:szCs w:val="22"/>
        </w:rPr>
        <w:t xml:space="preserve"> vom 06.12.2016</w:t>
      </w:r>
    </w:p>
    <w:p w14:paraId="028DC457" w14:textId="02BB2B39" w:rsidR="00B475E7" w:rsidRPr="00AC529F" w:rsidRDefault="00617CD2" w:rsidP="00B475E7">
      <w:pPr>
        <w:pStyle w:val="KeinLeerraum"/>
        <w:ind w:left="142" w:hanging="142"/>
        <w:rPr>
          <w:rFonts w:cs="Times"/>
          <w:szCs w:val="22"/>
        </w:rPr>
      </w:pPr>
      <w:r>
        <w:rPr>
          <w:rFonts w:cs="Tahoma"/>
          <w:szCs w:val="22"/>
        </w:rPr>
        <w:t>Colorado Department of E</w:t>
      </w:r>
      <w:r w:rsidR="00B475E7" w:rsidRPr="00AC529F">
        <w:rPr>
          <w:rFonts w:cs="Tahoma"/>
          <w:szCs w:val="22"/>
        </w:rPr>
        <w:t>ducation (2016): 10-Year Trend Data: Colorado State Suspension and Expulsion Incidents</w:t>
      </w:r>
      <w:r w:rsidR="00B475E7" w:rsidRPr="00AC529F">
        <w:rPr>
          <w:rFonts w:cs="Times"/>
          <w:szCs w:val="22"/>
        </w:rPr>
        <w:t xml:space="preserve"> </w:t>
      </w:r>
      <w:hyperlink r:id="rId69" w:history="1">
        <w:r w:rsidR="00B475E7" w:rsidRPr="00AC529F">
          <w:rPr>
            <w:rStyle w:val="Link"/>
            <w:rFonts w:cs="Times"/>
            <w:color w:val="auto"/>
            <w:szCs w:val="22"/>
          </w:rPr>
          <w:t>http://r.search.yahoo.com/_ylt=A0SO80YCUCtYYg8AiB9XNyoA;_ylu=X3oDMTExa2MyY3N1BGNvbG8DZ3ExBHBvcwMxBHZ0aWQDVUlDMV8xBHNlYwNzcg--/RV=2/RE=1479262338/RO=10/RU=http%3a%2f%2fwww.cde.state.co.us%2fcdereval%2f2013-2014sditrenddata/RK=0/RS=qUyy9PJ61OHw3aCaudi.Z2b2hX0-</w:t>
        </w:r>
      </w:hyperlink>
      <w:r w:rsidR="00B475E7" w:rsidRPr="00AC529F">
        <w:rPr>
          <w:rFonts w:cs="Times"/>
          <w:szCs w:val="22"/>
        </w:rPr>
        <w:t xml:space="preserve"> vom 14. November 2016</w:t>
      </w:r>
    </w:p>
    <w:p w14:paraId="13B1FD73" w14:textId="77777777" w:rsidR="00B475E7" w:rsidRPr="00AC529F" w:rsidRDefault="00B475E7" w:rsidP="00B475E7">
      <w:pPr>
        <w:pStyle w:val="KeinLeerraum"/>
        <w:ind w:left="142" w:hanging="142"/>
        <w:rPr>
          <w:szCs w:val="22"/>
          <w:u w:val="single"/>
        </w:rPr>
      </w:pPr>
      <w:r w:rsidRPr="00AC529F">
        <w:rPr>
          <w:rFonts w:cs="Tahoma"/>
          <w:szCs w:val="22"/>
        </w:rPr>
        <w:t>Colorado Department of Education (2016): Colorado State Suspension and Expulsion I</w:t>
      </w:r>
      <w:r w:rsidRPr="00AC529F">
        <w:rPr>
          <w:rFonts w:cs="Tahoma"/>
          <w:szCs w:val="22"/>
        </w:rPr>
        <w:t>n</w:t>
      </w:r>
      <w:r w:rsidRPr="00AC529F">
        <w:rPr>
          <w:rFonts w:cs="Tahoma"/>
          <w:szCs w:val="22"/>
        </w:rPr>
        <w:t xml:space="preserve">cidents (2015-16): In: </w:t>
      </w:r>
      <w:hyperlink r:id="rId70" w:history="1">
        <w:r w:rsidRPr="00AC529F">
          <w:rPr>
            <w:rStyle w:val="Link"/>
            <w:color w:val="auto"/>
            <w:szCs w:val="22"/>
          </w:rPr>
          <w:t>https://www.cde.state.co.us/cdereval/suspend-expelcurrent</w:t>
        </w:r>
      </w:hyperlink>
      <w:r w:rsidRPr="00AC529F">
        <w:rPr>
          <w:rStyle w:val="Link"/>
          <w:color w:val="auto"/>
          <w:szCs w:val="22"/>
        </w:rPr>
        <w:t xml:space="preserve">  </w:t>
      </w:r>
      <w:r w:rsidRPr="00AC529F">
        <w:rPr>
          <w:rStyle w:val="Link"/>
          <w:color w:val="auto"/>
          <w:szCs w:val="22"/>
          <w:u w:val="none"/>
        </w:rPr>
        <w:t xml:space="preserve">vom 20.11.2016  </w:t>
      </w:r>
    </w:p>
    <w:p w14:paraId="2E54CEF7" w14:textId="77777777" w:rsidR="00B475E7" w:rsidRPr="00AC529F" w:rsidRDefault="00B475E7" w:rsidP="00B475E7">
      <w:pPr>
        <w:pStyle w:val="KeinLeerraum"/>
        <w:ind w:left="284" w:hanging="284"/>
        <w:rPr>
          <w:szCs w:val="22"/>
        </w:rPr>
      </w:pPr>
      <w:r w:rsidRPr="00AC529F">
        <w:rPr>
          <w:bCs/>
          <w:szCs w:val="22"/>
        </w:rPr>
        <w:t>Colorado Public Saftey (2012): Colorado’s 2012 School Discipline Bill (</w:t>
      </w:r>
      <w:r w:rsidRPr="00AC529F">
        <w:rPr>
          <w:szCs w:val="22"/>
        </w:rPr>
        <w:t xml:space="preserve">SB 12-046, amended to HB 12-1345). In: </w:t>
      </w:r>
      <w:hyperlink r:id="rId71" w:history="1">
        <w:r w:rsidRPr="00AC529F">
          <w:rPr>
            <w:rStyle w:val="Link"/>
            <w:rFonts w:cs="Times New Roman"/>
            <w:color w:val="auto"/>
            <w:szCs w:val="22"/>
          </w:rPr>
          <w:t>http://cdpsdocs.state.co.us/safeschools/Legislation/CSSRC%20School%20Discipline%20At%20a%20Glance%20FINAL.pdf</w:t>
        </w:r>
      </w:hyperlink>
      <w:r w:rsidRPr="00AC529F">
        <w:rPr>
          <w:szCs w:val="22"/>
        </w:rPr>
        <w:t xml:space="preserve"> vom 12.12.2016 </w:t>
      </w:r>
    </w:p>
    <w:p w14:paraId="0694AE54" w14:textId="77777777" w:rsidR="00B475E7" w:rsidRPr="00AC529F" w:rsidRDefault="00B475E7" w:rsidP="00B475E7">
      <w:pPr>
        <w:pStyle w:val="KeinLeerraum"/>
        <w:ind w:left="142" w:hanging="142"/>
        <w:rPr>
          <w:rFonts w:cs="Times New Roman"/>
          <w:szCs w:val="22"/>
        </w:rPr>
      </w:pPr>
      <w:r w:rsidRPr="00AC529F">
        <w:rPr>
          <w:rFonts w:cs="Times New Roman"/>
          <w:szCs w:val="22"/>
        </w:rPr>
        <w:t xml:space="preserve">Criminal Law and Procedure Ch. 332 (2013): </w:t>
      </w:r>
      <w:r w:rsidRPr="00AC529F">
        <w:rPr>
          <w:szCs w:val="22"/>
        </w:rPr>
        <w:t xml:space="preserve">SENATE BILL 13-283: </w:t>
      </w:r>
      <w:r w:rsidRPr="00AC529F">
        <w:rPr>
          <w:rFonts w:cs="Times New Roman"/>
          <w:szCs w:val="22"/>
        </w:rPr>
        <w:t>Law and concerning i</w:t>
      </w:r>
      <w:r w:rsidRPr="00AC529F">
        <w:rPr>
          <w:rFonts w:cs="Times New Roman"/>
          <w:szCs w:val="22"/>
        </w:rPr>
        <w:t>m</w:t>
      </w:r>
      <w:r w:rsidRPr="00AC529F">
        <w:rPr>
          <w:rFonts w:cs="Times New Roman"/>
          <w:szCs w:val="22"/>
        </w:rPr>
        <w:t>plementation of amendment 64, and, in connection therewith, making and reducing an a</w:t>
      </w:r>
      <w:r w:rsidRPr="00AC529F">
        <w:rPr>
          <w:rFonts w:cs="Times New Roman"/>
          <w:szCs w:val="22"/>
        </w:rPr>
        <w:t>p</w:t>
      </w:r>
      <w:r w:rsidRPr="00AC529F">
        <w:rPr>
          <w:rFonts w:cs="Times New Roman"/>
          <w:szCs w:val="22"/>
        </w:rPr>
        <w:t xml:space="preserve">propriation. 28.05.2013 In: </w:t>
      </w:r>
      <w:hyperlink r:id="rId72" w:history="1">
        <w:r w:rsidRPr="00AC529F">
          <w:rPr>
            <w:rStyle w:val="Link"/>
            <w:rFonts w:cs="Times New Roman"/>
            <w:color w:val="auto"/>
            <w:szCs w:val="22"/>
          </w:rPr>
          <w:t>http://cdpsdocs.state.co.us/safeschools/Legislation/SB%2013-283%20Tobacco-Free-Schools-Marijuana.pdf</w:t>
        </w:r>
      </w:hyperlink>
      <w:r w:rsidRPr="00AC529F">
        <w:rPr>
          <w:rFonts w:cs="Times New Roman"/>
          <w:szCs w:val="22"/>
        </w:rPr>
        <w:t xml:space="preserve"> vom 12.12.2016</w:t>
      </w:r>
    </w:p>
    <w:p w14:paraId="10F082C4" w14:textId="77777777" w:rsidR="00B475E7" w:rsidRPr="00AC529F" w:rsidRDefault="00B475E7" w:rsidP="00B475E7">
      <w:pPr>
        <w:pStyle w:val="KeinLeerraum"/>
        <w:ind w:left="142" w:hanging="142"/>
        <w:rPr>
          <w:rFonts w:cs="Verdana"/>
          <w:szCs w:val="22"/>
        </w:rPr>
      </w:pPr>
      <w:r w:rsidRPr="00AC529F">
        <w:rPr>
          <w:bCs/>
          <w:szCs w:val="22"/>
        </w:rPr>
        <w:t>Department of Health and Human Services, Department of Education (USA)(2016):</w:t>
      </w:r>
      <w:r w:rsidRPr="00AC529F">
        <w:rPr>
          <w:rFonts w:cs="Verdana"/>
          <w:szCs w:val="22"/>
        </w:rPr>
        <w:t xml:space="preserve"> „</w:t>
      </w:r>
      <w:r w:rsidRPr="00AC529F">
        <w:rPr>
          <w:bCs/>
          <w:szCs w:val="22"/>
        </w:rPr>
        <w:t>Policy statement on expulsion and suspension in early childhood settings“ In: https://www2.ed.gov/policy/gen/guid/school-discipline/policy-statement-ece-expulsions-suspensions.pdf</w:t>
      </w:r>
      <w:r w:rsidRPr="00AC529F">
        <w:rPr>
          <w:rFonts w:cs="Verdana"/>
          <w:szCs w:val="22"/>
        </w:rPr>
        <w:t xml:space="preserve"> </w:t>
      </w:r>
    </w:p>
    <w:p w14:paraId="701988DD" w14:textId="7F3DA211" w:rsidR="003A6D8A" w:rsidRPr="00AC529F" w:rsidRDefault="00617CD2" w:rsidP="00B475E7">
      <w:pPr>
        <w:pStyle w:val="KeinLeerraum"/>
        <w:ind w:left="142" w:hanging="142"/>
        <w:rPr>
          <w:szCs w:val="22"/>
        </w:rPr>
      </w:pPr>
      <w:r>
        <w:rPr>
          <w:rFonts w:cs="Verdana"/>
          <w:szCs w:val="22"/>
        </w:rPr>
        <w:t>Digest of E</w:t>
      </w:r>
      <w:r w:rsidR="003A6D8A" w:rsidRPr="00AC529F">
        <w:rPr>
          <w:rFonts w:cs="Verdana"/>
          <w:szCs w:val="22"/>
        </w:rPr>
        <w:t xml:space="preserve">ducation (2016): Table 169. </w:t>
      </w:r>
      <w:r w:rsidR="003A6D8A" w:rsidRPr="00AC529F">
        <w:rPr>
          <w:rFonts w:cs="Arial"/>
          <w:bCs/>
          <w:szCs w:val="22"/>
        </w:rPr>
        <w:t xml:space="preserve">Number of students suspended and expelled from public elementary and secondary schools, by sex, race/ethnicity, and state: 2006. </w:t>
      </w:r>
      <w:r w:rsidR="003A6D8A" w:rsidRPr="00AC529F">
        <w:rPr>
          <w:rFonts w:cs="Times New Roman"/>
          <w:szCs w:val="22"/>
        </w:rPr>
        <w:t xml:space="preserve">In: vgl. </w:t>
      </w:r>
      <w:hyperlink r:id="rId73" w:history="1">
        <w:r w:rsidR="003A6D8A" w:rsidRPr="00AC529F">
          <w:rPr>
            <w:rStyle w:val="Link"/>
            <w:rFonts w:cs="Times New Roman"/>
            <w:color w:val="auto"/>
            <w:szCs w:val="22"/>
          </w:rPr>
          <w:t>https://nces.ed.gov/programs/digest/d10/tables/dt10_169.asp</w:t>
        </w:r>
      </w:hyperlink>
      <w:r w:rsidR="003A6D8A" w:rsidRPr="00AC529F">
        <w:rPr>
          <w:rFonts w:cs="Times New Roman"/>
          <w:szCs w:val="22"/>
        </w:rPr>
        <w:t xml:space="preserve"> vom 12.12.2016</w:t>
      </w:r>
    </w:p>
    <w:p w14:paraId="75D56028" w14:textId="77777777" w:rsidR="00B475E7" w:rsidRPr="00AC529F" w:rsidRDefault="00B475E7" w:rsidP="00B475E7">
      <w:pPr>
        <w:pStyle w:val="KeinLeerraum"/>
        <w:ind w:left="142" w:hanging="142"/>
        <w:rPr>
          <w:szCs w:val="22"/>
        </w:rPr>
      </w:pPr>
      <w:r w:rsidRPr="00AC529F">
        <w:rPr>
          <w:szCs w:val="22"/>
        </w:rPr>
        <w:t xml:space="preserve">Eisenmeier, S. (2003): Warum Cannabis doch gefährlich ist. In: Der Neurologe-Psychiater Heft 6, S. 34-38 </w:t>
      </w:r>
    </w:p>
    <w:p w14:paraId="15D6DF43" w14:textId="55C769A3" w:rsidR="00B475E7" w:rsidRPr="00AC529F" w:rsidRDefault="00B475E7" w:rsidP="00B475E7">
      <w:pPr>
        <w:pStyle w:val="KeinLeerraum"/>
        <w:ind w:left="142" w:hanging="142"/>
        <w:rPr>
          <w:rFonts w:cs="Times New Roman"/>
          <w:szCs w:val="22"/>
        </w:rPr>
      </w:pPr>
      <w:r w:rsidRPr="00AC529F">
        <w:rPr>
          <w:rFonts w:cs="Times New Roman"/>
          <w:szCs w:val="22"/>
        </w:rPr>
        <w:t>General Assembly of the State of Colorado (2012): House Bill 12-1345: Concerning the fina</w:t>
      </w:r>
      <w:r w:rsidRPr="00AC529F">
        <w:rPr>
          <w:rFonts w:cs="Times New Roman"/>
          <w:szCs w:val="22"/>
        </w:rPr>
        <w:t>n</w:t>
      </w:r>
      <w:r w:rsidRPr="00AC529F">
        <w:rPr>
          <w:rFonts w:cs="Times New Roman"/>
          <w:szCs w:val="22"/>
        </w:rPr>
        <w:t>cing of public schools and in connection therewith, requiring a post-enactment review of</w:t>
      </w:r>
      <w:r w:rsidR="00617CD2">
        <w:rPr>
          <w:rFonts w:cs="Times New Roman"/>
          <w:szCs w:val="22"/>
        </w:rPr>
        <w:t xml:space="preserve"> t</w:t>
      </w:r>
      <w:r w:rsidRPr="00AC529F">
        <w:rPr>
          <w:rFonts w:cs="Times New Roman"/>
          <w:szCs w:val="22"/>
        </w:rPr>
        <w:t>he implementation of this act and making and reducing appropriations. 19.05.2012</w:t>
      </w:r>
    </w:p>
    <w:p w14:paraId="6F3FC336" w14:textId="77777777" w:rsidR="00B475E7" w:rsidRPr="00AC529F" w:rsidRDefault="00B475E7" w:rsidP="00B475E7">
      <w:pPr>
        <w:pStyle w:val="KeinLeerraum"/>
        <w:ind w:left="142" w:hanging="142"/>
        <w:rPr>
          <w:szCs w:val="22"/>
        </w:rPr>
      </w:pPr>
      <w:r w:rsidRPr="00AC529F">
        <w:rPr>
          <w:szCs w:val="22"/>
        </w:rPr>
        <w:t>Grotenhermen, Franjo (2006): Pharmakologie: Wirkungen von Cannabis auf Körper und Ps</w:t>
      </w:r>
      <w:r w:rsidRPr="00AC529F">
        <w:rPr>
          <w:szCs w:val="22"/>
        </w:rPr>
        <w:t>y</w:t>
      </w:r>
      <w:r w:rsidRPr="00AC529F">
        <w:rPr>
          <w:szCs w:val="22"/>
        </w:rPr>
        <w:t>che. In: Kolte,B./Schmidt-Semisch,H./Stöver,H. (Hrsg.): Was tun, wenn Cannabis zum Pro</w:t>
      </w:r>
      <w:r w:rsidRPr="00AC529F">
        <w:rPr>
          <w:szCs w:val="22"/>
        </w:rPr>
        <w:t>b</w:t>
      </w:r>
      <w:r w:rsidRPr="00AC529F">
        <w:rPr>
          <w:szCs w:val="22"/>
        </w:rPr>
        <w:t xml:space="preserve">lem wird? Frankfurt </w:t>
      </w:r>
    </w:p>
    <w:p w14:paraId="7C30DF75" w14:textId="77777777" w:rsidR="00B475E7" w:rsidRPr="00AC529F" w:rsidRDefault="00B475E7" w:rsidP="00B475E7">
      <w:pPr>
        <w:pStyle w:val="KeinLeerraum"/>
        <w:ind w:left="142" w:hanging="142"/>
        <w:rPr>
          <w:rFonts w:cs="Times New Roman"/>
          <w:szCs w:val="22"/>
        </w:rPr>
      </w:pPr>
      <w:r w:rsidRPr="00AC529F">
        <w:rPr>
          <w:rFonts w:cs="Times New Roman"/>
          <w:szCs w:val="22"/>
        </w:rPr>
        <w:t xml:space="preserve">Healthy Kids Colorado Survey (HKCS)(2015): Monitoring Changes in Marijuana Use Patterns in Colorado: 2015 Update, Retail Marijuana Public Health Advisory Committee. In: </w:t>
      </w:r>
      <w:hyperlink r:id="rId74" w:history="1">
        <w:r w:rsidRPr="00AC529F">
          <w:rPr>
            <w:rStyle w:val="Link"/>
            <w:rFonts w:cs="Times New Roman"/>
            <w:color w:val="auto"/>
            <w:szCs w:val="22"/>
          </w:rPr>
          <w:t>https://www.colorado.gov/pacific/sites/default/files/PF_Youth_HKCS-2015-Exec-Summary.pdf</w:t>
        </w:r>
      </w:hyperlink>
      <w:r w:rsidRPr="00AC529F">
        <w:rPr>
          <w:rFonts w:cs="Times New Roman"/>
          <w:szCs w:val="22"/>
        </w:rPr>
        <w:t xml:space="preserve"> vom 12.12.2016</w:t>
      </w:r>
    </w:p>
    <w:p w14:paraId="79F97A9F" w14:textId="7CB40B62" w:rsidR="00B475E7" w:rsidRPr="00AC529F" w:rsidRDefault="00B475E7" w:rsidP="00B475E7">
      <w:pPr>
        <w:pStyle w:val="KeinLeerraum"/>
        <w:ind w:left="142" w:hanging="142"/>
        <w:rPr>
          <w:rFonts w:cs="Arial"/>
          <w:bCs/>
          <w:szCs w:val="22"/>
        </w:rPr>
      </w:pPr>
      <w:r w:rsidRPr="00AC529F">
        <w:rPr>
          <w:rFonts w:cs="Arial"/>
          <w:szCs w:val="22"/>
        </w:rPr>
        <w:t>Hughes, Arthur; Rachel, M.</w:t>
      </w:r>
      <w:r w:rsidR="00AC529F">
        <w:rPr>
          <w:rFonts w:cs="Arial"/>
          <w:szCs w:val="22"/>
        </w:rPr>
        <w:t xml:space="preserve"> </w:t>
      </w:r>
      <w:r w:rsidRPr="00AC529F">
        <w:rPr>
          <w:rFonts w:cs="Arial"/>
          <w:szCs w:val="22"/>
        </w:rPr>
        <w:t>S.; Lipari, N.; Williams, Matthew (2015):</w:t>
      </w:r>
      <w:r w:rsidRPr="00AC529F">
        <w:rPr>
          <w:rFonts w:cs="Arial"/>
          <w:bCs/>
          <w:szCs w:val="22"/>
        </w:rPr>
        <w:t xml:space="preserve"> State Estimates of Adol</w:t>
      </w:r>
      <w:r w:rsidRPr="00AC529F">
        <w:rPr>
          <w:rFonts w:cs="Arial"/>
          <w:bCs/>
          <w:szCs w:val="22"/>
        </w:rPr>
        <w:t>e</w:t>
      </w:r>
      <w:r w:rsidRPr="00AC529F">
        <w:rPr>
          <w:rFonts w:cs="Arial"/>
          <w:bCs/>
          <w:szCs w:val="22"/>
        </w:rPr>
        <w:t xml:space="preserve">scent Marijuana Use and Perceptions of Risk of Harm From Marijuana Use: 2013 and 2014. In: The CBHSQ Report, </w:t>
      </w:r>
      <w:hyperlink r:id="rId75" w:history="1">
        <w:r w:rsidRPr="00AC529F">
          <w:rPr>
            <w:rStyle w:val="Link"/>
            <w:rFonts w:cs="Arial"/>
            <w:bCs/>
            <w:color w:val="auto"/>
            <w:szCs w:val="22"/>
          </w:rPr>
          <w:t>https://www.ncbi.nlm.nih.gov/books/NBK350767/</w:t>
        </w:r>
      </w:hyperlink>
      <w:r w:rsidRPr="00AC529F">
        <w:rPr>
          <w:rFonts w:cs="Arial"/>
          <w:bCs/>
          <w:szCs w:val="22"/>
        </w:rPr>
        <w:t xml:space="preserve"> vom 12. N</w:t>
      </w:r>
      <w:r w:rsidRPr="00AC529F">
        <w:rPr>
          <w:rFonts w:cs="Arial"/>
          <w:bCs/>
          <w:szCs w:val="22"/>
        </w:rPr>
        <w:t>o</w:t>
      </w:r>
      <w:r w:rsidRPr="00AC529F">
        <w:rPr>
          <w:rFonts w:cs="Arial"/>
          <w:bCs/>
          <w:szCs w:val="22"/>
        </w:rPr>
        <w:t>vember 2016</w:t>
      </w:r>
    </w:p>
    <w:p w14:paraId="72E20DFC" w14:textId="77777777" w:rsidR="00B475E7" w:rsidRPr="00AC529F" w:rsidRDefault="00B475E7" w:rsidP="00B475E7">
      <w:pPr>
        <w:pStyle w:val="KeinLeerraum"/>
        <w:ind w:left="142" w:hanging="142"/>
        <w:rPr>
          <w:bCs/>
          <w:szCs w:val="22"/>
        </w:rPr>
      </w:pPr>
      <w:r w:rsidRPr="00AC529F">
        <w:rPr>
          <w:szCs w:val="22"/>
        </w:rPr>
        <w:t xml:space="preserve">Hughes, Rachel, Lipari, Matthew (2015): </w:t>
      </w:r>
      <w:r w:rsidRPr="00AC529F">
        <w:rPr>
          <w:bCs/>
          <w:szCs w:val="22"/>
        </w:rPr>
        <w:t xml:space="preserve">State estimates of adolescent Marijuana Use and perceptions of risk of harm from Marijuana use: 2013 AND 2014. In: The CBHSQ-Report, December 17, 2015, In: </w:t>
      </w:r>
      <w:hyperlink r:id="rId76" w:history="1">
        <w:r w:rsidRPr="00AC529F">
          <w:rPr>
            <w:rStyle w:val="Link"/>
            <w:bCs/>
            <w:color w:val="auto"/>
            <w:szCs w:val="22"/>
          </w:rPr>
          <w:t>http://www.samhsa.gov/data/sites/default/files/report_2121/ShortReport-2121.pdf</w:t>
        </w:r>
      </w:hyperlink>
      <w:r w:rsidRPr="00AC529F">
        <w:rPr>
          <w:bCs/>
          <w:szCs w:val="22"/>
        </w:rPr>
        <w:t xml:space="preserve"> vom 08.12.2016</w:t>
      </w:r>
    </w:p>
    <w:p w14:paraId="653F6FDC" w14:textId="77777777" w:rsidR="00B475E7" w:rsidRPr="00AC529F" w:rsidRDefault="00B475E7" w:rsidP="00B475E7">
      <w:pPr>
        <w:pStyle w:val="KeinLeerraum"/>
        <w:ind w:left="142" w:hanging="142"/>
        <w:rPr>
          <w:rFonts w:cs="Tahoma"/>
          <w:bCs/>
          <w:szCs w:val="22"/>
        </w:rPr>
      </w:pPr>
      <w:r w:rsidRPr="00AC529F">
        <w:rPr>
          <w:rFonts w:cs="Tahoma"/>
          <w:bCs/>
          <w:szCs w:val="22"/>
        </w:rPr>
        <w:t>Kappeler, Manfred; Barsch, Gundula; Gaffron, Katrin; Hayner, Ekkehard; Leinen, Peter; U</w:t>
      </w:r>
      <w:r w:rsidRPr="00AC529F">
        <w:rPr>
          <w:rFonts w:cs="Tahoma"/>
          <w:bCs/>
          <w:szCs w:val="22"/>
        </w:rPr>
        <w:t>l</w:t>
      </w:r>
      <w:r w:rsidRPr="00AC529F">
        <w:rPr>
          <w:rFonts w:cs="Tahoma"/>
          <w:bCs/>
          <w:szCs w:val="22"/>
        </w:rPr>
        <w:t>bricht, Sabina (1999): Jugendliche und Drogen: Ergebnisse einer Längsschnittuntersuchung in Ost-Berlin nach der Maueröffnung, Leverkusen</w:t>
      </w:r>
    </w:p>
    <w:p w14:paraId="4DB339BE" w14:textId="77777777" w:rsidR="00B475E7" w:rsidRDefault="00B475E7" w:rsidP="00B475E7">
      <w:pPr>
        <w:pStyle w:val="KeinLeerraum"/>
        <w:ind w:left="142" w:hanging="142"/>
        <w:rPr>
          <w:rFonts w:eastAsia="Arial Unicode MS" w:cs="Arial Unicode MS"/>
          <w:szCs w:val="22"/>
        </w:rPr>
      </w:pPr>
      <w:r w:rsidRPr="00AC529F">
        <w:rPr>
          <w:rFonts w:cs="Times New Roman"/>
          <w:bCs/>
          <w:szCs w:val="22"/>
        </w:rPr>
        <w:t xml:space="preserve">Kleiber, Dieter, Soellner, Renate (1998): </w:t>
      </w:r>
      <w:r w:rsidRPr="00AC529F">
        <w:rPr>
          <w:rFonts w:eastAsia="Arial Unicode MS" w:cs="Arial Unicode MS"/>
          <w:szCs w:val="22"/>
        </w:rPr>
        <w:t>Cannabiskonsum : Entwicklungstendenzen, Ko</w:t>
      </w:r>
      <w:r w:rsidRPr="00AC529F">
        <w:rPr>
          <w:rFonts w:eastAsia="Arial Unicode MS" w:cs="Arial Unicode MS"/>
          <w:szCs w:val="22"/>
        </w:rPr>
        <w:t>n</w:t>
      </w:r>
      <w:r w:rsidRPr="00AC529F">
        <w:rPr>
          <w:rFonts w:eastAsia="Arial Unicode MS" w:cs="Arial Unicode MS"/>
          <w:szCs w:val="22"/>
        </w:rPr>
        <w:t>summuster und Risiken, München</w:t>
      </w:r>
    </w:p>
    <w:p w14:paraId="7AA189C5" w14:textId="09A50CB7" w:rsidR="00545184" w:rsidRPr="00AC529F" w:rsidRDefault="00545184" w:rsidP="00B475E7">
      <w:pPr>
        <w:pStyle w:val="KeinLeerraum"/>
        <w:ind w:left="142" w:hanging="142"/>
        <w:rPr>
          <w:rFonts w:eastAsia="Arial Unicode MS" w:cs="Arial Unicode MS"/>
          <w:szCs w:val="22"/>
        </w:rPr>
      </w:pPr>
      <w:r>
        <w:rPr>
          <w:rFonts w:eastAsia="Arial Unicode MS" w:cs="Arial Unicode MS"/>
          <w:szCs w:val="22"/>
        </w:rPr>
        <w:t>Lammnek, Siegfried (1983): Theorien abweichenden Verhaltens. Uni-Taschenbücher 740, München</w:t>
      </w:r>
    </w:p>
    <w:p w14:paraId="6FBAFA4C" w14:textId="77777777" w:rsidR="00B475E7" w:rsidRPr="00AC529F" w:rsidRDefault="00B475E7" w:rsidP="00B475E7">
      <w:pPr>
        <w:pStyle w:val="KeinLeerraum"/>
        <w:ind w:left="142" w:hanging="142"/>
        <w:rPr>
          <w:szCs w:val="22"/>
        </w:rPr>
      </w:pPr>
      <w:r w:rsidRPr="00AC529F">
        <w:rPr>
          <w:szCs w:val="22"/>
        </w:rPr>
        <w:t xml:space="preserve">Moffitt, Terrie E.; Meier, Madeline; Caspi, Avshalom; Poul, Richie (2013): Reply to Rogeberg and Daly: No evidence that socioeconomic status or personality differences confound the association between cannabis use and IQ decline. In:  </w:t>
      </w:r>
      <w:hyperlink r:id="rId77" w:history="1">
        <w:r w:rsidRPr="00AC529F">
          <w:rPr>
            <w:rStyle w:val="Link"/>
            <w:color w:val="auto"/>
            <w:szCs w:val="22"/>
          </w:rPr>
          <w:t>http://www.pnas.org/content/110/11/E980.full.pdf</w:t>
        </w:r>
      </w:hyperlink>
      <w:r w:rsidRPr="00AC529F">
        <w:rPr>
          <w:szCs w:val="22"/>
        </w:rPr>
        <w:t xml:space="preserve"> vom 15. November 2016</w:t>
      </w:r>
    </w:p>
    <w:p w14:paraId="7321325D" w14:textId="77777777" w:rsidR="00B475E7" w:rsidRPr="00AC529F" w:rsidRDefault="00B475E7" w:rsidP="00B475E7">
      <w:pPr>
        <w:pStyle w:val="KeinLeerraum"/>
        <w:ind w:left="142" w:hanging="142"/>
        <w:rPr>
          <w:rFonts w:cs="Verdana"/>
          <w:iCs/>
          <w:szCs w:val="22"/>
        </w:rPr>
      </w:pPr>
      <w:r w:rsidRPr="00AC529F">
        <w:rPr>
          <w:rFonts w:cs="Times New Roman"/>
          <w:szCs w:val="22"/>
        </w:rPr>
        <w:t xml:space="preserve">National Center for educational statistics (2016): </w:t>
      </w:r>
      <w:r w:rsidRPr="00AC529F">
        <w:rPr>
          <w:rFonts w:cs="Verdana"/>
          <w:iCs/>
          <w:szCs w:val="22"/>
        </w:rPr>
        <w:t>Crime and Safety Surveys</w:t>
      </w:r>
      <w:r w:rsidRPr="00AC529F">
        <w:rPr>
          <w:rFonts w:cs="Verdana"/>
          <w:iCs/>
          <w:szCs w:val="22"/>
          <w:u w:val="single"/>
        </w:rPr>
        <w:t xml:space="preserve">. In: </w:t>
      </w:r>
      <w:hyperlink r:id="rId78" w:history="1">
        <w:r w:rsidRPr="00AC529F">
          <w:rPr>
            <w:rStyle w:val="Link"/>
            <w:rFonts w:cs="Verdana"/>
            <w:iCs/>
            <w:color w:val="auto"/>
            <w:szCs w:val="22"/>
          </w:rPr>
          <w:t>http://nces.ed.gov/surveys/ssocs/tables/all_2008_tab_17.asp?referrer=css</w:t>
        </w:r>
      </w:hyperlink>
      <w:r w:rsidRPr="00AC529F">
        <w:rPr>
          <w:rFonts w:cs="Verdana"/>
          <w:iCs/>
          <w:szCs w:val="22"/>
          <w:u w:val="single"/>
        </w:rPr>
        <w:t xml:space="preserve"> </w:t>
      </w:r>
      <w:r w:rsidRPr="00AC529F">
        <w:rPr>
          <w:szCs w:val="22"/>
        </w:rPr>
        <w:t>vom 15. N</w:t>
      </w:r>
      <w:r w:rsidRPr="00AC529F">
        <w:rPr>
          <w:szCs w:val="22"/>
        </w:rPr>
        <w:t>o</w:t>
      </w:r>
      <w:r w:rsidRPr="00AC529F">
        <w:rPr>
          <w:szCs w:val="22"/>
        </w:rPr>
        <w:t>vember 2016</w:t>
      </w:r>
      <w:r w:rsidRPr="00AC529F">
        <w:rPr>
          <w:rFonts w:cs="Verdana"/>
          <w:iCs/>
          <w:szCs w:val="22"/>
        </w:rPr>
        <w:t xml:space="preserve"> </w:t>
      </w:r>
    </w:p>
    <w:p w14:paraId="5B960442" w14:textId="622B6444" w:rsidR="00B475E7" w:rsidRPr="00AC529F" w:rsidRDefault="00B475E7" w:rsidP="00B475E7">
      <w:pPr>
        <w:pStyle w:val="KeinLeerraum"/>
        <w:ind w:left="142" w:hanging="142"/>
        <w:rPr>
          <w:rFonts w:cs="Arial"/>
          <w:bCs/>
          <w:szCs w:val="22"/>
        </w:rPr>
      </w:pPr>
      <w:r w:rsidRPr="00AC529F">
        <w:rPr>
          <w:rFonts w:cs="Arial"/>
          <w:bCs/>
          <w:szCs w:val="22"/>
        </w:rPr>
        <w:t>NWHDTA (Nordwest High intensity drug trafficking area) (2016): Washington State Marih</w:t>
      </w:r>
      <w:r w:rsidRPr="00AC529F">
        <w:rPr>
          <w:rFonts w:cs="Arial"/>
          <w:bCs/>
          <w:szCs w:val="22"/>
        </w:rPr>
        <w:t>u</w:t>
      </w:r>
      <w:r w:rsidRPr="00AC529F">
        <w:rPr>
          <w:rFonts w:cs="Arial"/>
          <w:bCs/>
          <w:szCs w:val="22"/>
        </w:rPr>
        <w:t xml:space="preserve">jana Impact report. </w:t>
      </w:r>
      <w:r w:rsidR="001E7306">
        <w:rPr>
          <w:rFonts w:cs="Arial"/>
          <w:bCs/>
          <w:szCs w:val="22"/>
        </w:rPr>
        <w:t xml:space="preserve">Seattle </w:t>
      </w:r>
      <w:r w:rsidRPr="00AC529F">
        <w:rPr>
          <w:rFonts w:cs="Arial"/>
          <w:bCs/>
          <w:szCs w:val="22"/>
        </w:rPr>
        <w:t xml:space="preserve">In: </w:t>
      </w:r>
      <w:hyperlink r:id="rId79" w:history="1">
        <w:r w:rsidRPr="00AC529F">
          <w:rPr>
            <w:rStyle w:val="Link"/>
            <w:rFonts w:cs="Arial"/>
            <w:bCs/>
            <w:color w:val="auto"/>
            <w:szCs w:val="22"/>
          </w:rPr>
          <w:t>https://drive.google.com/file/d/0Bxs3xMLjUamANHhRRkluWkRobXM/view</w:t>
        </w:r>
      </w:hyperlink>
      <w:r w:rsidRPr="00AC529F">
        <w:rPr>
          <w:rFonts w:cs="Arial"/>
          <w:bCs/>
          <w:szCs w:val="22"/>
        </w:rPr>
        <w:t xml:space="preserve"> vom 12.12.2016</w:t>
      </w:r>
    </w:p>
    <w:p w14:paraId="252E362A" w14:textId="77777777" w:rsidR="00B475E7" w:rsidRPr="00AC529F" w:rsidRDefault="00B475E7" w:rsidP="00B475E7">
      <w:pPr>
        <w:pStyle w:val="KeinLeerraum"/>
        <w:ind w:left="142" w:hanging="142"/>
        <w:rPr>
          <w:rFonts w:cs="Times"/>
          <w:szCs w:val="22"/>
        </w:rPr>
      </w:pPr>
      <w:r w:rsidRPr="00AC529F">
        <w:rPr>
          <w:rFonts w:cs="Calibri"/>
          <w:bCs/>
          <w:szCs w:val="22"/>
        </w:rPr>
        <w:t xml:space="preserve">Reed, Jackson K. (2016): Marijuana Legalization in Colorado: Early Findings. </w:t>
      </w:r>
      <w:r w:rsidRPr="00AC529F">
        <w:rPr>
          <w:rFonts w:cs="Calibri"/>
          <w:bCs/>
          <w:iCs/>
          <w:szCs w:val="22"/>
        </w:rPr>
        <w:t>A Report Purs</w:t>
      </w:r>
      <w:r w:rsidRPr="00AC529F">
        <w:rPr>
          <w:rFonts w:cs="Calibri"/>
          <w:bCs/>
          <w:iCs/>
          <w:szCs w:val="22"/>
        </w:rPr>
        <w:t>u</w:t>
      </w:r>
      <w:r w:rsidRPr="00AC529F">
        <w:rPr>
          <w:rFonts w:cs="Calibri"/>
          <w:bCs/>
          <w:iCs/>
          <w:szCs w:val="22"/>
        </w:rPr>
        <w:t xml:space="preserve">ant to Senate Bill 13-283. </w:t>
      </w:r>
      <w:r w:rsidRPr="00AC529F">
        <w:rPr>
          <w:rFonts w:cs="Arial"/>
          <w:bCs/>
          <w:szCs w:val="22"/>
        </w:rPr>
        <w:t xml:space="preserve">March 2016, Denver </w:t>
      </w:r>
      <w:r w:rsidRPr="00AC529F">
        <w:rPr>
          <w:rFonts w:cs="Times"/>
          <w:szCs w:val="22"/>
        </w:rPr>
        <w:t xml:space="preserve">  </w:t>
      </w:r>
    </w:p>
    <w:p w14:paraId="78E0A918" w14:textId="77777777" w:rsidR="00B475E7" w:rsidRPr="00AC529F" w:rsidRDefault="00B475E7" w:rsidP="00B475E7">
      <w:pPr>
        <w:pStyle w:val="KeinLeerraum"/>
        <w:ind w:left="142" w:hanging="142"/>
        <w:rPr>
          <w:rFonts w:cs="Times New Roman"/>
          <w:szCs w:val="22"/>
        </w:rPr>
      </w:pPr>
      <w:r w:rsidRPr="00AC529F">
        <w:rPr>
          <w:rFonts w:cs="Trebuchet MS"/>
          <w:szCs w:val="22"/>
        </w:rPr>
        <w:t xml:space="preserve">Retail Marijuana Public Health Advisory Committee (2016): </w:t>
      </w:r>
      <w:r w:rsidRPr="00AC529F">
        <w:rPr>
          <w:szCs w:val="22"/>
        </w:rPr>
        <w:t>Monitoring Health Concerns R</w:t>
      </w:r>
      <w:r w:rsidRPr="00AC529F">
        <w:rPr>
          <w:szCs w:val="22"/>
        </w:rPr>
        <w:t>e</w:t>
      </w:r>
      <w:r w:rsidRPr="00AC529F">
        <w:rPr>
          <w:szCs w:val="22"/>
        </w:rPr>
        <w:t xml:space="preserve">lated to Marijuana in Colorado (2016): In: </w:t>
      </w:r>
      <w:hyperlink r:id="rId80" w:history="1">
        <w:r w:rsidRPr="00AC529F">
          <w:rPr>
            <w:rStyle w:val="Link"/>
            <w:color w:val="auto"/>
            <w:szCs w:val="22"/>
          </w:rPr>
          <w:t>https://www.colorado.gov/pacific/cdphe/retail-marijuana-public-health-advisory-committee</w:t>
        </w:r>
      </w:hyperlink>
      <w:r w:rsidRPr="00AC529F">
        <w:rPr>
          <w:szCs w:val="22"/>
        </w:rPr>
        <w:t xml:space="preserve"> vom 12.12.2016</w:t>
      </w:r>
    </w:p>
    <w:p w14:paraId="5DC3F4A1" w14:textId="77777777" w:rsidR="00B475E7" w:rsidRPr="00AC529F" w:rsidRDefault="00B475E7" w:rsidP="00B475E7">
      <w:pPr>
        <w:pStyle w:val="KeinLeerraum"/>
        <w:ind w:left="142" w:hanging="142"/>
        <w:rPr>
          <w:rFonts w:cs="Times New Roman"/>
          <w:szCs w:val="22"/>
        </w:rPr>
      </w:pPr>
      <w:r w:rsidRPr="00AC529F">
        <w:rPr>
          <w:rFonts w:cs="Times New Roman"/>
          <w:szCs w:val="22"/>
        </w:rPr>
        <w:t xml:space="preserve">Schneider, Wolfgang (2007): </w:t>
      </w:r>
      <w:r w:rsidRPr="00AC529F">
        <w:rPr>
          <w:rFonts w:cs="Times"/>
          <w:bCs/>
          <w:szCs w:val="22"/>
        </w:rPr>
        <w:t xml:space="preserve">Aktuelle INDRO-Stellungnahme zur Cannabisdiskussion in der Bundesrepublik Deutschland - </w:t>
      </w:r>
      <w:r w:rsidRPr="00AC529F">
        <w:rPr>
          <w:rFonts w:cs="Times New Roman"/>
          <w:bCs/>
          <w:szCs w:val="22"/>
        </w:rPr>
        <w:t>Cannabis: Gefahr für die Jugend? Eine drogenpolitische R</w:t>
      </w:r>
      <w:r w:rsidRPr="00AC529F">
        <w:rPr>
          <w:rFonts w:cs="Times New Roman"/>
          <w:bCs/>
          <w:szCs w:val="22"/>
        </w:rPr>
        <w:t>e</w:t>
      </w:r>
      <w:r w:rsidRPr="00AC529F">
        <w:rPr>
          <w:rFonts w:cs="Times New Roman"/>
          <w:bCs/>
          <w:szCs w:val="22"/>
        </w:rPr>
        <w:t xml:space="preserve">form ist überfällig! IN: </w:t>
      </w:r>
      <w:hyperlink r:id="rId81" w:history="1">
        <w:r w:rsidRPr="00AC529F">
          <w:rPr>
            <w:rStyle w:val="Link"/>
            <w:rFonts w:cs="Times New Roman"/>
            <w:bCs/>
            <w:color w:val="auto"/>
            <w:szCs w:val="22"/>
          </w:rPr>
          <w:t>http://www.indro-online.de/cannabisstellungnahme07.htm</w:t>
        </w:r>
      </w:hyperlink>
      <w:r w:rsidRPr="00AC529F">
        <w:rPr>
          <w:rFonts w:cs="Times New Roman"/>
          <w:bCs/>
          <w:szCs w:val="22"/>
        </w:rPr>
        <w:t xml:space="preserve"> vom 12.12.2016</w:t>
      </w:r>
    </w:p>
    <w:p w14:paraId="418CA885" w14:textId="77777777" w:rsidR="00B475E7" w:rsidRPr="00AC529F" w:rsidRDefault="00B475E7" w:rsidP="00B475E7">
      <w:pPr>
        <w:pStyle w:val="KeinLeerraum"/>
        <w:ind w:left="142" w:hanging="142"/>
        <w:rPr>
          <w:rFonts w:cs="Times New Roman"/>
          <w:szCs w:val="22"/>
        </w:rPr>
      </w:pPr>
      <w:r w:rsidRPr="00AC529F">
        <w:rPr>
          <w:rFonts w:cs="Times New Roman"/>
          <w:szCs w:val="22"/>
        </w:rPr>
        <w:t xml:space="preserve">Stöver, H. (1996): Dammbruchszenarien oder Aufklärung und Enkulturation. In: Akzept e.V.(Hg.): Wider besseres Wissen. Die Scheinheiligkeit der Drogenpolitik. Bremen </w:t>
      </w:r>
    </w:p>
    <w:p w14:paraId="4C29BC99" w14:textId="77777777" w:rsidR="00B475E7" w:rsidRPr="00AC529F" w:rsidRDefault="00B475E7" w:rsidP="00B475E7">
      <w:pPr>
        <w:pStyle w:val="KeinLeerraum"/>
        <w:ind w:left="284" w:hanging="284"/>
        <w:jc w:val="both"/>
        <w:rPr>
          <w:szCs w:val="22"/>
        </w:rPr>
      </w:pPr>
      <w:r w:rsidRPr="00AC529F">
        <w:rPr>
          <w:szCs w:val="22"/>
        </w:rPr>
        <w:t>Substance Abuse and Mental Health Services Administration</w:t>
      </w:r>
      <w:r w:rsidRPr="00AC529F">
        <w:rPr>
          <w:bCs/>
          <w:szCs w:val="22"/>
        </w:rPr>
        <w:t xml:space="preserve"> (SAMHSA)(2015): Behavioral Health Trends in the United States: </w:t>
      </w:r>
      <w:r w:rsidRPr="00AC529F">
        <w:rPr>
          <w:szCs w:val="22"/>
        </w:rPr>
        <w:t xml:space="preserve">Results from the 2014 National Survey on Drug Use and Health </w:t>
      </w:r>
    </w:p>
    <w:p w14:paraId="783521F4" w14:textId="77777777" w:rsidR="00B475E7" w:rsidRPr="00AC529F" w:rsidRDefault="00B475E7" w:rsidP="00B475E7">
      <w:pPr>
        <w:pStyle w:val="KeinLeerraum"/>
        <w:ind w:left="284" w:hanging="284"/>
        <w:rPr>
          <w:rFonts w:cs="Times New Roman"/>
          <w:szCs w:val="22"/>
        </w:rPr>
      </w:pPr>
      <w:r w:rsidRPr="00AC529F">
        <w:rPr>
          <w:rFonts w:cs="Times New Roman"/>
          <w:szCs w:val="22"/>
        </w:rPr>
        <w:t xml:space="preserve">Substance Abuse and Mental Health Services Administration (SAMHSA)(2014): </w:t>
      </w:r>
      <w:r w:rsidRPr="00AC529F">
        <w:rPr>
          <w:rFonts w:cs="Times New Roman"/>
          <w:iCs/>
          <w:szCs w:val="22"/>
        </w:rPr>
        <w:t>Results from the 2013 National Survey on Drug Use and Health: Summary of National Findings</w:t>
      </w:r>
      <w:r w:rsidRPr="00AC529F">
        <w:rPr>
          <w:rFonts w:cs="Times New Roman"/>
          <w:szCs w:val="22"/>
        </w:rPr>
        <w:t xml:space="preserve">, NSDUH Series H-48, HHS Publication No. (SMA) 14-4863. Rockville, MD: Substance Abuse and Mental Health Services Administration. In: </w:t>
      </w:r>
      <w:hyperlink r:id="rId82" w:history="1">
        <w:r w:rsidRPr="00AC529F">
          <w:rPr>
            <w:rStyle w:val="Link"/>
            <w:rFonts w:cs="Times New Roman"/>
            <w:color w:val="auto"/>
            <w:szCs w:val="22"/>
          </w:rPr>
          <w:t>http://archive.samhsa.gov/data/NSDUH/2013SummNatFindDetTables/NationalFindings/NSDUHresults2013.pdf</w:t>
        </w:r>
      </w:hyperlink>
      <w:r w:rsidRPr="00AC529F">
        <w:rPr>
          <w:rFonts w:cs="Times New Roman"/>
          <w:szCs w:val="22"/>
        </w:rPr>
        <w:t xml:space="preserve"> vom 08.12.2016</w:t>
      </w:r>
    </w:p>
    <w:p w14:paraId="29648ED2" w14:textId="77777777" w:rsidR="00B475E7" w:rsidRPr="00AC529F" w:rsidRDefault="00B475E7" w:rsidP="00B475E7">
      <w:pPr>
        <w:pStyle w:val="KeinLeerraum"/>
        <w:ind w:left="284" w:hanging="284"/>
        <w:rPr>
          <w:szCs w:val="22"/>
        </w:rPr>
      </w:pPr>
      <w:r w:rsidRPr="00AC529F">
        <w:rPr>
          <w:szCs w:val="22"/>
        </w:rPr>
        <w:t>Substance Abuse and Mental Health Services Administration</w:t>
      </w:r>
      <w:r w:rsidRPr="00AC529F">
        <w:rPr>
          <w:bCs/>
          <w:szCs w:val="22"/>
        </w:rPr>
        <w:t xml:space="preserve"> (</w:t>
      </w:r>
      <w:r w:rsidRPr="00AC529F">
        <w:rPr>
          <w:szCs w:val="22"/>
        </w:rPr>
        <w:t xml:space="preserve">SAMHSA) (2012): National Survey on Drug Use and Health: Comparison of 2002-2003 and 2010-2011 Model-Based Prevalence Estimates (50 States and the District of Columbia), table 1. In:  </w:t>
      </w:r>
      <w:hyperlink r:id="rId83" w:history="1">
        <w:r w:rsidRPr="00AC529F">
          <w:rPr>
            <w:rStyle w:val="Link"/>
            <w:rFonts w:cs="Times New Roman"/>
            <w:color w:val="auto"/>
            <w:szCs w:val="22"/>
          </w:rPr>
          <w:t>http://www.samhsa.gov/data/sites/default/files/NSDUHStateEst2010-2011_v2/279/TrendTabs/NSDUHsaeTrendTabs2011.pdf</w:t>
        </w:r>
      </w:hyperlink>
      <w:r w:rsidRPr="00AC529F">
        <w:rPr>
          <w:szCs w:val="22"/>
        </w:rPr>
        <w:t xml:space="preserve"> vom 30. Oktober 2016</w:t>
      </w:r>
    </w:p>
    <w:p w14:paraId="11C7C776" w14:textId="77777777" w:rsidR="00B475E7" w:rsidRPr="00AC529F" w:rsidRDefault="00B475E7" w:rsidP="00B475E7">
      <w:pPr>
        <w:pStyle w:val="KeinLeerraum"/>
        <w:ind w:left="142" w:hanging="142"/>
        <w:rPr>
          <w:szCs w:val="22"/>
        </w:rPr>
      </w:pPr>
      <w:r w:rsidRPr="00AC529F">
        <w:rPr>
          <w:szCs w:val="22"/>
        </w:rPr>
        <w:t xml:space="preserve">Täschner, Karl-Ludwig (1994): Drogen, Rausch und Sucht. Stuttgart </w:t>
      </w:r>
    </w:p>
    <w:p w14:paraId="383BC40C" w14:textId="58133744" w:rsidR="00B475E7" w:rsidRPr="00AC529F" w:rsidRDefault="00617CD2" w:rsidP="00B475E7">
      <w:pPr>
        <w:pStyle w:val="KeinLeerraum"/>
        <w:ind w:left="142" w:hanging="142"/>
        <w:rPr>
          <w:bCs/>
          <w:szCs w:val="22"/>
        </w:rPr>
      </w:pPr>
      <w:r>
        <w:rPr>
          <w:bCs/>
          <w:szCs w:val="22"/>
        </w:rPr>
        <w:t>U.S. Department of Health and Human S</w:t>
      </w:r>
      <w:r w:rsidR="00B475E7" w:rsidRPr="00AC529F">
        <w:rPr>
          <w:bCs/>
          <w:szCs w:val="22"/>
        </w:rPr>
        <w:t>ervices, U. S. Department of Education (2016): Policy statement on expulsion and suspension in early childhood settings (</w:t>
      </w:r>
      <w:r w:rsidR="00B475E7" w:rsidRPr="00AC529F">
        <w:rPr>
          <w:rFonts w:cs="Roboto-Bold"/>
          <w:bCs/>
          <w:szCs w:val="22"/>
        </w:rPr>
        <w:t>ACF-IM-HS-16-01).</w:t>
      </w:r>
      <w:r w:rsidR="00B475E7" w:rsidRPr="00AC529F">
        <w:rPr>
          <w:bCs/>
          <w:szCs w:val="22"/>
        </w:rPr>
        <w:t xml:space="preserve"> In: </w:t>
      </w:r>
      <w:hyperlink r:id="rId84" w:history="1">
        <w:r w:rsidR="00B475E7" w:rsidRPr="00AC529F">
          <w:rPr>
            <w:rStyle w:val="Link"/>
            <w:rFonts w:cs="Times New Roman"/>
            <w:bCs/>
            <w:color w:val="auto"/>
            <w:szCs w:val="22"/>
          </w:rPr>
          <w:t>http://www2.ed.gov/policy/gen/guid/school-discipline/policy-statement-ece-expulsions-suspensions.pdf</w:t>
        </w:r>
      </w:hyperlink>
      <w:r w:rsidR="00B475E7" w:rsidRPr="00AC529F">
        <w:rPr>
          <w:bCs/>
          <w:szCs w:val="22"/>
        </w:rPr>
        <w:t xml:space="preserve">  vom 15. November 2016</w:t>
      </w:r>
    </w:p>
    <w:p w14:paraId="67DCD374" w14:textId="77777777" w:rsidR="00B475E7" w:rsidRPr="00AC529F" w:rsidRDefault="00B475E7" w:rsidP="00B475E7">
      <w:pPr>
        <w:pStyle w:val="KeinLeerraum"/>
        <w:ind w:left="142" w:hanging="142"/>
        <w:rPr>
          <w:rFonts w:cs="Verdana"/>
          <w:szCs w:val="22"/>
        </w:rPr>
      </w:pPr>
      <w:r w:rsidRPr="00AC529F">
        <w:rPr>
          <w:rFonts w:cs="Verdana"/>
          <w:szCs w:val="22"/>
        </w:rPr>
        <w:t>Volkow, Nora D. (2013): Marijuana's Lasting Effects on the Brain. In:</w:t>
      </w:r>
      <w:r w:rsidRPr="00AC529F">
        <w:rPr>
          <w:szCs w:val="22"/>
        </w:rPr>
        <w:t xml:space="preserve"> </w:t>
      </w:r>
      <w:hyperlink r:id="rId85" w:history="1">
        <w:r w:rsidRPr="00AC529F">
          <w:rPr>
            <w:rStyle w:val="Link"/>
            <w:rFonts w:cs="Verdana"/>
            <w:color w:val="auto"/>
            <w:szCs w:val="22"/>
          </w:rPr>
          <w:t>https://www.drugabuse.gov/about-nida/directors-page/messages-director/2012/09/marijuanas-lasting-effects-brain</w:t>
        </w:r>
      </w:hyperlink>
      <w:r w:rsidRPr="00AC529F">
        <w:rPr>
          <w:rFonts w:cs="Verdana"/>
          <w:szCs w:val="22"/>
        </w:rPr>
        <w:t xml:space="preserve">, vom 14. November 2016  </w:t>
      </w:r>
    </w:p>
    <w:p w14:paraId="1DA8F3D7" w14:textId="067C8335" w:rsidR="00B475E7" w:rsidRPr="00AC529F" w:rsidRDefault="00617CD2" w:rsidP="00B475E7">
      <w:pPr>
        <w:pStyle w:val="KeinLeerraum"/>
        <w:ind w:left="284" w:hanging="284"/>
        <w:rPr>
          <w:rFonts w:cs="Times New Roman"/>
          <w:szCs w:val="22"/>
        </w:rPr>
      </w:pPr>
      <w:r>
        <w:rPr>
          <w:szCs w:val="22"/>
        </w:rPr>
        <w:t>Washington State Department of Social and Health S</w:t>
      </w:r>
      <w:r w:rsidR="00B475E7" w:rsidRPr="00AC529F">
        <w:rPr>
          <w:szCs w:val="22"/>
        </w:rPr>
        <w:t xml:space="preserve">ervice </w:t>
      </w:r>
      <w:r w:rsidR="00B475E7" w:rsidRPr="00AC529F">
        <w:rPr>
          <w:rFonts w:cs="Times New Roman"/>
          <w:szCs w:val="22"/>
        </w:rPr>
        <w:t xml:space="preserve">(2014): </w:t>
      </w:r>
      <w:r w:rsidR="00B475E7" w:rsidRPr="00AC529F">
        <w:rPr>
          <w:szCs w:val="22"/>
        </w:rPr>
        <w:t>Washington State Healthy Youth Survey Facts about Teens and Marijuana (</w:t>
      </w:r>
      <w:r w:rsidR="00B475E7" w:rsidRPr="00AC529F">
        <w:rPr>
          <w:rFonts w:cs="Times New Roman"/>
          <w:szCs w:val="22"/>
        </w:rPr>
        <w:t>Health youth survey</w:t>
      </w:r>
      <w:r w:rsidR="00B475E7" w:rsidRPr="00AC529F">
        <w:rPr>
          <w:szCs w:val="22"/>
        </w:rPr>
        <w:t xml:space="preserve">). In: </w:t>
      </w:r>
      <w:hyperlink r:id="rId86" w:history="1">
        <w:r w:rsidR="00B475E7" w:rsidRPr="00AC529F">
          <w:rPr>
            <w:rStyle w:val="Link"/>
            <w:color w:val="auto"/>
            <w:szCs w:val="22"/>
          </w:rPr>
          <w:t>http://www.askhys.net/Docs/HYS%202014%20Facts%20Marijuana%20mp.pdf</w:t>
        </w:r>
      </w:hyperlink>
      <w:r w:rsidR="00B475E7" w:rsidRPr="00AC529F">
        <w:rPr>
          <w:szCs w:val="22"/>
        </w:rPr>
        <w:t xml:space="preserve"> vom 12.12.2016</w:t>
      </w:r>
    </w:p>
    <w:p w14:paraId="759F4BC1" w14:textId="77777777" w:rsidR="00B475E7" w:rsidRPr="00AC529F" w:rsidRDefault="00B475E7" w:rsidP="00B475E7">
      <w:pPr>
        <w:pStyle w:val="KeinLeerraum"/>
        <w:ind w:left="142" w:hanging="142"/>
        <w:rPr>
          <w:rFonts w:cs="Verdana"/>
          <w:szCs w:val="22"/>
        </w:rPr>
      </w:pPr>
      <w:r w:rsidRPr="00AC529F">
        <w:rPr>
          <w:szCs w:val="22"/>
        </w:rPr>
        <w:t>Wenk,</w:t>
      </w:r>
      <w:r w:rsidRPr="00AC529F">
        <w:rPr>
          <w:rFonts w:cs="Arial"/>
          <w:szCs w:val="22"/>
          <w14:shadow w14:blurRad="50800" w14:dist="38100" w14:dir="2700000" w14:sx="100000" w14:sy="100000" w14:kx="0" w14:ky="0" w14:algn="tl">
            <w14:srgbClr w14:val="000000">
              <w14:alpha w14:val="60000"/>
            </w14:srgbClr>
          </w14:shadow>
        </w:rPr>
        <w:t xml:space="preserve"> </w:t>
      </w:r>
      <w:r w:rsidRPr="00AC529F">
        <w:rPr>
          <w:rFonts w:cs="Verdana"/>
          <w:szCs w:val="22"/>
        </w:rPr>
        <w:t>Gary L. (2014): Your Brain on Food. How Chemicals Control Your Thoughts and Fe</w:t>
      </w:r>
      <w:r w:rsidRPr="00AC529F">
        <w:rPr>
          <w:rFonts w:cs="Verdana"/>
          <w:szCs w:val="22"/>
        </w:rPr>
        <w:t>e</w:t>
      </w:r>
      <w:r w:rsidRPr="00AC529F">
        <w:rPr>
          <w:rFonts w:cs="Verdana"/>
          <w:szCs w:val="22"/>
        </w:rPr>
        <w:t xml:space="preserve">lings, Second Edition, Oxford University Press </w:t>
      </w:r>
    </w:p>
    <w:p w14:paraId="7B2A2458" w14:textId="77777777" w:rsidR="00B475E7" w:rsidRPr="00AC529F" w:rsidRDefault="00B475E7" w:rsidP="00B475E7">
      <w:pPr>
        <w:pStyle w:val="KeinLeerraum"/>
        <w:ind w:left="142" w:hanging="142"/>
        <w:rPr>
          <w:rFonts w:cs="Times New Roman"/>
          <w:szCs w:val="22"/>
        </w:rPr>
      </w:pPr>
      <w:r w:rsidRPr="00AC529F">
        <w:rPr>
          <w:rFonts w:cs="Times New Roman"/>
          <w:szCs w:val="22"/>
        </w:rPr>
        <w:t xml:space="preserve">Zhang, A., Musu-Gillette, L., Oudekerk, B. A. (2016): </w:t>
      </w:r>
      <w:r w:rsidRPr="00AC529F">
        <w:rPr>
          <w:rFonts w:cs="Times New Roman"/>
          <w:iCs/>
          <w:szCs w:val="22"/>
        </w:rPr>
        <w:t xml:space="preserve">Indicators of School Crime and Safety: 2015 </w:t>
      </w:r>
      <w:r w:rsidRPr="00AC529F">
        <w:rPr>
          <w:rFonts w:cs="Times New Roman"/>
          <w:szCs w:val="22"/>
        </w:rPr>
        <w:t>(NCES 2016-079/NCJ 249758). National Center for Education Statistics, U.S. Depar</w:t>
      </w:r>
      <w:r w:rsidRPr="00AC529F">
        <w:rPr>
          <w:rFonts w:cs="Times New Roman"/>
          <w:szCs w:val="22"/>
        </w:rPr>
        <w:t>t</w:t>
      </w:r>
      <w:r w:rsidRPr="00AC529F">
        <w:rPr>
          <w:rFonts w:cs="Times New Roman"/>
          <w:szCs w:val="22"/>
        </w:rPr>
        <w:t>ment of Education, and Bureau of Justice Statistics, O ce of Justice Programs, U.S. Depar</w:t>
      </w:r>
      <w:r w:rsidRPr="00AC529F">
        <w:rPr>
          <w:rFonts w:cs="Times New Roman"/>
          <w:szCs w:val="22"/>
        </w:rPr>
        <w:t>t</w:t>
      </w:r>
      <w:r w:rsidRPr="00AC529F">
        <w:rPr>
          <w:rFonts w:cs="Times New Roman"/>
          <w:szCs w:val="22"/>
        </w:rPr>
        <w:t xml:space="preserve">ment of Justice. Washington, DC. In: </w:t>
      </w:r>
      <w:hyperlink r:id="rId87" w:history="1">
        <w:r w:rsidRPr="00AC529F">
          <w:rPr>
            <w:rStyle w:val="Link"/>
            <w:rFonts w:cs="Times New Roman"/>
            <w:color w:val="auto"/>
            <w:szCs w:val="22"/>
          </w:rPr>
          <w:t>http://nces.ed.gov/pubs2016/2016079.pdf</w:t>
        </w:r>
      </w:hyperlink>
      <w:r w:rsidRPr="00AC529F">
        <w:rPr>
          <w:rFonts w:cs="Times New Roman"/>
          <w:szCs w:val="22"/>
        </w:rPr>
        <w:t xml:space="preserve"> vom 12.12.2016 </w:t>
      </w:r>
    </w:p>
    <w:p w14:paraId="6FD03B7C" w14:textId="77777777" w:rsidR="00285DA9" w:rsidRPr="00AC529F" w:rsidRDefault="00285DA9" w:rsidP="00B475E7">
      <w:pPr>
        <w:pStyle w:val="KeinLeerraum"/>
        <w:ind w:left="142" w:hanging="142"/>
        <w:rPr>
          <w:szCs w:val="22"/>
        </w:rPr>
        <w:sectPr w:rsidR="00285DA9" w:rsidRPr="00AC529F" w:rsidSect="001E7306">
          <w:pgSz w:w="11900" w:h="16840"/>
          <w:pgMar w:top="1417" w:right="1417" w:bottom="1134" w:left="1701" w:header="708" w:footer="708" w:gutter="0"/>
          <w:cols w:space="708"/>
          <w:docGrid w:linePitch="360"/>
        </w:sectPr>
      </w:pPr>
    </w:p>
    <w:p w14:paraId="5230A2B9" w14:textId="4BC60D00" w:rsidR="00285DA9" w:rsidRPr="00E178C1" w:rsidRDefault="004549A4" w:rsidP="00285DA9">
      <w:pPr>
        <w:pStyle w:val="berschrift1"/>
        <w:spacing w:line="276" w:lineRule="auto"/>
        <w:jc w:val="both"/>
      </w:pPr>
      <w:bookmarkStart w:id="40" w:name="_Toc349300369"/>
      <w:r>
        <w:t xml:space="preserve">Zum Einfluss von </w:t>
      </w:r>
      <w:r w:rsidR="00D01097">
        <w:t>Regulierung</w:t>
      </w:r>
      <w:r>
        <w:t xml:space="preserve">sprozessen auf die </w:t>
      </w:r>
      <w:r w:rsidR="00285DA9" w:rsidRPr="00E178C1">
        <w:t>Verkehrssicherheit</w:t>
      </w:r>
      <w:bookmarkEnd w:id="40"/>
    </w:p>
    <w:p w14:paraId="2EDF75E4" w14:textId="77777777" w:rsidR="00285DA9" w:rsidRPr="00E178C1" w:rsidRDefault="00285DA9" w:rsidP="00285DA9">
      <w:pPr>
        <w:pStyle w:val="berschrift2"/>
        <w:spacing w:line="276" w:lineRule="auto"/>
        <w:jc w:val="both"/>
      </w:pPr>
      <w:bookmarkStart w:id="41" w:name="_Toc349300370"/>
      <w:r w:rsidRPr="00E178C1">
        <w:t>Die drogenpolitischen Grundannahmen</w:t>
      </w:r>
      <w:bookmarkEnd w:id="41"/>
    </w:p>
    <w:p w14:paraId="4DBA67C5" w14:textId="14D9AFBB" w:rsidR="00285DA9" w:rsidRPr="00762252" w:rsidRDefault="00285DA9" w:rsidP="00285DA9">
      <w:pPr>
        <w:spacing w:line="276" w:lineRule="auto"/>
        <w:jc w:val="both"/>
        <w:rPr>
          <w:rFonts w:cs="Trebuchet MS"/>
          <w:szCs w:val="22"/>
        </w:rPr>
      </w:pPr>
      <w:r w:rsidRPr="00762252">
        <w:rPr>
          <w:rFonts w:cs="Trebuchet MS"/>
          <w:szCs w:val="22"/>
        </w:rPr>
        <w:t>Großes Interesse sowohl in öffentlichen Debatten als auch in Expertenkreisen gilt der Frage, wie sich di</w:t>
      </w:r>
      <w:r w:rsidR="004B2277">
        <w:rPr>
          <w:rFonts w:cs="Trebuchet MS"/>
          <w:szCs w:val="22"/>
        </w:rPr>
        <w:t>e Verkehrssicherheit im Zuge eines</w:t>
      </w:r>
      <w:r w:rsidRPr="00762252">
        <w:rPr>
          <w:rFonts w:cs="Trebuchet MS"/>
          <w:szCs w:val="22"/>
        </w:rPr>
        <w:t xml:space="preserve"> </w:t>
      </w:r>
      <w:r w:rsidR="00D01097">
        <w:rPr>
          <w:rFonts w:cs="Trebuchet MS"/>
          <w:szCs w:val="22"/>
        </w:rPr>
        <w:t>Regulierung</w:t>
      </w:r>
      <w:r w:rsidR="004B2277">
        <w:rPr>
          <w:rFonts w:cs="Trebuchet MS"/>
          <w:szCs w:val="22"/>
        </w:rPr>
        <w:t>sprozesses</w:t>
      </w:r>
      <w:r w:rsidRPr="00762252">
        <w:rPr>
          <w:rFonts w:cs="Trebuchet MS"/>
          <w:szCs w:val="22"/>
        </w:rPr>
        <w:t xml:space="preserve"> des Freizeitkonsums entw</w:t>
      </w:r>
      <w:r w:rsidRPr="00762252">
        <w:rPr>
          <w:rFonts w:cs="Trebuchet MS"/>
          <w:szCs w:val="22"/>
        </w:rPr>
        <w:t>i</w:t>
      </w:r>
      <w:r w:rsidRPr="00762252">
        <w:rPr>
          <w:rFonts w:cs="Trebuchet MS"/>
          <w:szCs w:val="22"/>
        </w:rPr>
        <w:t xml:space="preserve">ckeln wird. Insbesondere von den Kritikern einer </w:t>
      </w:r>
      <w:r w:rsidR="00D01097">
        <w:rPr>
          <w:rFonts w:cs="Trebuchet MS"/>
          <w:szCs w:val="22"/>
        </w:rPr>
        <w:t>Regulierung</w:t>
      </w:r>
      <w:r w:rsidRPr="00762252">
        <w:rPr>
          <w:rFonts w:cs="Trebuchet MS"/>
          <w:szCs w:val="22"/>
        </w:rPr>
        <w:t xml:space="preserve"> wird angenommen, dass mit dem Wegfall eines strikten allgemeinen Konsumverbotes Fahrzeugfü</w:t>
      </w:r>
      <w:r w:rsidR="000671C8">
        <w:rPr>
          <w:rFonts w:cs="Trebuchet MS"/>
          <w:szCs w:val="22"/>
        </w:rPr>
        <w:t>hrer den Einfluss des Marihu</w:t>
      </w:r>
      <w:r w:rsidR="000671C8">
        <w:rPr>
          <w:rFonts w:cs="Trebuchet MS"/>
          <w:szCs w:val="22"/>
        </w:rPr>
        <w:t>a</w:t>
      </w:r>
      <w:r w:rsidR="000671C8">
        <w:rPr>
          <w:rFonts w:cs="Trebuchet MS"/>
          <w:szCs w:val="22"/>
        </w:rPr>
        <w:t>na-K</w:t>
      </w:r>
      <w:r w:rsidRPr="00762252">
        <w:rPr>
          <w:rFonts w:cs="Trebuchet MS"/>
          <w:szCs w:val="22"/>
        </w:rPr>
        <w:t>onsums auf ihre Fahrtüchtigkeit falsch einschätzen und/oder sich über gebotene Konsu</w:t>
      </w:r>
      <w:r w:rsidRPr="00762252">
        <w:rPr>
          <w:rFonts w:cs="Trebuchet MS"/>
          <w:szCs w:val="22"/>
        </w:rPr>
        <w:t>m</w:t>
      </w:r>
      <w:r w:rsidRPr="00762252">
        <w:rPr>
          <w:rFonts w:cs="Trebuchet MS"/>
          <w:szCs w:val="22"/>
        </w:rPr>
        <w:t>beschränkungen in Zusammenhang mit einer Teilnahme am Straßenverkehr hinwegsetzen</w:t>
      </w:r>
      <w:r w:rsidR="004B2277">
        <w:rPr>
          <w:rFonts w:cs="Trebuchet MS"/>
          <w:szCs w:val="22"/>
        </w:rPr>
        <w:t xml:space="preserve"> we</w:t>
      </w:r>
      <w:r w:rsidR="004B2277">
        <w:rPr>
          <w:rFonts w:cs="Trebuchet MS"/>
          <w:szCs w:val="22"/>
        </w:rPr>
        <w:t>r</w:t>
      </w:r>
      <w:r w:rsidR="004B2277">
        <w:rPr>
          <w:rFonts w:cs="Trebuchet MS"/>
          <w:szCs w:val="22"/>
        </w:rPr>
        <w:t>den</w:t>
      </w:r>
      <w:r w:rsidRPr="00762252">
        <w:rPr>
          <w:rFonts w:cs="Trebuchet MS"/>
          <w:szCs w:val="22"/>
        </w:rPr>
        <w:t>. Als Indikator für die Richtigkeit dieser Annahmen gilt ein erheblicher Anstieg der Ve</w:t>
      </w:r>
      <w:r w:rsidRPr="00762252">
        <w:rPr>
          <w:rFonts w:cs="Trebuchet MS"/>
          <w:szCs w:val="22"/>
        </w:rPr>
        <w:t>r</w:t>
      </w:r>
      <w:r w:rsidRPr="00762252">
        <w:rPr>
          <w:rFonts w:cs="Trebuchet MS"/>
          <w:szCs w:val="22"/>
        </w:rPr>
        <w:t xml:space="preserve">kehrsunfälle und der dabei verursachten personellen und materiellen Schäden.  </w:t>
      </w:r>
    </w:p>
    <w:p w14:paraId="032BD666" w14:textId="3E649792" w:rsidR="00285DA9" w:rsidRPr="00762252" w:rsidRDefault="00285DA9" w:rsidP="00285DA9">
      <w:pPr>
        <w:spacing w:line="276" w:lineRule="auto"/>
        <w:ind w:firstLine="708"/>
        <w:jc w:val="both"/>
        <w:rPr>
          <w:rFonts w:cs="Trebuchet MS"/>
          <w:szCs w:val="22"/>
        </w:rPr>
      </w:pPr>
      <w:r w:rsidRPr="00762252">
        <w:rPr>
          <w:rFonts w:cs="Trebuchet MS"/>
          <w:szCs w:val="22"/>
        </w:rPr>
        <w:t>Diesen Grundannahmen stehen Einwände gegenüber, die auf die Bedeutung eines sozi</w:t>
      </w:r>
      <w:r w:rsidRPr="00762252">
        <w:rPr>
          <w:rFonts w:cs="Trebuchet MS"/>
          <w:szCs w:val="22"/>
        </w:rPr>
        <w:t>a</w:t>
      </w:r>
      <w:r w:rsidRPr="00762252">
        <w:rPr>
          <w:rFonts w:cs="Trebuchet MS"/>
          <w:szCs w:val="22"/>
        </w:rPr>
        <w:t>len Lernprozesses verweisen</w:t>
      </w:r>
      <w:r w:rsidR="006A6DD4">
        <w:rPr>
          <w:rFonts w:cs="Trebuchet MS"/>
          <w:szCs w:val="22"/>
        </w:rPr>
        <w:t>, der in ähnlicher Form in den O</w:t>
      </w:r>
      <w:r w:rsidRPr="00762252">
        <w:rPr>
          <w:rFonts w:cs="Trebuchet MS"/>
          <w:szCs w:val="22"/>
        </w:rPr>
        <w:t>stdeutschen Bundesländern ab dem Jahr 1993 zu bewältigen war</w:t>
      </w:r>
      <w:r w:rsidR="006A6DD4">
        <w:rPr>
          <w:rFonts w:cs="Trebuchet MS"/>
          <w:szCs w:val="22"/>
        </w:rPr>
        <w:t xml:space="preserve">. Hier </w:t>
      </w:r>
      <w:r w:rsidR="006A6DD4" w:rsidRPr="00762252">
        <w:rPr>
          <w:rFonts w:cs="Trebuchet MS"/>
          <w:szCs w:val="22"/>
        </w:rPr>
        <w:t>fiel</w:t>
      </w:r>
      <w:r w:rsidR="006A6DD4">
        <w:rPr>
          <w:rFonts w:cs="Trebuchet MS"/>
          <w:szCs w:val="22"/>
        </w:rPr>
        <w:t xml:space="preserve"> </w:t>
      </w:r>
      <w:r w:rsidRPr="00762252">
        <w:rPr>
          <w:rFonts w:cs="Trebuchet MS"/>
          <w:szCs w:val="22"/>
        </w:rPr>
        <w:t>im Zuge der Vereinheitlichung der verkehrsrechtlichen Regelungen die strikte Null-Promille-Vorgabe der DDR für den Konsum von Alkohol</w:t>
      </w:r>
      <w:r w:rsidR="006A6DD4" w:rsidRPr="006A6DD4">
        <w:rPr>
          <w:rFonts w:cs="Trebuchet MS"/>
          <w:szCs w:val="22"/>
        </w:rPr>
        <w:t xml:space="preserve"> </w:t>
      </w:r>
      <w:r w:rsidR="006A6DD4" w:rsidRPr="00762252">
        <w:rPr>
          <w:rFonts w:cs="Trebuchet MS"/>
          <w:szCs w:val="22"/>
        </w:rPr>
        <w:t>weg</w:t>
      </w:r>
      <w:r w:rsidRPr="00762252">
        <w:rPr>
          <w:rStyle w:val="Funotenzeichen"/>
          <w:rFonts w:cs="Trebuchet MS"/>
          <w:szCs w:val="22"/>
        </w:rPr>
        <w:footnoteReference w:id="40"/>
      </w:r>
      <w:r w:rsidRPr="00762252">
        <w:rPr>
          <w:rFonts w:cs="Trebuchet MS"/>
          <w:szCs w:val="22"/>
        </w:rPr>
        <w:t xml:space="preserve">. Auch aus diesen Entwicklungen ist bekannt, dass ergänzend zu den plötzlich geltenden </w:t>
      </w:r>
      <w:r w:rsidR="006A6DD4">
        <w:rPr>
          <w:rFonts w:cs="Trebuchet MS"/>
          <w:szCs w:val="22"/>
        </w:rPr>
        <w:t xml:space="preserve">neuen </w:t>
      </w:r>
      <w:r w:rsidRPr="00762252">
        <w:rPr>
          <w:rFonts w:cs="Trebuchet MS"/>
          <w:szCs w:val="22"/>
        </w:rPr>
        <w:t>geset</w:t>
      </w:r>
      <w:r w:rsidRPr="00762252">
        <w:rPr>
          <w:rFonts w:cs="Trebuchet MS"/>
          <w:szCs w:val="22"/>
        </w:rPr>
        <w:t>z</w:t>
      </w:r>
      <w:r w:rsidRPr="00762252">
        <w:rPr>
          <w:rFonts w:cs="Trebuchet MS"/>
          <w:szCs w:val="22"/>
        </w:rPr>
        <w:t>lichen Regelungen sich sowohl Vorstellungen und empirische Erfahrungen zum Einfluss des Konsums einer psycho</w:t>
      </w:r>
      <w:r w:rsidR="00144CCC">
        <w:rPr>
          <w:rFonts w:cs="Trebuchet MS"/>
          <w:szCs w:val="22"/>
        </w:rPr>
        <w:t>-</w:t>
      </w:r>
      <w:r w:rsidRPr="00762252">
        <w:rPr>
          <w:rFonts w:cs="Trebuchet MS"/>
          <w:szCs w:val="22"/>
        </w:rPr>
        <w:t>aktiven Substanz auf wesentliche Bereiche der Verkehrssicherheit, als auch diesbezügliche informelle Normen und Regeln in der Bevölkerung erst herausbilden und etablieren musst</w:t>
      </w:r>
      <w:r w:rsidR="006A6DD4">
        <w:rPr>
          <w:rFonts w:cs="Trebuchet MS"/>
          <w:szCs w:val="22"/>
        </w:rPr>
        <w:t xml:space="preserve">en. Deshalb kam es zunächst zu </w:t>
      </w:r>
      <w:r w:rsidRPr="00762252">
        <w:rPr>
          <w:rFonts w:cs="Trebuchet MS"/>
          <w:szCs w:val="22"/>
        </w:rPr>
        <w:t>einem kurzzeitigen Anstieg alkoholbedingter Verkehrsunfälle, der sich aber schnell wieder normalisierte (vgl. Statis</w:t>
      </w:r>
      <w:r w:rsidR="00A8485D">
        <w:rPr>
          <w:rFonts w:cs="Trebuchet MS"/>
          <w:szCs w:val="22"/>
        </w:rPr>
        <w:t>tis</w:t>
      </w:r>
      <w:r w:rsidRPr="00762252">
        <w:rPr>
          <w:rFonts w:cs="Trebuchet MS"/>
          <w:szCs w:val="22"/>
        </w:rPr>
        <w:t xml:space="preserve">ches Bundesamt 2012, S. 31). Diese sozialen Lernprozesse sind folgerichtig auch bei </w:t>
      </w:r>
      <w:r w:rsidR="00D01097">
        <w:rPr>
          <w:rFonts w:cs="Trebuchet MS"/>
          <w:szCs w:val="22"/>
        </w:rPr>
        <w:t>Regulierung</w:t>
      </w:r>
      <w:r w:rsidR="006A6DD4">
        <w:rPr>
          <w:rFonts w:cs="Trebuchet MS"/>
          <w:szCs w:val="22"/>
        </w:rPr>
        <w:t>sprozessen</w:t>
      </w:r>
      <w:r w:rsidRPr="00762252">
        <w:rPr>
          <w:rFonts w:cs="Trebuchet MS"/>
          <w:szCs w:val="22"/>
        </w:rPr>
        <w:t xml:space="preserve"> von Ca</w:t>
      </w:r>
      <w:r w:rsidRPr="00762252">
        <w:rPr>
          <w:rFonts w:cs="Trebuchet MS"/>
          <w:szCs w:val="22"/>
        </w:rPr>
        <w:t>n</w:t>
      </w:r>
      <w:r w:rsidRPr="00762252">
        <w:rPr>
          <w:rFonts w:cs="Trebuchet MS"/>
          <w:szCs w:val="22"/>
        </w:rPr>
        <w:t xml:space="preserve">nabis in Rechnung zu stellen. Diese können zwar von gesetzlichen Vorgaben flankiert werden, lassen sich aber nicht </w:t>
      </w:r>
      <w:r w:rsidR="00144CCC" w:rsidRPr="00762252">
        <w:rPr>
          <w:rFonts w:cs="Trebuchet MS"/>
          <w:szCs w:val="22"/>
        </w:rPr>
        <w:t xml:space="preserve">allein </w:t>
      </w:r>
      <w:r w:rsidRPr="00762252">
        <w:rPr>
          <w:rFonts w:cs="Trebuchet MS"/>
          <w:szCs w:val="22"/>
        </w:rPr>
        <w:t xml:space="preserve">durch eine verschärfte Kontroll- und Sanktionspraxis durch Polizei und Justiz fördern. Hierzu sind weitere Strategien </w:t>
      </w:r>
      <w:r w:rsidR="006A6DD4">
        <w:rPr>
          <w:rFonts w:cs="Trebuchet MS"/>
          <w:szCs w:val="22"/>
        </w:rPr>
        <w:t xml:space="preserve">von Drogenerziehung und Aufklärung </w:t>
      </w:r>
      <w:r w:rsidRPr="00762252">
        <w:rPr>
          <w:rFonts w:cs="Trebuchet MS"/>
          <w:szCs w:val="22"/>
        </w:rPr>
        <w:t>gefragt</w:t>
      </w:r>
      <w:r w:rsidR="006A6DD4">
        <w:rPr>
          <w:rFonts w:cs="Trebuchet MS"/>
          <w:szCs w:val="22"/>
        </w:rPr>
        <w:t xml:space="preserve">. </w:t>
      </w:r>
      <w:r w:rsidR="004B2277">
        <w:rPr>
          <w:rFonts w:cs="Trebuchet MS"/>
          <w:szCs w:val="22"/>
        </w:rPr>
        <w:t>Auf Grund</w:t>
      </w:r>
      <w:r w:rsidR="006A6DD4" w:rsidRPr="00762252">
        <w:rPr>
          <w:rFonts w:cs="Trebuchet MS"/>
          <w:szCs w:val="22"/>
        </w:rPr>
        <w:t xml:space="preserve"> </w:t>
      </w:r>
      <w:r w:rsidR="004B2277">
        <w:rPr>
          <w:rFonts w:cs="Trebuchet MS"/>
          <w:szCs w:val="22"/>
        </w:rPr>
        <w:t>der</w:t>
      </w:r>
      <w:r w:rsidR="006A6DD4" w:rsidRPr="00762252">
        <w:rPr>
          <w:rFonts w:cs="Trebuchet MS"/>
          <w:szCs w:val="22"/>
        </w:rPr>
        <w:t xml:space="preserve"> jahrzehntelange</w:t>
      </w:r>
      <w:r w:rsidR="004B2277">
        <w:rPr>
          <w:rFonts w:cs="Trebuchet MS"/>
          <w:szCs w:val="22"/>
        </w:rPr>
        <w:t>n</w:t>
      </w:r>
      <w:r w:rsidR="006A6DD4" w:rsidRPr="00762252">
        <w:rPr>
          <w:rFonts w:cs="Trebuchet MS"/>
          <w:szCs w:val="22"/>
        </w:rPr>
        <w:t xml:space="preserve"> Kriminalisierung und das dadurch bedingte Fehlen empirischer Alltagserfahrungen und </w:t>
      </w:r>
      <w:r w:rsidR="006A6DD4">
        <w:rPr>
          <w:rFonts w:cs="Trebuchet MS"/>
          <w:szCs w:val="22"/>
        </w:rPr>
        <w:t>-</w:t>
      </w:r>
      <w:r w:rsidR="006A6DD4" w:rsidRPr="00762252">
        <w:rPr>
          <w:rFonts w:cs="Trebuchet MS"/>
          <w:szCs w:val="22"/>
        </w:rPr>
        <w:t>routinen</w:t>
      </w:r>
      <w:r w:rsidR="006A6DD4">
        <w:rPr>
          <w:rFonts w:cs="Trebuchet MS"/>
          <w:szCs w:val="22"/>
        </w:rPr>
        <w:t xml:space="preserve"> </w:t>
      </w:r>
      <w:r w:rsidR="004B2277">
        <w:rPr>
          <w:rFonts w:cs="Trebuchet MS"/>
          <w:szCs w:val="22"/>
        </w:rPr>
        <w:t xml:space="preserve">in der Bevölkerung </w:t>
      </w:r>
      <w:r w:rsidR="006A6DD4" w:rsidRPr="00762252">
        <w:rPr>
          <w:rFonts w:cs="Trebuchet MS"/>
          <w:szCs w:val="22"/>
        </w:rPr>
        <w:t>scheint</w:t>
      </w:r>
      <w:r w:rsidR="006A6DD4">
        <w:rPr>
          <w:rFonts w:cs="Trebuchet MS"/>
          <w:szCs w:val="22"/>
        </w:rPr>
        <w:t xml:space="preserve"> es </w:t>
      </w:r>
      <w:r w:rsidR="00144CCC">
        <w:rPr>
          <w:rFonts w:cs="Trebuchet MS"/>
          <w:szCs w:val="22"/>
        </w:rPr>
        <w:t xml:space="preserve">zudem </w:t>
      </w:r>
      <w:r w:rsidR="006A6DD4" w:rsidRPr="00762252">
        <w:rPr>
          <w:rFonts w:cs="Trebuchet MS"/>
          <w:szCs w:val="22"/>
        </w:rPr>
        <w:t>deutlich schwieriger</w:t>
      </w:r>
      <w:r w:rsidR="00144CCC">
        <w:rPr>
          <w:rFonts w:cs="Trebuchet MS"/>
          <w:szCs w:val="22"/>
        </w:rPr>
        <w:t xml:space="preserve">, zu einer Vereinbarkeit des </w:t>
      </w:r>
      <w:r w:rsidRPr="00762252">
        <w:rPr>
          <w:rFonts w:cs="Trebuchet MS"/>
          <w:szCs w:val="22"/>
        </w:rPr>
        <w:t>Cannabis</w:t>
      </w:r>
      <w:r w:rsidR="00144CCC">
        <w:rPr>
          <w:rFonts w:cs="Trebuchet MS"/>
          <w:szCs w:val="22"/>
        </w:rPr>
        <w:t xml:space="preserve">konsums mit </w:t>
      </w:r>
      <w:r w:rsidRPr="00762252">
        <w:rPr>
          <w:rFonts w:cs="Trebuchet MS"/>
          <w:szCs w:val="22"/>
        </w:rPr>
        <w:t>verantwortliche</w:t>
      </w:r>
      <w:r w:rsidR="00144CCC">
        <w:rPr>
          <w:rFonts w:cs="Trebuchet MS"/>
          <w:szCs w:val="22"/>
        </w:rPr>
        <w:t>n</w:t>
      </w:r>
      <w:r w:rsidRPr="00762252">
        <w:rPr>
          <w:rFonts w:cs="Trebuchet MS"/>
          <w:szCs w:val="22"/>
        </w:rPr>
        <w:t xml:space="preserve"> Teilnahme am Straßenverkehr </w:t>
      </w:r>
      <w:r w:rsidR="00144CCC">
        <w:rPr>
          <w:rFonts w:cs="Trebuchet MS"/>
          <w:szCs w:val="22"/>
        </w:rPr>
        <w:t>zu finden</w:t>
      </w:r>
      <w:r w:rsidRPr="00762252">
        <w:rPr>
          <w:rFonts w:cs="Trebuchet MS"/>
          <w:szCs w:val="22"/>
        </w:rPr>
        <w:t>.</w:t>
      </w:r>
    </w:p>
    <w:p w14:paraId="43CCB4C3" w14:textId="77777777" w:rsidR="00285DA9" w:rsidRPr="00762252" w:rsidRDefault="00285DA9" w:rsidP="00285DA9">
      <w:pPr>
        <w:pStyle w:val="berschrift2"/>
        <w:spacing w:line="276" w:lineRule="auto"/>
        <w:jc w:val="both"/>
      </w:pPr>
      <w:bookmarkStart w:id="42" w:name="_Toc349300371"/>
      <w:r>
        <w:t>Zu den</w:t>
      </w:r>
      <w:r w:rsidRPr="00762252">
        <w:t xml:space="preserve"> vorliegenden US-amerikanischen </w:t>
      </w:r>
      <w:r>
        <w:t>Daten</w:t>
      </w:r>
      <w:bookmarkEnd w:id="42"/>
    </w:p>
    <w:p w14:paraId="1F3F6F0A" w14:textId="0EFA095A" w:rsidR="00285DA9" w:rsidRPr="00762252" w:rsidRDefault="00285DA9" w:rsidP="00285DA9">
      <w:pPr>
        <w:spacing w:line="276" w:lineRule="auto"/>
        <w:jc w:val="both"/>
        <w:rPr>
          <w:rFonts w:cs="Georgia"/>
          <w:iCs/>
          <w:szCs w:val="22"/>
        </w:rPr>
      </w:pPr>
      <w:r w:rsidRPr="00762252">
        <w:rPr>
          <w:szCs w:val="22"/>
        </w:rPr>
        <w:t xml:space="preserve">Bei der Auseinandersetzung mit den </w:t>
      </w:r>
      <w:r w:rsidR="006A6DD4" w:rsidRPr="00762252">
        <w:rPr>
          <w:szCs w:val="22"/>
        </w:rPr>
        <w:t>empirischen Daten</w:t>
      </w:r>
      <w:r w:rsidR="006A6DD4">
        <w:rPr>
          <w:szCs w:val="22"/>
        </w:rPr>
        <w:t xml:space="preserve"> der</w:t>
      </w:r>
      <w:r w:rsidRPr="00762252">
        <w:rPr>
          <w:szCs w:val="22"/>
        </w:rPr>
        <w:t xml:space="preserve"> einzelnen Bundesstaaten</w:t>
      </w:r>
      <w:r w:rsidR="006A6DD4">
        <w:rPr>
          <w:szCs w:val="22"/>
        </w:rPr>
        <w:t xml:space="preserve"> </w:t>
      </w:r>
      <w:r w:rsidRPr="00762252">
        <w:rPr>
          <w:szCs w:val="22"/>
        </w:rPr>
        <w:t>ist zu b</w:t>
      </w:r>
      <w:r w:rsidRPr="00762252">
        <w:rPr>
          <w:szCs w:val="22"/>
        </w:rPr>
        <w:t>e</w:t>
      </w:r>
      <w:r w:rsidRPr="00762252">
        <w:rPr>
          <w:szCs w:val="22"/>
        </w:rPr>
        <w:t xml:space="preserve">rücksichtigen, dass in den USA die Zahl der bei Verkehrsunfällen getöteten Personen seit 2013 kontinuierlich ansteigt. Als Ursachen dieses Trends werden </w:t>
      </w:r>
      <w:r w:rsidRPr="00762252">
        <w:rPr>
          <w:rFonts w:cs="Trebuchet MS"/>
          <w:szCs w:val="22"/>
        </w:rPr>
        <w:t>steigende Mobilität in Zusamme</w:t>
      </w:r>
      <w:r w:rsidRPr="00762252">
        <w:rPr>
          <w:rFonts w:cs="Trebuchet MS"/>
          <w:szCs w:val="22"/>
        </w:rPr>
        <w:t>n</w:t>
      </w:r>
      <w:r w:rsidRPr="00762252">
        <w:rPr>
          <w:rFonts w:cs="Trebuchet MS"/>
          <w:szCs w:val="22"/>
        </w:rPr>
        <w:t xml:space="preserve">hang mit einer Erwerbstätigkeit und geringe Benzinpreise genannt, </w:t>
      </w:r>
      <w:r w:rsidR="006A6DD4">
        <w:rPr>
          <w:rFonts w:cs="Trebuchet MS"/>
          <w:szCs w:val="22"/>
        </w:rPr>
        <w:t>in deren Folge</w:t>
      </w:r>
      <w:r w:rsidRPr="00762252">
        <w:rPr>
          <w:rFonts w:cs="Trebuchet MS"/>
          <w:szCs w:val="22"/>
        </w:rPr>
        <w:t xml:space="preserve"> es zu einem Anstieg der Zahl </w:t>
      </w:r>
      <w:r>
        <w:rPr>
          <w:rFonts w:cs="Trebuchet MS"/>
          <w:szCs w:val="22"/>
        </w:rPr>
        <w:t>sehr junger</w:t>
      </w:r>
      <w:r w:rsidRPr="00762252">
        <w:rPr>
          <w:rFonts w:cs="Trebuchet MS"/>
          <w:szCs w:val="22"/>
        </w:rPr>
        <w:t xml:space="preserve"> Fahrer und der Freizeitfahrten gekommen ist (vgl. U.S. Department of Transportation’s National Highway Traffic Safety Administration</w:t>
      </w:r>
      <w:r w:rsidR="006A6DD4">
        <w:rPr>
          <w:rFonts w:cs="Trebuchet MS"/>
          <w:szCs w:val="22"/>
        </w:rPr>
        <w:t xml:space="preserve"> 2016</w:t>
      </w:r>
      <w:r w:rsidRPr="00762252">
        <w:rPr>
          <w:rFonts w:cs="Trebuchet MS"/>
          <w:szCs w:val="22"/>
        </w:rPr>
        <w:t>). Im Jahr 2015 ist be</w:t>
      </w:r>
      <w:r w:rsidRPr="00762252">
        <w:rPr>
          <w:rFonts w:cs="Trebuchet MS"/>
          <w:szCs w:val="22"/>
        </w:rPr>
        <w:t>i</w:t>
      </w:r>
      <w:r w:rsidRPr="00762252">
        <w:rPr>
          <w:rFonts w:cs="Trebuchet MS"/>
          <w:szCs w:val="22"/>
        </w:rPr>
        <w:t>spielsweise die Zahl der gefahrenen Kilometer (vehicle miles travel</w:t>
      </w:r>
      <w:r w:rsidR="004B2277">
        <w:rPr>
          <w:rFonts w:cs="Trebuchet MS"/>
          <w:szCs w:val="22"/>
        </w:rPr>
        <w:t xml:space="preserve">ed </w:t>
      </w:r>
      <w:r w:rsidRPr="00762252">
        <w:rPr>
          <w:rFonts w:cs="Trebuchet MS"/>
          <w:szCs w:val="22"/>
        </w:rPr>
        <w:t xml:space="preserve">- VMT) im Vergleich zu 2014 um 3.5 % gestiegen: </w:t>
      </w:r>
      <w:r>
        <w:rPr>
          <w:rFonts w:cs="Trebuchet MS"/>
          <w:szCs w:val="22"/>
        </w:rPr>
        <w:t>der</w:t>
      </w:r>
      <w:r w:rsidRPr="00762252">
        <w:rPr>
          <w:rFonts w:cs="Trebuchet MS"/>
          <w:szCs w:val="22"/>
        </w:rPr>
        <w:t xml:space="preserve"> größte </w:t>
      </w:r>
      <w:r>
        <w:rPr>
          <w:rFonts w:cs="Trebuchet MS"/>
          <w:szCs w:val="22"/>
        </w:rPr>
        <w:t>Anstieg</w:t>
      </w:r>
      <w:r w:rsidRPr="00762252">
        <w:rPr>
          <w:rFonts w:cs="Trebuchet MS"/>
          <w:szCs w:val="22"/>
        </w:rPr>
        <w:t xml:space="preserve"> in den vergangenen 25 Jahren (vgl. </w:t>
      </w:r>
      <w:r w:rsidR="006A6DD4">
        <w:rPr>
          <w:rFonts w:cs="Trebuchet MS"/>
          <w:szCs w:val="22"/>
        </w:rPr>
        <w:t>ebenda</w:t>
      </w:r>
      <w:r w:rsidRPr="00762252">
        <w:rPr>
          <w:rFonts w:cs="Trebuchet MS"/>
          <w:szCs w:val="22"/>
        </w:rPr>
        <w:t>). De</w:t>
      </w:r>
      <w:r w:rsidRPr="00762252">
        <w:rPr>
          <w:rFonts w:cs="Trebuchet MS"/>
          <w:szCs w:val="22"/>
        </w:rPr>
        <w:t>s</w:t>
      </w:r>
      <w:r w:rsidRPr="00762252">
        <w:rPr>
          <w:rFonts w:cs="Trebuchet MS"/>
          <w:szCs w:val="22"/>
        </w:rPr>
        <w:t xml:space="preserve">halb lassen Angaben allein zur </w:t>
      </w:r>
      <w:r w:rsidR="004B2277">
        <w:rPr>
          <w:rFonts w:cs="Trebuchet MS"/>
          <w:szCs w:val="22"/>
        </w:rPr>
        <w:t xml:space="preserve">absoluten </w:t>
      </w:r>
      <w:r w:rsidRPr="00762252">
        <w:rPr>
          <w:rFonts w:cs="Trebuchet MS"/>
          <w:szCs w:val="22"/>
        </w:rPr>
        <w:t xml:space="preserve">Zahl </w:t>
      </w:r>
      <w:r w:rsidR="004B2277">
        <w:rPr>
          <w:rFonts w:cs="Trebuchet MS"/>
          <w:szCs w:val="22"/>
        </w:rPr>
        <w:t>von</w:t>
      </w:r>
      <w:r w:rsidRPr="00762252">
        <w:rPr>
          <w:rFonts w:cs="Trebuchet MS"/>
          <w:szCs w:val="22"/>
        </w:rPr>
        <w:t xml:space="preserve"> Verkehrsunfälle</w:t>
      </w:r>
      <w:r w:rsidR="004B2277">
        <w:rPr>
          <w:rFonts w:cs="Trebuchet MS"/>
          <w:szCs w:val="22"/>
        </w:rPr>
        <w:t>n</w:t>
      </w:r>
      <w:r w:rsidRPr="00762252">
        <w:rPr>
          <w:rFonts w:cs="Trebuchet MS"/>
          <w:szCs w:val="22"/>
        </w:rPr>
        <w:t xml:space="preserve"> kaum Aussagen zu, ob es einen Zusammenhang zwischen </w:t>
      </w:r>
      <w:r w:rsidR="00D01097">
        <w:rPr>
          <w:rFonts w:cs="Trebuchet MS"/>
          <w:szCs w:val="22"/>
        </w:rPr>
        <w:t>Regulierung</w:t>
      </w:r>
      <w:r w:rsidR="006A6DD4">
        <w:rPr>
          <w:rFonts w:cs="Trebuchet MS"/>
          <w:szCs w:val="22"/>
        </w:rPr>
        <w:t>sprozessen</w:t>
      </w:r>
      <w:r w:rsidRPr="00762252">
        <w:rPr>
          <w:rFonts w:cs="Trebuchet MS"/>
          <w:szCs w:val="22"/>
        </w:rPr>
        <w:t xml:space="preserve"> und Verkehrssicherheit gibt und wenn ja, wie dieser zu beschreiben ist. Immerhin zeigt ein Blick auf die Entwicklung schwerer Ve</w:t>
      </w:r>
      <w:r w:rsidRPr="00762252">
        <w:rPr>
          <w:rFonts w:cs="Trebuchet MS"/>
          <w:szCs w:val="22"/>
        </w:rPr>
        <w:t>r</w:t>
      </w:r>
      <w:r w:rsidRPr="00762252">
        <w:rPr>
          <w:rFonts w:cs="Trebuchet MS"/>
          <w:szCs w:val="22"/>
        </w:rPr>
        <w:t>kehrsunfälle, dass es weder in den Bundesstaaten Washington und Colorado (</w:t>
      </w:r>
      <w:r w:rsidR="006A6DD4">
        <w:rPr>
          <w:rFonts w:cs="Trebuchet MS"/>
          <w:szCs w:val="22"/>
        </w:rPr>
        <w:t xml:space="preserve">die </w:t>
      </w:r>
      <w:r w:rsidR="00144CCC">
        <w:rPr>
          <w:rFonts w:cs="Trebuchet MS"/>
          <w:szCs w:val="22"/>
        </w:rPr>
        <w:t xml:space="preserve">2013 </w:t>
      </w:r>
      <w:r w:rsidR="006A6DD4">
        <w:rPr>
          <w:rFonts w:cs="Trebuchet MS"/>
          <w:szCs w:val="22"/>
        </w:rPr>
        <w:t xml:space="preserve">einen </w:t>
      </w:r>
      <w:r w:rsidR="00D01097">
        <w:rPr>
          <w:rFonts w:cs="Trebuchet MS"/>
          <w:szCs w:val="22"/>
        </w:rPr>
        <w:t>Regulierung</w:t>
      </w:r>
      <w:r w:rsidR="006A6DD4">
        <w:rPr>
          <w:rFonts w:cs="Trebuchet MS"/>
          <w:szCs w:val="22"/>
        </w:rPr>
        <w:t>sprozess</w:t>
      </w:r>
      <w:r w:rsidRPr="00762252">
        <w:rPr>
          <w:rFonts w:cs="Trebuchet MS"/>
          <w:szCs w:val="22"/>
        </w:rPr>
        <w:t xml:space="preserve"> </w:t>
      </w:r>
      <w:r w:rsidR="00144CCC">
        <w:rPr>
          <w:rFonts w:cs="Trebuchet MS"/>
          <w:szCs w:val="22"/>
        </w:rPr>
        <w:t>für den</w:t>
      </w:r>
      <w:r w:rsidRPr="00762252">
        <w:rPr>
          <w:rFonts w:cs="Trebuchet MS"/>
          <w:szCs w:val="22"/>
        </w:rPr>
        <w:t xml:space="preserve"> Frei</w:t>
      </w:r>
      <w:r w:rsidR="00144CCC">
        <w:rPr>
          <w:rFonts w:cs="Trebuchet MS"/>
          <w:szCs w:val="22"/>
        </w:rPr>
        <w:t>zeitkonsum</w:t>
      </w:r>
      <w:r w:rsidRPr="00762252">
        <w:rPr>
          <w:rFonts w:cs="Trebuchet MS"/>
          <w:szCs w:val="22"/>
        </w:rPr>
        <w:t xml:space="preserve"> </w:t>
      </w:r>
      <w:r w:rsidR="006A6DD4">
        <w:rPr>
          <w:rFonts w:cs="Trebuchet MS"/>
          <w:szCs w:val="22"/>
        </w:rPr>
        <w:t>in Angriff nahmen)</w:t>
      </w:r>
      <w:r w:rsidR="004B2277">
        <w:rPr>
          <w:rFonts w:cs="Trebuchet MS"/>
          <w:szCs w:val="22"/>
        </w:rPr>
        <w:t xml:space="preserve"> </w:t>
      </w:r>
      <w:r w:rsidRPr="00762252">
        <w:rPr>
          <w:rFonts w:cs="Trebuchet MS"/>
          <w:szCs w:val="22"/>
        </w:rPr>
        <w:t>noch</w:t>
      </w:r>
      <w:r w:rsidR="006A6DD4">
        <w:rPr>
          <w:rFonts w:cs="Trebuchet MS"/>
          <w:szCs w:val="22"/>
        </w:rPr>
        <w:t xml:space="preserve"> </w:t>
      </w:r>
      <w:r w:rsidRPr="00762252">
        <w:rPr>
          <w:rFonts w:cs="Trebuchet MS"/>
          <w:szCs w:val="22"/>
        </w:rPr>
        <w:t xml:space="preserve">in Alaska oder Oregon (die diesem Politikmodell 2014 </w:t>
      </w:r>
      <w:r w:rsidR="006A6DD4">
        <w:rPr>
          <w:rFonts w:cs="Trebuchet MS"/>
          <w:szCs w:val="22"/>
        </w:rPr>
        <w:t>folgten)</w:t>
      </w:r>
      <w:r w:rsidRPr="00762252">
        <w:rPr>
          <w:rFonts w:cs="Trebuchet MS"/>
          <w:szCs w:val="22"/>
        </w:rPr>
        <w:t xml:space="preserve"> zu einem dramatischen Anstieg der Verkehrsunfälle insgesamt gekommen ist (vgl. </w:t>
      </w:r>
      <w:r w:rsidRPr="00762252">
        <w:rPr>
          <w:rFonts w:cs="Georgia"/>
          <w:iCs/>
          <w:szCs w:val="22"/>
        </w:rPr>
        <w:t>Dills, Goffard, Miron 2016, S. 25-26).</w:t>
      </w:r>
    </w:p>
    <w:p w14:paraId="5F93A713" w14:textId="6484C9BC" w:rsidR="00285DA9" w:rsidRPr="00762252" w:rsidRDefault="00285DA9" w:rsidP="00285DA9">
      <w:pPr>
        <w:spacing w:line="276" w:lineRule="auto"/>
        <w:jc w:val="both"/>
        <w:rPr>
          <w:szCs w:val="22"/>
        </w:rPr>
      </w:pPr>
      <w:r w:rsidRPr="00762252">
        <w:rPr>
          <w:rFonts w:cs="Trebuchet MS"/>
          <w:szCs w:val="22"/>
        </w:rPr>
        <w:t xml:space="preserve">Ob und wie </w:t>
      </w:r>
      <w:r w:rsidR="00D01097">
        <w:rPr>
          <w:rFonts w:cs="Trebuchet MS"/>
          <w:szCs w:val="22"/>
        </w:rPr>
        <w:t>Regulierung</w:t>
      </w:r>
      <w:r w:rsidR="006A6DD4">
        <w:rPr>
          <w:rFonts w:cs="Trebuchet MS"/>
          <w:szCs w:val="22"/>
        </w:rPr>
        <w:t>sprozesse</w:t>
      </w:r>
      <w:r w:rsidRPr="00762252">
        <w:rPr>
          <w:rFonts w:cs="Trebuchet MS"/>
          <w:szCs w:val="22"/>
        </w:rPr>
        <w:t xml:space="preserve"> die Ve</w:t>
      </w:r>
      <w:r w:rsidR="006A6DD4">
        <w:rPr>
          <w:rFonts w:cs="Trebuchet MS"/>
          <w:szCs w:val="22"/>
        </w:rPr>
        <w:t>rkehrssicherheit beeinflussen kö</w:t>
      </w:r>
      <w:r w:rsidRPr="00762252">
        <w:rPr>
          <w:rFonts w:cs="Trebuchet MS"/>
          <w:szCs w:val="22"/>
        </w:rPr>
        <w:t>nn</w:t>
      </w:r>
      <w:r w:rsidR="006A6DD4">
        <w:rPr>
          <w:rFonts w:cs="Trebuchet MS"/>
          <w:szCs w:val="22"/>
        </w:rPr>
        <w:t>en</w:t>
      </w:r>
      <w:r w:rsidRPr="00762252">
        <w:rPr>
          <w:rFonts w:cs="Trebuchet MS"/>
          <w:szCs w:val="22"/>
        </w:rPr>
        <w:t>, muss über we</w:t>
      </w:r>
      <w:r w:rsidRPr="00762252">
        <w:rPr>
          <w:rFonts w:cs="Trebuchet MS"/>
          <w:szCs w:val="22"/>
        </w:rPr>
        <w:t>i</w:t>
      </w:r>
      <w:r w:rsidRPr="00762252">
        <w:rPr>
          <w:rFonts w:cs="Trebuchet MS"/>
          <w:szCs w:val="22"/>
        </w:rPr>
        <w:t xml:space="preserve">terführende </w:t>
      </w:r>
      <w:r w:rsidR="00144CCC">
        <w:rPr>
          <w:rFonts w:cs="Trebuchet MS"/>
          <w:szCs w:val="22"/>
        </w:rPr>
        <w:t>A</w:t>
      </w:r>
      <w:r w:rsidR="00144CCC" w:rsidRPr="00762252">
        <w:rPr>
          <w:rFonts w:cs="Trebuchet MS"/>
          <w:szCs w:val="22"/>
        </w:rPr>
        <w:t xml:space="preserve">nalysen </w:t>
      </w:r>
      <w:r w:rsidRPr="00762252">
        <w:rPr>
          <w:szCs w:val="22"/>
        </w:rPr>
        <w:t>Prä- und Post</w:t>
      </w:r>
      <w:r w:rsidR="00D67419">
        <w:rPr>
          <w:szCs w:val="22"/>
        </w:rPr>
        <w:t>r</w:t>
      </w:r>
      <w:r w:rsidR="00D01097">
        <w:rPr>
          <w:szCs w:val="22"/>
        </w:rPr>
        <w:t>egulierung</w:t>
      </w:r>
      <w:r w:rsidR="00144CCC">
        <w:rPr>
          <w:szCs w:val="22"/>
        </w:rPr>
        <w:t xml:space="preserve"> </w:t>
      </w:r>
      <w:r w:rsidRPr="00762252">
        <w:rPr>
          <w:rFonts w:cs="Trebuchet MS"/>
          <w:szCs w:val="22"/>
        </w:rPr>
        <w:t>gek</w:t>
      </w:r>
      <w:r>
        <w:rPr>
          <w:rFonts w:cs="Trebuchet MS"/>
          <w:szCs w:val="22"/>
        </w:rPr>
        <w:t>lärt werden.</w:t>
      </w:r>
      <w:r w:rsidRPr="00762252">
        <w:rPr>
          <w:szCs w:val="22"/>
        </w:rPr>
        <w:t xml:space="preserve"> </w:t>
      </w:r>
      <w:r>
        <w:rPr>
          <w:rFonts w:cs="Trebuchet MS"/>
          <w:szCs w:val="22"/>
        </w:rPr>
        <w:t xml:space="preserve">Solche Daten liegen </w:t>
      </w:r>
      <w:r w:rsidRPr="00762252">
        <w:rPr>
          <w:rFonts w:cs="Trebuchet MS"/>
          <w:szCs w:val="22"/>
        </w:rPr>
        <w:t xml:space="preserve">allerdings bis heute in den </w:t>
      </w:r>
      <w:r w:rsidRPr="00762252">
        <w:rPr>
          <w:szCs w:val="22"/>
        </w:rPr>
        <w:t xml:space="preserve">Bundesstaaten Colorado und Washington </w:t>
      </w:r>
      <w:r w:rsidRPr="00762252">
        <w:rPr>
          <w:rFonts w:cs="Trebuchet MS"/>
          <w:szCs w:val="22"/>
        </w:rPr>
        <w:t xml:space="preserve">nur bedingt und in den Bundesstaaten Alaska und Oregon </w:t>
      </w:r>
      <w:r w:rsidR="00144CCC">
        <w:rPr>
          <w:rFonts w:cs="Trebuchet MS"/>
          <w:szCs w:val="22"/>
        </w:rPr>
        <w:t>wegen</w:t>
      </w:r>
      <w:r w:rsidRPr="00762252">
        <w:rPr>
          <w:rFonts w:cs="Trebuchet MS"/>
          <w:szCs w:val="22"/>
        </w:rPr>
        <w:t xml:space="preserve"> der Kürze der Zeit noch </w:t>
      </w:r>
      <w:r>
        <w:rPr>
          <w:rFonts w:cs="Trebuchet MS"/>
          <w:szCs w:val="22"/>
        </w:rPr>
        <w:t xml:space="preserve">gar </w:t>
      </w:r>
      <w:r w:rsidRPr="00762252">
        <w:rPr>
          <w:rFonts w:cs="Trebuchet MS"/>
          <w:szCs w:val="22"/>
        </w:rPr>
        <w:t>nicht vor. Da jeder US-</w:t>
      </w:r>
      <w:r w:rsidR="006A6DD4">
        <w:rPr>
          <w:rFonts w:cs="Trebuchet MS"/>
          <w:szCs w:val="22"/>
        </w:rPr>
        <w:t xml:space="preserve">amerikanische Bundesstaat zudem </w:t>
      </w:r>
      <w:r w:rsidRPr="00762252">
        <w:rPr>
          <w:rFonts w:cs="Trebuchet MS"/>
          <w:szCs w:val="22"/>
        </w:rPr>
        <w:t xml:space="preserve">eigene Politikmodelle </w:t>
      </w:r>
      <w:r w:rsidR="004B2277">
        <w:rPr>
          <w:rFonts w:cs="Trebuchet MS"/>
          <w:szCs w:val="22"/>
        </w:rPr>
        <w:t xml:space="preserve">im </w:t>
      </w:r>
      <w:r w:rsidR="00D01097">
        <w:rPr>
          <w:rFonts w:cs="Trebuchet MS"/>
          <w:szCs w:val="22"/>
        </w:rPr>
        <w:t>Regulierung</w:t>
      </w:r>
      <w:r w:rsidR="004B2277">
        <w:rPr>
          <w:rFonts w:cs="Trebuchet MS"/>
          <w:szCs w:val="22"/>
        </w:rPr>
        <w:t>sprozess</w:t>
      </w:r>
      <w:r w:rsidRPr="00762252">
        <w:rPr>
          <w:rFonts w:cs="Trebuchet MS"/>
          <w:szCs w:val="22"/>
        </w:rPr>
        <w:t xml:space="preserve"> umsetzt, ist es interessant und wichtig, </w:t>
      </w:r>
      <w:r w:rsidR="006A6DD4">
        <w:rPr>
          <w:rFonts w:cs="Trebuchet MS"/>
          <w:szCs w:val="22"/>
        </w:rPr>
        <w:t xml:space="preserve">die vorliegenden </w:t>
      </w:r>
      <w:r w:rsidRPr="00762252">
        <w:rPr>
          <w:rFonts w:cs="Trebuchet MS"/>
          <w:szCs w:val="22"/>
        </w:rPr>
        <w:t xml:space="preserve">Erfahrungen </w:t>
      </w:r>
      <w:r w:rsidR="006A6DD4">
        <w:rPr>
          <w:rFonts w:cs="Trebuchet MS"/>
          <w:szCs w:val="22"/>
        </w:rPr>
        <w:t xml:space="preserve">auch </w:t>
      </w:r>
      <w:r w:rsidR="004B2277">
        <w:rPr>
          <w:rFonts w:cs="Trebuchet MS"/>
          <w:szCs w:val="22"/>
        </w:rPr>
        <w:t>zu</w:t>
      </w:r>
      <w:r w:rsidRPr="00762252">
        <w:rPr>
          <w:rFonts w:cs="Trebuchet MS"/>
          <w:szCs w:val="22"/>
        </w:rPr>
        <w:t xml:space="preserve"> den unterschiedlichen </w:t>
      </w:r>
      <w:r w:rsidR="00D01097">
        <w:rPr>
          <w:rFonts w:cs="Trebuchet MS"/>
          <w:szCs w:val="22"/>
        </w:rPr>
        <w:t>Regulierung</w:t>
      </w:r>
      <w:r w:rsidRPr="00762252">
        <w:rPr>
          <w:rFonts w:cs="Trebuchet MS"/>
          <w:szCs w:val="22"/>
        </w:rPr>
        <w:t>smode</w:t>
      </w:r>
      <w:r w:rsidRPr="00762252">
        <w:rPr>
          <w:rFonts w:cs="Trebuchet MS"/>
          <w:szCs w:val="22"/>
        </w:rPr>
        <w:t>l</w:t>
      </w:r>
      <w:r w:rsidRPr="00762252">
        <w:rPr>
          <w:rFonts w:cs="Trebuchet MS"/>
          <w:szCs w:val="22"/>
        </w:rPr>
        <w:t xml:space="preserve">len </w:t>
      </w:r>
      <w:r w:rsidR="006A6DD4">
        <w:rPr>
          <w:rFonts w:cs="Trebuchet MS"/>
          <w:szCs w:val="22"/>
        </w:rPr>
        <w:t>in Beziehung zu setzen</w:t>
      </w:r>
      <w:r w:rsidRPr="00762252">
        <w:rPr>
          <w:rFonts w:cs="Trebuchet MS"/>
          <w:szCs w:val="22"/>
        </w:rPr>
        <w:t>.</w:t>
      </w:r>
    </w:p>
    <w:p w14:paraId="3E7D78F1" w14:textId="77777777" w:rsidR="00285DA9" w:rsidRPr="00762252" w:rsidRDefault="00285DA9" w:rsidP="00285DA9">
      <w:pPr>
        <w:pStyle w:val="berschrift2"/>
        <w:spacing w:line="276" w:lineRule="auto"/>
        <w:jc w:val="both"/>
      </w:pPr>
      <w:bookmarkStart w:id="43" w:name="_Toc349300372"/>
      <w:r w:rsidRPr="00762252">
        <w:t>Das Beispiel Washington</w:t>
      </w:r>
      <w:bookmarkEnd w:id="43"/>
    </w:p>
    <w:p w14:paraId="6236ABD5" w14:textId="6C658FED" w:rsidR="00285DA9" w:rsidRPr="00762252" w:rsidRDefault="00285DA9" w:rsidP="00285DA9">
      <w:pPr>
        <w:pStyle w:val="KeinLeerraum"/>
        <w:spacing w:line="276" w:lineRule="auto"/>
        <w:jc w:val="both"/>
        <w:rPr>
          <w:szCs w:val="22"/>
        </w:rPr>
      </w:pPr>
      <w:r w:rsidRPr="00762252">
        <w:rPr>
          <w:szCs w:val="22"/>
        </w:rPr>
        <w:t xml:space="preserve">Mit der Abstimmung über das Gesetz zur </w:t>
      </w:r>
      <w:r w:rsidR="00D01097">
        <w:rPr>
          <w:szCs w:val="22"/>
        </w:rPr>
        <w:t>Regulierung</w:t>
      </w:r>
      <w:r w:rsidR="00144CCC">
        <w:rPr>
          <w:szCs w:val="22"/>
        </w:rPr>
        <w:t xml:space="preserve"> </w:t>
      </w:r>
      <w:r w:rsidRPr="00762252">
        <w:rPr>
          <w:szCs w:val="22"/>
        </w:rPr>
        <w:t xml:space="preserve">wurde </w:t>
      </w:r>
      <w:r w:rsidR="00144CCC">
        <w:rPr>
          <w:szCs w:val="22"/>
        </w:rPr>
        <w:t>im Bundesstaat Washington</w:t>
      </w:r>
      <w:r w:rsidR="00144CCC" w:rsidRPr="00762252">
        <w:rPr>
          <w:szCs w:val="22"/>
        </w:rPr>
        <w:t xml:space="preserve"> </w:t>
      </w:r>
      <w:r w:rsidRPr="00762252">
        <w:rPr>
          <w:szCs w:val="22"/>
        </w:rPr>
        <w:t xml:space="preserve">nicht nur der Freizeitkonsum für alle Personen über 21 Jahre legalisiert. Erstmals wurde auch das Fahren unter </w:t>
      </w:r>
      <w:r w:rsidR="009421FF">
        <w:rPr>
          <w:szCs w:val="22"/>
        </w:rPr>
        <w:t>Nachweis</w:t>
      </w:r>
      <w:r w:rsidRPr="00762252">
        <w:rPr>
          <w:szCs w:val="22"/>
        </w:rPr>
        <w:t xml:space="preserve"> von Marihuana, sofern der Fahrer älter als 21 Jahre und die THC-Blutkonzentration auch zwei Stunden </w:t>
      </w:r>
      <w:r w:rsidR="004B2277">
        <w:rPr>
          <w:szCs w:val="22"/>
        </w:rPr>
        <w:t>nach der Fahrt nicht höher als fünf</w:t>
      </w:r>
      <w:r w:rsidRPr="00762252">
        <w:rPr>
          <w:szCs w:val="22"/>
        </w:rPr>
        <w:t xml:space="preserve"> Nanogramm pro Mill</w:t>
      </w:r>
      <w:r w:rsidRPr="00762252">
        <w:rPr>
          <w:szCs w:val="22"/>
        </w:rPr>
        <w:t>i</w:t>
      </w:r>
      <w:r w:rsidRPr="00762252">
        <w:rPr>
          <w:szCs w:val="22"/>
        </w:rPr>
        <w:t>lit</w:t>
      </w:r>
      <w:r w:rsidR="009421FF">
        <w:rPr>
          <w:szCs w:val="22"/>
        </w:rPr>
        <w:t xml:space="preserve">er Blut ist, straffrei erklärt </w:t>
      </w:r>
      <w:r w:rsidRPr="00762252">
        <w:rPr>
          <w:szCs w:val="22"/>
        </w:rPr>
        <w:t xml:space="preserve">(vgl. Initiative 502, Revised Code of Washington 46.61.502). Damit </w:t>
      </w:r>
      <w:r w:rsidR="00144CCC">
        <w:rPr>
          <w:szCs w:val="22"/>
        </w:rPr>
        <w:t xml:space="preserve">wurden in diesem </w:t>
      </w:r>
      <w:r w:rsidRPr="00762252">
        <w:rPr>
          <w:szCs w:val="22"/>
        </w:rPr>
        <w:t>Bundesstaat auch die verkehrsrechtlichen Regelungen rund um de</w:t>
      </w:r>
      <w:r w:rsidR="000671C8">
        <w:rPr>
          <w:szCs w:val="22"/>
        </w:rPr>
        <w:t>n Marihu</w:t>
      </w:r>
      <w:r w:rsidR="000671C8">
        <w:rPr>
          <w:szCs w:val="22"/>
        </w:rPr>
        <w:t>a</w:t>
      </w:r>
      <w:r w:rsidR="000671C8">
        <w:rPr>
          <w:szCs w:val="22"/>
        </w:rPr>
        <w:t>na-K</w:t>
      </w:r>
      <w:r w:rsidRPr="00762252">
        <w:rPr>
          <w:szCs w:val="22"/>
        </w:rPr>
        <w:t>onsum radikal geändert</w:t>
      </w:r>
      <w:r w:rsidR="009421FF">
        <w:rPr>
          <w:szCs w:val="22"/>
        </w:rPr>
        <w:t>:</w:t>
      </w:r>
      <w:r w:rsidRPr="00762252">
        <w:rPr>
          <w:szCs w:val="22"/>
        </w:rPr>
        <w:t xml:space="preserve"> </w:t>
      </w:r>
      <w:r w:rsidR="009421FF">
        <w:rPr>
          <w:szCs w:val="22"/>
        </w:rPr>
        <w:t>N</w:t>
      </w:r>
      <w:r w:rsidRPr="00762252">
        <w:rPr>
          <w:szCs w:val="22"/>
        </w:rPr>
        <w:t xml:space="preserve">ach einem Totalverbot </w:t>
      </w:r>
      <w:r w:rsidR="009421FF">
        <w:rPr>
          <w:szCs w:val="22"/>
        </w:rPr>
        <w:t xml:space="preserve">wurden nun </w:t>
      </w:r>
      <w:r w:rsidRPr="00762252">
        <w:rPr>
          <w:szCs w:val="22"/>
        </w:rPr>
        <w:t xml:space="preserve">Limits </w:t>
      </w:r>
      <w:r w:rsidR="009421FF">
        <w:rPr>
          <w:szCs w:val="22"/>
        </w:rPr>
        <w:t xml:space="preserve">für den </w:t>
      </w:r>
      <w:r w:rsidR="009421FF" w:rsidRPr="00762252">
        <w:rPr>
          <w:szCs w:val="22"/>
        </w:rPr>
        <w:t xml:space="preserve">Konsum von Marihuana </w:t>
      </w:r>
      <w:r w:rsidRPr="00762252">
        <w:rPr>
          <w:szCs w:val="22"/>
        </w:rPr>
        <w:t xml:space="preserve">vorgegeben, die </w:t>
      </w:r>
      <w:r w:rsidR="009421FF">
        <w:rPr>
          <w:szCs w:val="22"/>
        </w:rPr>
        <w:t>bei</w:t>
      </w:r>
      <w:r w:rsidRPr="00762252">
        <w:rPr>
          <w:szCs w:val="22"/>
        </w:rPr>
        <w:t xml:space="preserve"> eine</w:t>
      </w:r>
      <w:r w:rsidR="009421FF">
        <w:rPr>
          <w:szCs w:val="22"/>
        </w:rPr>
        <w:t>r</w:t>
      </w:r>
      <w:r w:rsidRPr="00762252">
        <w:rPr>
          <w:szCs w:val="22"/>
        </w:rPr>
        <w:t xml:space="preserve"> Teilnahme am Straßenverkehr </w:t>
      </w:r>
      <w:r w:rsidR="009421FF">
        <w:rPr>
          <w:szCs w:val="22"/>
        </w:rPr>
        <w:t xml:space="preserve">zu respektieren sind. </w:t>
      </w:r>
      <w:r w:rsidRPr="00762252">
        <w:rPr>
          <w:szCs w:val="22"/>
        </w:rPr>
        <w:t xml:space="preserve">Diese neuen Regeln sorgten dafür, dass </w:t>
      </w:r>
      <w:r w:rsidR="009444BA" w:rsidRPr="00762252">
        <w:rPr>
          <w:szCs w:val="22"/>
        </w:rPr>
        <w:t xml:space="preserve">in den Katalog der Verkehrsdelikte zeitgleich </w:t>
      </w:r>
      <w:r w:rsidR="009421FF" w:rsidRPr="00762252">
        <w:rPr>
          <w:szCs w:val="22"/>
        </w:rPr>
        <w:t xml:space="preserve">ein neues Delikt </w:t>
      </w:r>
      <w:r w:rsidRPr="00762252">
        <w:rPr>
          <w:szCs w:val="22"/>
        </w:rPr>
        <w:t xml:space="preserve">aufgenommen </w:t>
      </w:r>
      <w:r w:rsidR="009444BA">
        <w:rPr>
          <w:szCs w:val="22"/>
        </w:rPr>
        <w:t>wurde</w:t>
      </w:r>
      <w:r w:rsidRPr="00762252">
        <w:rPr>
          <w:szCs w:val="22"/>
        </w:rPr>
        <w:t>: „Driving under the influence of drugs: Marihuana (DUIM)“. Folgerichtig stell</w:t>
      </w:r>
      <w:r w:rsidR="009444BA">
        <w:rPr>
          <w:szCs w:val="22"/>
        </w:rPr>
        <w:t xml:space="preserve">te sich </w:t>
      </w:r>
      <w:r w:rsidRPr="00762252">
        <w:rPr>
          <w:szCs w:val="22"/>
        </w:rPr>
        <w:t xml:space="preserve">die Herausforderung, die Exekutive zu befähigen, diese neuen Vorgaben auch </w:t>
      </w:r>
      <w:r w:rsidR="009444BA">
        <w:rPr>
          <w:szCs w:val="22"/>
        </w:rPr>
        <w:t xml:space="preserve">zu </w:t>
      </w:r>
      <w:r w:rsidRPr="00762252">
        <w:rPr>
          <w:szCs w:val="22"/>
        </w:rPr>
        <w:t>ko</w:t>
      </w:r>
      <w:r w:rsidRPr="00762252">
        <w:rPr>
          <w:szCs w:val="22"/>
        </w:rPr>
        <w:t>n</w:t>
      </w:r>
      <w:r w:rsidRPr="00762252">
        <w:rPr>
          <w:szCs w:val="22"/>
        </w:rPr>
        <w:t xml:space="preserve">trollieren und ggf. </w:t>
      </w:r>
      <w:r w:rsidR="009444BA">
        <w:rPr>
          <w:szCs w:val="22"/>
        </w:rPr>
        <w:t xml:space="preserve">zu </w:t>
      </w:r>
      <w:r w:rsidRPr="00762252">
        <w:rPr>
          <w:szCs w:val="22"/>
        </w:rPr>
        <w:t xml:space="preserve">sanktionieren. </w:t>
      </w:r>
    </w:p>
    <w:p w14:paraId="6F9D8F39" w14:textId="77777777" w:rsidR="004B2277" w:rsidRDefault="004B2277" w:rsidP="00285DA9">
      <w:pPr>
        <w:pStyle w:val="KeinLeerraum"/>
        <w:spacing w:line="276" w:lineRule="auto"/>
        <w:jc w:val="both"/>
        <w:rPr>
          <w:szCs w:val="22"/>
        </w:rPr>
      </w:pPr>
    </w:p>
    <w:p w14:paraId="32A471C3" w14:textId="5EF09327" w:rsidR="00285DA9" w:rsidRPr="00762252" w:rsidRDefault="00285DA9" w:rsidP="00285DA9">
      <w:pPr>
        <w:pStyle w:val="KeinLeerraum"/>
        <w:spacing w:line="276" w:lineRule="auto"/>
        <w:jc w:val="both"/>
        <w:rPr>
          <w:szCs w:val="22"/>
        </w:rPr>
      </w:pPr>
      <w:r w:rsidRPr="00762252">
        <w:rPr>
          <w:szCs w:val="22"/>
        </w:rPr>
        <w:t>In Zusammenhang mit der Einführung des neuen Verkehrsdelikts DUIM wurde ein intensives Ausbildungsprogramm für die an der Strafverfolgung beteiligten Polizisten, Richter, Staatsa</w:t>
      </w:r>
      <w:r w:rsidRPr="00762252">
        <w:rPr>
          <w:szCs w:val="22"/>
        </w:rPr>
        <w:t>n</w:t>
      </w:r>
      <w:r w:rsidRPr="00762252">
        <w:rPr>
          <w:szCs w:val="22"/>
        </w:rPr>
        <w:t>wälte und Laborangestellten gestartet (</w:t>
      </w:r>
      <w:r w:rsidRPr="00762252">
        <w:rPr>
          <w:rFonts w:cs="Arial"/>
          <w:szCs w:val="22"/>
        </w:rPr>
        <w:t>vgl. Washington State Patrol 2014, S. 36)</w:t>
      </w:r>
      <w:r w:rsidRPr="00762252">
        <w:rPr>
          <w:szCs w:val="22"/>
        </w:rPr>
        <w:t xml:space="preserve">. </w:t>
      </w:r>
      <w:r w:rsidR="009421FF">
        <w:rPr>
          <w:szCs w:val="22"/>
        </w:rPr>
        <w:t>G</w:t>
      </w:r>
      <w:r w:rsidR="009421FF" w:rsidRPr="00762252">
        <w:rPr>
          <w:szCs w:val="22"/>
        </w:rPr>
        <w:t xml:space="preserve">eschult </w:t>
      </w:r>
      <w:r w:rsidRPr="00762252">
        <w:rPr>
          <w:szCs w:val="22"/>
        </w:rPr>
        <w:t>wu</w:t>
      </w:r>
      <w:r w:rsidRPr="00762252">
        <w:rPr>
          <w:szCs w:val="22"/>
        </w:rPr>
        <w:t>r</w:t>
      </w:r>
      <w:r w:rsidR="004B2277">
        <w:rPr>
          <w:szCs w:val="22"/>
        </w:rPr>
        <w:t>de</w:t>
      </w:r>
      <w:r w:rsidRPr="00762252">
        <w:rPr>
          <w:szCs w:val="22"/>
        </w:rPr>
        <w:t xml:space="preserve"> nicht nur, wie zu diesem Delikt zu ermitteln ist. Es wurden zugleich Möglichkeiten für Blu</w:t>
      </w:r>
      <w:r w:rsidRPr="00762252">
        <w:rPr>
          <w:szCs w:val="22"/>
        </w:rPr>
        <w:t>t</w:t>
      </w:r>
      <w:r w:rsidRPr="00762252">
        <w:rPr>
          <w:szCs w:val="22"/>
        </w:rPr>
        <w:t xml:space="preserve">tests aufgebaut, über die eine Kontrolle </w:t>
      </w:r>
      <w:r w:rsidR="004B2277">
        <w:rPr>
          <w:szCs w:val="22"/>
        </w:rPr>
        <w:t>der</w:t>
      </w:r>
      <w:r w:rsidRPr="00762252">
        <w:rPr>
          <w:szCs w:val="22"/>
        </w:rPr>
        <w:t xml:space="preserve"> Teilnahme am Straßenverkehr </w:t>
      </w:r>
      <w:r w:rsidR="004B2277">
        <w:rPr>
          <w:szCs w:val="22"/>
        </w:rPr>
        <w:t xml:space="preserve">unter Marihuana-Konsum </w:t>
      </w:r>
      <w:r w:rsidRPr="00762252">
        <w:rPr>
          <w:szCs w:val="22"/>
        </w:rPr>
        <w:t>vorgenommen werden kann</w:t>
      </w:r>
      <w:r>
        <w:rPr>
          <w:szCs w:val="22"/>
        </w:rPr>
        <w:t xml:space="preserve"> </w:t>
      </w:r>
      <w:r w:rsidRPr="00762252">
        <w:rPr>
          <w:szCs w:val="22"/>
        </w:rPr>
        <w:t>(vgl. AAA Foundation for Traffic Safety 2016).</w:t>
      </w:r>
      <w:r w:rsidR="009421FF">
        <w:rPr>
          <w:szCs w:val="22"/>
        </w:rPr>
        <w:t xml:space="preserve"> </w:t>
      </w:r>
      <w:r w:rsidRPr="00762252">
        <w:rPr>
          <w:szCs w:val="22"/>
        </w:rPr>
        <w:t xml:space="preserve">Das </w:t>
      </w:r>
      <w:r w:rsidRPr="00762252">
        <w:rPr>
          <w:rFonts w:cs="Arial"/>
          <w:szCs w:val="22"/>
        </w:rPr>
        <w:t>Forensic Laboratory Services Bureau des Bundesstaates registrierte als Folge der veränderten Gesetze</w:t>
      </w:r>
      <w:r w:rsidRPr="00762252">
        <w:rPr>
          <w:rFonts w:cs="Arial"/>
          <w:szCs w:val="22"/>
        </w:rPr>
        <w:t>s</w:t>
      </w:r>
      <w:r w:rsidRPr="00762252">
        <w:rPr>
          <w:rFonts w:cs="Arial"/>
          <w:szCs w:val="22"/>
        </w:rPr>
        <w:t xml:space="preserve">lage bis 2014 einen Anstieg der Nachfrage nach quantifizierenden THC-Tests um 45 % (vgl. Washington State Patrol 2014, S. 36). </w:t>
      </w:r>
      <w:r w:rsidRPr="00762252">
        <w:rPr>
          <w:szCs w:val="22"/>
        </w:rPr>
        <w:t>Die Tatsache, dass noch Ende 2014 ei</w:t>
      </w:r>
      <w:r>
        <w:rPr>
          <w:szCs w:val="22"/>
        </w:rPr>
        <w:t>n Überhang nicht bearbeiteter</w:t>
      </w:r>
      <w:r w:rsidRPr="00762252">
        <w:rPr>
          <w:szCs w:val="22"/>
        </w:rPr>
        <w:t xml:space="preserve"> Tests berich</w:t>
      </w:r>
      <w:r w:rsidR="004B2277">
        <w:rPr>
          <w:szCs w:val="22"/>
        </w:rPr>
        <w:t>tet wurde</w:t>
      </w:r>
      <w:r w:rsidR="009444BA">
        <w:rPr>
          <w:szCs w:val="22"/>
        </w:rPr>
        <w:t>,</w:t>
      </w:r>
      <w:r w:rsidR="004B2277">
        <w:rPr>
          <w:szCs w:val="22"/>
        </w:rPr>
        <w:t xml:space="preserve"> </w:t>
      </w:r>
      <w:r w:rsidRPr="00762252">
        <w:rPr>
          <w:rFonts w:cs="Arial"/>
          <w:szCs w:val="22"/>
        </w:rPr>
        <w:t xml:space="preserve">verdeutlicht, </w:t>
      </w:r>
      <w:r w:rsidR="009444BA">
        <w:rPr>
          <w:rFonts w:cs="Arial"/>
          <w:szCs w:val="22"/>
        </w:rPr>
        <w:t>vor welchen</w:t>
      </w:r>
      <w:r w:rsidRPr="00762252">
        <w:rPr>
          <w:rFonts w:cs="Arial"/>
          <w:szCs w:val="22"/>
        </w:rPr>
        <w:t xml:space="preserve"> Herausforderungen </w:t>
      </w:r>
      <w:r w:rsidR="004B2277" w:rsidRPr="00762252">
        <w:rPr>
          <w:rFonts w:cs="Arial"/>
          <w:szCs w:val="22"/>
        </w:rPr>
        <w:t>auch die Ex</w:t>
      </w:r>
      <w:r w:rsidR="004B2277" w:rsidRPr="00762252">
        <w:rPr>
          <w:rFonts w:cs="Arial"/>
          <w:szCs w:val="22"/>
        </w:rPr>
        <w:t>e</w:t>
      </w:r>
      <w:r w:rsidR="004B2277" w:rsidRPr="00762252">
        <w:rPr>
          <w:rFonts w:cs="Arial"/>
          <w:szCs w:val="22"/>
        </w:rPr>
        <w:t xml:space="preserve">kutive </w:t>
      </w:r>
      <w:r w:rsidR="009444BA">
        <w:rPr>
          <w:rFonts w:cs="Arial"/>
          <w:szCs w:val="22"/>
        </w:rPr>
        <w:t>mit der Einführung der N</w:t>
      </w:r>
      <w:r>
        <w:rPr>
          <w:rFonts w:cs="Arial"/>
          <w:szCs w:val="22"/>
        </w:rPr>
        <w:t>eu</w:t>
      </w:r>
      <w:r w:rsidR="009444BA">
        <w:rPr>
          <w:rFonts w:cs="Arial"/>
          <w:szCs w:val="22"/>
        </w:rPr>
        <w:t>regelungen gestellt</w:t>
      </w:r>
      <w:r w:rsidRPr="00762252">
        <w:rPr>
          <w:rFonts w:cs="Arial"/>
          <w:szCs w:val="22"/>
        </w:rPr>
        <w:t xml:space="preserve"> </w:t>
      </w:r>
      <w:r>
        <w:rPr>
          <w:rFonts w:cs="Arial"/>
          <w:szCs w:val="22"/>
        </w:rPr>
        <w:t>war</w:t>
      </w:r>
      <w:r w:rsidRPr="00762252">
        <w:rPr>
          <w:rFonts w:cs="Arial"/>
          <w:szCs w:val="22"/>
        </w:rPr>
        <w:t xml:space="preserve">. </w:t>
      </w:r>
    </w:p>
    <w:p w14:paraId="69AD0347" w14:textId="77777777" w:rsidR="00285DA9" w:rsidRPr="00762252" w:rsidRDefault="00285DA9" w:rsidP="00285DA9">
      <w:pPr>
        <w:pStyle w:val="KeinLeerraum"/>
        <w:spacing w:line="276" w:lineRule="auto"/>
        <w:jc w:val="both"/>
        <w:rPr>
          <w:szCs w:val="22"/>
        </w:rPr>
      </w:pPr>
    </w:p>
    <w:p w14:paraId="3DD9D86F" w14:textId="77777777" w:rsidR="009444BA" w:rsidRDefault="00285DA9" w:rsidP="00285DA9">
      <w:pPr>
        <w:pStyle w:val="KeinLeerraum"/>
        <w:spacing w:line="276" w:lineRule="auto"/>
        <w:jc w:val="both"/>
        <w:rPr>
          <w:szCs w:val="22"/>
        </w:rPr>
      </w:pPr>
      <w:r w:rsidRPr="00762252">
        <w:rPr>
          <w:szCs w:val="22"/>
        </w:rPr>
        <w:t xml:space="preserve">Das Gesetz legte zugleich fest, dass unter den möglichen Tests auf Cannabis ausschließlich ein Bluttest auf aktives THC für eine Strafverfolgung zulässig </w:t>
      </w:r>
      <w:r w:rsidR="008D500D">
        <w:rPr>
          <w:szCs w:val="22"/>
        </w:rPr>
        <w:t>ist</w:t>
      </w:r>
      <w:r w:rsidRPr="00762252">
        <w:rPr>
          <w:szCs w:val="22"/>
        </w:rPr>
        <w:t xml:space="preserve">. Damit kommen die in Deutschland bei Verkehrskontrollen üblichen Schnelltests für die </w:t>
      </w:r>
      <w:r>
        <w:rPr>
          <w:szCs w:val="22"/>
        </w:rPr>
        <w:t xml:space="preserve">Washingtoner </w:t>
      </w:r>
      <w:r w:rsidRPr="00762252">
        <w:rPr>
          <w:szCs w:val="22"/>
        </w:rPr>
        <w:t xml:space="preserve">Praxis nicht in Frage. </w:t>
      </w:r>
    </w:p>
    <w:p w14:paraId="2D63B8E6" w14:textId="5B34CD22" w:rsidR="00285DA9" w:rsidRPr="00762252" w:rsidRDefault="00285DA9" w:rsidP="00285DA9">
      <w:pPr>
        <w:pStyle w:val="KeinLeerraum"/>
        <w:spacing w:line="276" w:lineRule="auto"/>
        <w:jc w:val="both"/>
        <w:rPr>
          <w:rFonts w:cs="Times New Roman"/>
          <w:szCs w:val="22"/>
        </w:rPr>
      </w:pPr>
      <w:r w:rsidRPr="00762252">
        <w:rPr>
          <w:szCs w:val="22"/>
        </w:rPr>
        <w:t xml:space="preserve">Getestet wird ausschließlich über Bluttests, </w:t>
      </w:r>
      <w:r w:rsidR="009444BA">
        <w:rPr>
          <w:szCs w:val="22"/>
        </w:rPr>
        <w:t>e</w:t>
      </w:r>
      <w:r w:rsidRPr="00762252">
        <w:rPr>
          <w:szCs w:val="22"/>
        </w:rPr>
        <w:t>ntn</w:t>
      </w:r>
      <w:r w:rsidR="009444BA">
        <w:rPr>
          <w:szCs w:val="22"/>
        </w:rPr>
        <w:t xml:space="preserve">ommen in </w:t>
      </w:r>
      <w:r>
        <w:rPr>
          <w:szCs w:val="22"/>
        </w:rPr>
        <w:t>dafür autorisierten Stellen</w:t>
      </w:r>
      <w:r w:rsidRPr="00762252">
        <w:rPr>
          <w:szCs w:val="22"/>
        </w:rPr>
        <w:t xml:space="preserve">. Dies ist im Zuge der </w:t>
      </w:r>
      <w:r w:rsidR="00D01097">
        <w:rPr>
          <w:szCs w:val="22"/>
        </w:rPr>
        <w:t>Regulierung</w:t>
      </w:r>
      <w:r w:rsidRPr="00762252">
        <w:rPr>
          <w:szCs w:val="22"/>
        </w:rPr>
        <w:t xml:space="preserve"> eine folgerichtige Entscheidung, immerhin weisen positive Tests </w:t>
      </w:r>
      <w:r w:rsidR="009444BA">
        <w:rPr>
          <w:szCs w:val="22"/>
        </w:rPr>
        <w:t>zum</w:t>
      </w:r>
      <w:r w:rsidRPr="00762252">
        <w:rPr>
          <w:szCs w:val="22"/>
        </w:rPr>
        <w:t xml:space="preserve"> Vorhandensein von </w:t>
      </w:r>
      <w:r w:rsidRPr="00762252">
        <w:rPr>
          <w:rFonts w:cs="Georgia"/>
          <w:szCs w:val="22"/>
        </w:rPr>
        <w:t xml:space="preserve">Carboxy-THC </w:t>
      </w:r>
      <w:r>
        <w:rPr>
          <w:rFonts w:cs="Georgia"/>
          <w:szCs w:val="22"/>
        </w:rPr>
        <w:t>oder anderen Cannabinioden</w:t>
      </w:r>
      <w:r w:rsidR="008D500D">
        <w:rPr>
          <w:rStyle w:val="Funotenzeichen"/>
          <w:rFonts w:cs="Georgia"/>
          <w:szCs w:val="22"/>
        </w:rPr>
        <w:footnoteReference w:id="41"/>
      </w:r>
      <w:r>
        <w:rPr>
          <w:rFonts w:cs="Georgia"/>
          <w:szCs w:val="22"/>
        </w:rPr>
        <w:t xml:space="preserve"> </w:t>
      </w:r>
      <w:r w:rsidRPr="00762252">
        <w:rPr>
          <w:rFonts w:cs="Georgia"/>
          <w:szCs w:val="22"/>
        </w:rPr>
        <w:t xml:space="preserve">nur darauf hin, dass die Person </w:t>
      </w:r>
      <w:r w:rsidR="009444BA">
        <w:rPr>
          <w:rFonts w:cs="Georgia"/>
          <w:szCs w:val="22"/>
        </w:rPr>
        <w:t>Cannabis konsumiert hat, erklären</w:t>
      </w:r>
      <w:r w:rsidRPr="00762252">
        <w:rPr>
          <w:rFonts w:cs="Georgia"/>
          <w:szCs w:val="22"/>
        </w:rPr>
        <w:t xml:space="preserve"> aber nicht, ob zum Zeitpunkt des Verkehrsunfalls tatsächlich eine psycho</w:t>
      </w:r>
      <w:r w:rsidR="009444BA">
        <w:rPr>
          <w:rFonts w:cs="Georgia"/>
          <w:szCs w:val="22"/>
        </w:rPr>
        <w:t>-</w:t>
      </w:r>
      <w:r w:rsidRPr="00762252">
        <w:rPr>
          <w:rFonts w:cs="Georgia"/>
          <w:szCs w:val="22"/>
        </w:rPr>
        <w:t>aktive Beeinträchtigung vorlag. Die Richtigkeit dieser Unterscheidung bestätigt sich in empirischen Daten</w:t>
      </w:r>
      <w:r w:rsidR="008D500D">
        <w:rPr>
          <w:rFonts w:cs="Georgia"/>
          <w:szCs w:val="22"/>
        </w:rPr>
        <w:t>: F</w:t>
      </w:r>
      <w:r w:rsidRPr="00762252">
        <w:rPr>
          <w:rFonts w:cs="Georgia"/>
          <w:szCs w:val="22"/>
        </w:rPr>
        <w:t>ür Fahrer, die in Zusammenhang mit einem Verkehrsunfall mit Tode</w:t>
      </w:r>
      <w:r w:rsidRPr="00762252">
        <w:rPr>
          <w:rFonts w:cs="Georgia"/>
          <w:szCs w:val="22"/>
        </w:rPr>
        <w:t>s</w:t>
      </w:r>
      <w:r w:rsidRPr="00762252">
        <w:rPr>
          <w:rFonts w:cs="Georgia"/>
          <w:szCs w:val="22"/>
        </w:rPr>
        <w:t xml:space="preserve">folge positiv auf C-THC getestet wurden, </w:t>
      </w:r>
      <w:r w:rsidR="008D500D">
        <w:rPr>
          <w:rFonts w:cs="Georgia"/>
          <w:szCs w:val="22"/>
        </w:rPr>
        <w:t>wur</w:t>
      </w:r>
      <w:r w:rsidR="0076436C">
        <w:rPr>
          <w:rFonts w:cs="Georgia"/>
          <w:szCs w:val="22"/>
        </w:rPr>
        <w:t>den</w:t>
      </w:r>
      <w:r w:rsidR="008D500D">
        <w:rPr>
          <w:rFonts w:cs="Georgia"/>
          <w:szCs w:val="22"/>
        </w:rPr>
        <w:t xml:space="preserve"> </w:t>
      </w:r>
      <w:r w:rsidRPr="00762252">
        <w:rPr>
          <w:rFonts w:cs="Georgia"/>
          <w:szCs w:val="22"/>
        </w:rPr>
        <w:t>genauso viele Fahrfehler als Ursache des U</w:t>
      </w:r>
      <w:r w:rsidRPr="00762252">
        <w:rPr>
          <w:rFonts w:cs="Georgia"/>
          <w:szCs w:val="22"/>
        </w:rPr>
        <w:t>n</w:t>
      </w:r>
      <w:r w:rsidRPr="00762252">
        <w:rPr>
          <w:rFonts w:cs="Georgia"/>
          <w:szCs w:val="22"/>
        </w:rPr>
        <w:t xml:space="preserve">falls aufgezeigt, wie für Fahrer, die negativ auf Alkohol und andere Drogen getestet wurden (vgl. </w:t>
      </w:r>
      <w:r w:rsidR="00617CD2">
        <w:rPr>
          <w:rFonts w:cs="Times New Roman"/>
          <w:szCs w:val="22"/>
        </w:rPr>
        <w:t>Washington Traffic Safty C</w:t>
      </w:r>
      <w:r w:rsidRPr="00762252">
        <w:rPr>
          <w:rFonts w:cs="Times New Roman"/>
          <w:szCs w:val="22"/>
        </w:rPr>
        <w:t>ommission 2015, S. 38)</w:t>
      </w:r>
      <w:r w:rsidR="009444BA">
        <w:rPr>
          <w:rFonts w:cs="Times New Roman"/>
          <w:szCs w:val="22"/>
        </w:rPr>
        <w:t>, so dass in diesen Daten ein zurückliegender Konsum nicht als zentrale Unfallursache in Erscheinung tritt</w:t>
      </w:r>
      <w:r w:rsidRPr="00762252">
        <w:rPr>
          <w:rFonts w:cs="Times New Roman"/>
          <w:szCs w:val="22"/>
        </w:rPr>
        <w:t>.</w:t>
      </w:r>
    </w:p>
    <w:p w14:paraId="65B91DED" w14:textId="77777777" w:rsidR="00285DA9" w:rsidRPr="00762252" w:rsidRDefault="00285DA9" w:rsidP="00285DA9">
      <w:pPr>
        <w:pStyle w:val="KeinLeerraum"/>
        <w:spacing w:line="276" w:lineRule="auto"/>
        <w:jc w:val="both"/>
        <w:rPr>
          <w:rFonts w:cs="Times"/>
          <w:szCs w:val="22"/>
        </w:rPr>
      </w:pPr>
    </w:p>
    <w:p w14:paraId="09BE0D27" w14:textId="48C8168D" w:rsidR="00285DA9" w:rsidRPr="00762252" w:rsidRDefault="00285DA9" w:rsidP="00285DA9">
      <w:pPr>
        <w:pStyle w:val="KeinLeerraum"/>
        <w:spacing w:line="276" w:lineRule="auto"/>
        <w:jc w:val="both"/>
        <w:rPr>
          <w:szCs w:val="22"/>
        </w:rPr>
      </w:pPr>
      <w:r w:rsidRPr="00762252">
        <w:rPr>
          <w:szCs w:val="22"/>
        </w:rPr>
        <w:t>Daten zum Unfallgeschehen im Bundesstaat Washington werden regelmäßig von der Washin</w:t>
      </w:r>
      <w:r w:rsidRPr="00762252">
        <w:rPr>
          <w:szCs w:val="22"/>
        </w:rPr>
        <w:t>g</w:t>
      </w:r>
      <w:r w:rsidR="00617CD2">
        <w:rPr>
          <w:szCs w:val="22"/>
        </w:rPr>
        <w:t>ton Traffic Safety C</w:t>
      </w:r>
      <w:r w:rsidRPr="00762252">
        <w:rPr>
          <w:szCs w:val="22"/>
        </w:rPr>
        <w:t>ommission vorgelegt. Diese weisen allerdings ausschließlich Daten des Fatal</w:t>
      </w:r>
      <w:r w:rsidRPr="00762252">
        <w:rPr>
          <w:szCs w:val="22"/>
        </w:rPr>
        <w:t>i</w:t>
      </w:r>
      <w:r w:rsidRPr="00762252">
        <w:rPr>
          <w:szCs w:val="22"/>
        </w:rPr>
        <w:t>ty Analysi</w:t>
      </w:r>
      <w:r w:rsidR="008D500D">
        <w:rPr>
          <w:szCs w:val="22"/>
        </w:rPr>
        <w:t xml:space="preserve">s Reporting Systems (FARS) aus – </w:t>
      </w:r>
      <w:r w:rsidRPr="00762252">
        <w:rPr>
          <w:szCs w:val="22"/>
        </w:rPr>
        <w:t>eine nationale Datenbank der National Highway Traffic Safety Administration, in der Daten zu allen Verkehrsunfällen mit tödlichem Ausgang ges</w:t>
      </w:r>
      <w:r w:rsidR="00617CD2">
        <w:rPr>
          <w:szCs w:val="22"/>
        </w:rPr>
        <w:t>ammelt werden (vgl. Washington Traffic Safety C</w:t>
      </w:r>
      <w:r w:rsidRPr="00762252">
        <w:rPr>
          <w:szCs w:val="22"/>
        </w:rPr>
        <w:t>ommission 2015, S. 1)</w:t>
      </w:r>
      <w:r>
        <w:rPr>
          <w:rStyle w:val="Funotenzeichen"/>
          <w:szCs w:val="22"/>
        </w:rPr>
        <w:footnoteReference w:id="42"/>
      </w:r>
      <w:r w:rsidRPr="00762252">
        <w:rPr>
          <w:szCs w:val="22"/>
        </w:rPr>
        <w:t>. Hervorzuheben ist deshalb, dass sich mit diesen Daten nur ein kleiner, allerdings sehr extremer Ausschnitt aus der Gesam</w:t>
      </w:r>
      <w:r w:rsidRPr="00762252">
        <w:rPr>
          <w:szCs w:val="22"/>
        </w:rPr>
        <w:t>t</w:t>
      </w:r>
      <w:r w:rsidRPr="00762252">
        <w:rPr>
          <w:szCs w:val="22"/>
        </w:rPr>
        <w:t xml:space="preserve">verkehrssicherheitslage aufblenden lässt. </w:t>
      </w:r>
    </w:p>
    <w:p w14:paraId="5249CA49" w14:textId="01951CB3" w:rsidR="009444BA" w:rsidRDefault="00285DA9" w:rsidP="00285DA9">
      <w:pPr>
        <w:pStyle w:val="KeinLeerraum"/>
        <w:spacing w:line="276" w:lineRule="auto"/>
        <w:jc w:val="both"/>
        <w:rPr>
          <w:szCs w:val="22"/>
        </w:rPr>
      </w:pPr>
      <w:r w:rsidRPr="00762252">
        <w:rPr>
          <w:szCs w:val="22"/>
        </w:rPr>
        <w:t>Für die Interpretation dieser Daten ist weiterhin wichtig, dass das Gesetz Revised Code of Washington 46.52.065 von 1977 fest</w:t>
      </w:r>
      <w:r w:rsidR="009444BA">
        <w:rPr>
          <w:szCs w:val="22"/>
        </w:rPr>
        <w:t>ge</w:t>
      </w:r>
      <w:r w:rsidRPr="00762252">
        <w:rPr>
          <w:szCs w:val="22"/>
        </w:rPr>
        <w:t>legt</w:t>
      </w:r>
      <w:r w:rsidR="009444BA">
        <w:rPr>
          <w:szCs w:val="22"/>
        </w:rPr>
        <w:t xml:space="preserve"> hat</w:t>
      </w:r>
      <w:r w:rsidRPr="00762252">
        <w:rPr>
          <w:szCs w:val="22"/>
        </w:rPr>
        <w:t>, dass bei allen, bei einem Unfall getöteten Pers</w:t>
      </w:r>
      <w:r w:rsidRPr="00762252">
        <w:rPr>
          <w:szCs w:val="22"/>
        </w:rPr>
        <w:t>o</w:t>
      </w:r>
      <w:r w:rsidRPr="00762252">
        <w:rPr>
          <w:szCs w:val="22"/>
        </w:rPr>
        <w:t>nen (Fahrer</w:t>
      </w:r>
      <w:r w:rsidR="008A52BB">
        <w:rPr>
          <w:szCs w:val="22"/>
        </w:rPr>
        <w:t>, Fahrradfahrer</w:t>
      </w:r>
      <w:r w:rsidRPr="00762252">
        <w:rPr>
          <w:szCs w:val="22"/>
        </w:rPr>
        <w:t xml:space="preserve"> und Fußgänger) eine Blutentnahme zum Zweck der Testung auf A</w:t>
      </w:r>
      <w:r w:rsidRPr="00762252">
        <w:rPr>
          <w:szCs w:val="22"/>
        </w:rPr>
        <w:t>l</w:t>
      </w:r>
      <w:r w:rsidRPr="00762252">
        <w:rPr>
          <w:szCs w:val="22"/>
        </w:rPr>
        <w:t>kohol und andere Drogen zu erfolgen hat</w:t>
      </w:r>
      <w:r w:rsidR="009444BA">
        <w:rPr>
          <w:szCs w:val="22"/>
        </w:rPr>
        <w:t>.</w:t>
      </w:r>
      <w:r w:rsidRPr="00762252">
        <w:rPr>
          <w:szCs w:val="22"/>
        </w:rPr>
        <w:t xml:space="preserve"> Dies wird in Washington </w:t>
      </w:r>
      <w:r w:rsidR="008D500D" w:rsidRPr="00762252">
        <w:rPr>
          <w:szCs w:val="22"/>
        </w:rPr>
        <w:t xml:space="preserve">für diese Personengruppe </w:t>
      </w:r>
      <w:r w:rsidRPr="00762252">
        <w:rPr>
          <w:szCs w:val="22"/>
        </w:rPr>
        <w:t xml:space="preserve">mit einer bundesweiten Testraten von 90 % </w:t>
      </w:r>
      <w:r w:rsidR="008A52BB">
        <w:rPr>
          <w:szCs w:val="22"/>
        </w:rPr>
        <w:t>erreicht</w:t>
      </w:r>
      <w:r w:rsidR="00617CD2">
        <w:rPr>
          <w:szCs w:val="22"/>
        </w:rPr>
        <w:t xml:space="preserve"> (vgl. Washington Traffic Safety C</w:t>
      </w:r>
      <w:r w:rsidRPr="00762252">
        <w:rPr>
          <w:szCs w:val="22"/>
        </w:rPr>
        <w:t xml:space="preserve">ommission 2015, S. 10). </w:t>
      </w:r>
    </w:p>
    <w:p w14:paraId="5B0B54E7" w14:textId="7CACE67B" w:rsidR="00285DA9" w:rsidRPr="00762252" w:rsidRDefault="00285DA9" w:rsidP="00285DA9">
      <w:pPr>
        <w:pStyle w:val="KeinLeerraum"/>
        <w:spacing w:line="276" w:lineRule="auto"/>
        <w:jc w:val="both"/>
        <w:rPr>
          <w:rFonts w:cs="Arial"/>
          <w:szCs w:val="22"/>
        </w:rPr>
      </w:pPr>
      <w:r w:rsidRPr="00762252">
        <w:rPr>
          <w:szCs w:val="22"/>
        </w:rPr>
        <w:t>Eine solche V</w:t>
      </w:r>
      <w:r w:rsidR="008D500D">
        <w:rPr>
          <w:szCs w:val="22"/>
        </w:rPr>
        <w:t>orgabe existiert für die Überleb</w:t>
      </w:r>
      <w:r w:rsidRPr="00762252">
        <w:rPr>
          <w:szCs w:val="22"/>
        </w:rPr>
        <w:t xml:space="preserve">enden eines Unfalls mit Todesfolge allerdings nicht. </w:t>
      </w:r>
      <w:r w:rsidR="008A52BB">
        <w:rPr>
          <w:szCs w:val="22"/>
        </w:rPr>
        <w:t>Bei diesen, wie a</w:t>
      </w:r>
      <w:r w:rsidRPr="00762252">
        <w:rPr>
          <w:szCs w:val="22"/>
        </w:rPr>
        <w:t>uch bei allgemeinen Verkehrskontrollen beschränkt man sich eher auf Tests zu den motorischen Fähigkeiten der Fahrer und deren Pupillenreaktion. Bluttests werden nur durchgeführt, wenn die ermittelnden Behörden überdeutliche Anzeichen für eine drogenbedin</w:t>
      </w:r>
      <w:r w:rsidRPr="00762252">
        <w:rPr>
          <w:szCs w:val="22"/>
        </w:rPr>
        <w:t>g</w:t>
      </w:r>
      <w:r w:rsidRPr="00762252">
        <w:rPr>
          <w:szCs w:val="22"/>
        </w:rPr>
        <w:t>te Beeinträchtigung feststellen oder der Unfall in Zusammenhang mit einem Mord oder einem schweren kriminellen Delikt steht – die vorliegende Test</w:t>
      </w:r>
      <w:r w:rsidR="008A52BB">
        <w:rPr>
          <w:szCs w:val="22"/>
        </w:rPr>
        <w:t>-R</w:t>
      </w:r>
      <w:r w:rsidRPr="00762252">
        <w:rPr>
          <w:szCs w:val="22"/>
        </w:rPr>
        <w:t>ate von 38 % bei den Überlebenden eines Unfalls (610 Fälle) ist deshalb deutlich geringer und schwankt zudem saisonbedingt stark (ebenda,</w:t>
      </w:r>
      <w:r w:rsidRPr="00762252">
        <w:rPr>
          <w:rFonts w:cs="Arial"/>
          <w:szCs w:val="22"/>
        </w:rPr>
        <w:t xml:space="preserve"> S. 11)</w:t>
      </w:r>
      <w:r w:rsidR="009444BA" w:rsidRPr="00762252">
        <w:rPr>
          <w:rStyle w:val="Funotenzeichen"/>
          <w:szCs w:val="22"/>
        </w:rPr>
        <w:footnoteReference w:id="43"/>
      </w:r>
      <w:r w:rsidR="009444BA">
        <w:rPr>
          <w:rFonts w:cs="Arial"/>
          <w:szCs w:val="22"/>
        </w:rPr>
        <w:t>.</w:t>
      </w:r>
      <w:r w:rsidRPr="00762252">
        <w:rPr>
          <w:rFonts w:cs="Arial"/>
          <w:szCs w:val="22"/>
        </w:rPr>
        <w:t xml:space="preserve"> </w:t>
      </w:r>
    </w:p>
    <w:p w14:paraId="0D2605B4" w14:textId="47B1D2BF" w:rsidR="00285DA9" w:rsidRPr="00762252" w:rsidRDefault="00285DA9" w:rsidP="00285DA9">
      <w:pPr>
        <w:spacing w:line="276" w:lineRule="auto"/>
        <w:jc w:val="both"/>
        <w:rPr>
          <w:szCs w:val="22"/>
        </w:rPr>
      </w:pPr>
      <w:r w:rsidRPr="00762252">
        <w:rPr>
          <w:szCs w:val="22"/>
        </w:rPr>
        <w:t>Zu berücksichtigen ist also, dass die vorliegenden Daten aus Analysen stammen, die nach einem Verkehrsunfall mit Todesfolge aufgenommen wurden</w:t>
      </w:r>
      <w:r w:rsidR="009444BA">
        <w:rPr>
          <w:szCs w:val="22"/>
        </w:rPr>
        <w:t xml:space="preserve"> und</w:t>
      </w:r>
      <w:r w:rsidRPr="00762252">
        <w:rPr>
          <w:szCs w:val="22"/>
        </w:rPr>
        <w:t xml:space="preserve"> zu denen intensive Ermittlungen auch mit Bluttests </w:t>
      </w:r>
      <w:r w:rsidR="009444BA">
        <w:rPr>
          <w:szCs w:val="22"/>
        </w:rPr>
        <w:t>bei den</w:t>
      </w:r>
      <w:r w:rsidRPr="00762252">
        <w:rPr>
          <w:szCs w:val="22"/>
        </w:rPr>
        <w:t xml:space="preserve"> beteiligten </w:t>
      </w:r>
      <w:r w:rsidR="00EA0DE5">
        <w:rPr>
          <w:szCs w:val="22"/>
        </w:rPr>
        <w:t xml:space="preserve">getöteten </w:t>
      </w:r>
      <w:r w:rsidRPr="00762252">
        <w:rPr>
          <w:szCs w:val="22"/>
        </w:rPr>
        <w:t xml:space="preserve">Fahrer stattfanden. </w:t>
      </w:r>
      <w:r w:rsidRPr="00762252">
        <w:rPr>
          <w:rFonts w:cs="Arial"/>
          <w:szCs w:val="22"/>
        </w:rPr>
        <w:t>Insgesamt basieren die vorgele</w:t>
      </w:r>
      <w:r w:rsidRPr="00762252">
        <w:rPr>
          <w:rFonts w:cs="Arial"/>
          <w:szCs w:val="22"/>
        </w:rPr>
        <w:t>g</w:t>
      </w:r>
      <w:r w:rsidRPr="00762252">
        <w:rPr>
          <w:rFonts w:cs="Arial"/>
          <w:szCs w:val="22"/>
        </w:rPr>
        <w:t xml:space="preserve">ten Daten </w:t>
      </w:r>
      <w:r w:rsidRPr="00762252">
        <w:rPr>
          <w:szCs w:val="22"/>
        </w:rPr>
        <w:t>für die Jahre 2010-2014 auf</w:t>
      </w:r>
      <w:r w:rsidRPr="00762252">
        <w:rPr>
          <w:rFonts w:cs="Arial"/>
          <w:szCs w:val="22"/>
        </w:rPr>
        <w:t xml:space="preserve"> einer Gesamtzahl von </w:t>
      </w:r>
      <w:r w:rsidRPr="00762252">
        <w:rPr>
          <w:szCs w:val="22"/>
        </w:rPr>
        <w:t>3</w:t>
      </w:r>
      <w:r w:rsidR="00026ADC">
        <w:rPr>
          <w:szCs w:val="22"/>
        </w:rPr>
        <w:t>.</w:t>
      </w:r>
      <w:r w:rsidRPr="00762252">
        <w:rPr>
          <w:szCs w:val="22"/>
        </w:rPr>
        <w:t>027 Fahrern, die in einen Unfall mit Todesfolge in</w:t>
      </w:r>
      <w:r w:rsidR="00EA0DE5">
        <w:rPr>
          <w:szCs w:val="22"/>
        </w:rPr>
        <w:t>volviert waren, von denen 1.</w:t>
      </w:r>
      <w:r w:rsidRPr="00762252">
        <w:rPr>
          <w:szCs w:val="22"/>
        </w:rPr>
        <w:t>773 (58.6 %) sowohl auf Alkohol als auch auf a</w:t>
      </w:r>
      <w:r w:rsidRPr="00762252">
        <w:rPr>
          <w:szCs w:val="22"/>
        </w:rPr>
        <w:t>n</w:t>
      </w:r>
      <w:r w:rsidRPr="00762252">
        <w:rPr>
          <w:szCs w:val="22"/>
        </w:rPr>
        <w:t>dere Drogen getes</w:t>
      </w:r>
      <w:r w:rsidR="00EA0DE5">
        <w:rPr>
          <w:szCs w:val="22"/>
        </w:rPr>
        <w:t>tet wurden, in dessen Folge für 1.</w:t>
      </w:r>
      <w:r w:rsidRPr="00762252">
        <w:rPr>
          <w:szCs w:val="22"/>
        </w:rPr>
        <w:t xml:space="preserve">061 </w:t>
      </w:r>
      <w:r>
        <w:rPr>
          <w:szCs w:val="22"/>
        </w:rPr>
        <w:t xml:space="preserve">der Getesteten </w:t>
      </w:r>
      <w:r w:rsidRPr="00762252">
        <w:rPr>
          <w:szCs w:val="22"/>
        </w:rPr>
        <w:t>(59.8 %) ein positives Testergebnis für Alkohol und/oder Drogen ermittelt wurde. Die Mehrheit der Tests (</w:t>
      </w:r>
      <w:r w:rsidRPr="00762252">
        <w:rPr>
          <w:rFonts w:cs="Arial"/>
          <w:szCs w:val="22"/>
        </w:rPr>
        <w:t>89,4 %) stamm</w:t>
      </w:r>
      <w:r w:rsidR="004B2277">
        <w:rPr>
          <w:rFonts w:cs="Arial"/>
          <w:szCs w:val="22"/>
        </w:rPr>
        <w:t>t</w:t>
      </w:r>
      <w:r w:rsidRPr="00762252">
        <w:rPr>
          <w:rFonts w:cs="Arial"/>
          <w:szCs w:val="22"/>
        </w:rPr>
        <w:t xml:space="preserve"> von Personen, die bei dem Unfall getötet wurden (vgl. </w:t>
      </w:r>
      <w:r w:rsidR="00617CD2">
        <w:rPr>
          <w:szCs w:val="22"/>
        </w:rPr>
        <w:t>Washington Traffic Safety C</w:t>
      </w:r>
      <w:r w:rsidRPr="00762252">
        <w:rPr>
          <w:szCs w:val="22"/>
        </w:rPr>
        <w:t>o</w:t>
      </w:r>
      <w:r w:rsidRPr="00762252">
        <w:rPr>
          <w:szCs w:val="22"/>
        </w:rPr>
        <w:t>m</w:t>
      </w:r>
      <w:r w:rsidRPr="00762252">
        <w:rPr>
          <w:szCs w:val="22"/>
        </w:rPr>
        <w:t>mission 2015, S. 2).</w:t>
      </w:r>
    </w:p>
    <w:p w14:paraId="7A9C4B79" w14:textId="57203370" w:rsidR="00285DA9" w:rsidRPr="00762252" w:rsidRDefault="00285DA9" w:rsidP="00285DA9">
      <w:pPr>
        <w:spacing w:line="276" w:lineRule="auto"/>
        <w:jc w:val="both"/>
        <w:rPr>
          <w:szCs w:val="22"/>
        </w:rPr>
      </w:pPr>
      <w:r w:rsidRPr="00762252">
        <w:rPr>
          <w:szCs w:val="22"/>
        </w:rPr>
        <w:t xml:space="preserve">Die für eine </w:t>
      </w:r>
      <w:r w:rsidR="00D01097">
        <w:rPr>
          <w:szCs w:val="22"/>
        </w:rPr>
        <w:t>Regulierung</w:t>
      </w:r>
      <w:r w:rsidRPr="00762252">
        <w:rPr>
          <w:szCs w:val="22"/>
        </w:rPr>
        <w:t xml:space="preserve">sdebatte notwendigen Prä- und Postanalysen werden allerdings dadurch erschwert, dass sich nach 2013 </w:t>
      </w:r>
      <w:r>
        <w:rPr>
          <w:szCs w:val="22"/>
        </w:rPr>
        <w:t>nicht nur die Zahl der durchgeführten Test</w:t>
      </w:r>
      <w:r w:rsidR="004B2277">
        <w:rPr>
          <w:szCs w:val="22"/>
        </w:rPr>
        <w:t>s</w:t>
      </w:r>
      <w:r>
        <w:rPr>
          <w:szCs w:val="22"/>
        </w:rPr>
        <w:t xml:space="preserve"> fast ve</w:t>
      </w:r>
      <w:r>
        <w:rPr>
          <w:szCs w:val="22"/>
        </w:rPr>
        <w:t>r</w:t>
      </w:r>
      <w:r>
        <w:rPr>
          <w:szCs w:val="22"/>
        </w:rPr>
        <w:t xml:space="preserve">doppelt hat, sondern </w:t>
      </w:r>
      <w:r w:rsidR="00EA0DE5">
        <w:rPr>
          <w:szCs w:val="22"/>
        </w:rPr>
        <w:t xml:space="preserve">sich </w:t>
      </w:r>
      <w:r w:rsidRPr="00762252">
        <w:rPr>
          <w:szCs w:val="22"/>
        </w:rPr>
        <w:t>auch die Teststrategien der beteiligten Labore geändert haben: Bis 2012 wurde ein Test auf weitere Drogen nur vorgenommen, wenn der obligatorische Alkoho</w:t>
      </w:r>
      <w:r w:rsidRPr="00762252">
        <w:rPr>
          <w:szCs w:val="22"/>
        </w:rPr>
        <w:t>l</w:t>
      </w:r>
      <w:r w:rsidRPr="00762252">
        <w:rPr>
          <w:szCs w:val="22"/>
        </w:rPr>
        <w:t>test eine Blutalkoholkonzentration unter 0.10 Promille erbrachte oder der Fahrer in einen Mord oder Überfall involviert war oder ausdrücklich eine Drogennachweis angeordnet wurde. Nach 2013 sind nunmehr Volltests sowohl für Alkohol als auch auf alle andere Drogen Standard, wodurch sich automatisch auch die Zahl positiver Tests erhöht (</w:t>
      </w:r>
      <w:r w:rsidR="004B2277">
        <w:rPr>
          <w:szCs w:val="22"/>
        </w:rPr>
        <w:t xml:space="preserve">vgl. </w:t>
      </w:r>
      <w:r w:rsidRPr="00762252">
        <w:rPr>
          <w:szCs w:val="22"/>
        </w:rPr>
        <w:t xml:space="preserve">ebenda, S. 9). </w:t>
      </w:r>
    </w:p>
    <w:p w14:paraId="59086474" w14:textId="77777777" w:rsidR="00285DA9" w:rsidRPr="00762252" w:rsidRDefault="00285DA9" w:rsidP="00285DA9">
      <w:pPr>
        <w:spacing w:line="276" w:lineRule="auto"/>
        <w:jc w:val="both"/>
        <w:rPr>
          <w:szCs w:val="22"/>
        </w:rPr>
      </w:pPr>
    </w:p>
    <w:p w14:paraId="753E3EE2" w14:textId="7C1FB948" w:rsidR="00026ADC" w:rsidRDefault="00285DA9" w:rsidP="00026ADC">
      <w:pPr>
        <w:pStyle w:val="KeinLeerraum"/>
        <w:spacing w:line="276" w:lineRule="auto"/>
        <w:jc w:val="both"/>
        <w:rPr>
          <w:szCs w:val="22"/>
        </w:rPr>
      </w:pPr>
      <w:r w:rsidRPr="00762252">
        <w:rPr>
          <w:szCs w:val="22"/>
        </w:rPr>
        <w:t xml:space="preserve">Mit diesen Einschränkungen </w:t>
      </w:r>
      <w:r>
        <w:rPr>
          <w:szCs w:val="22"/>
        </w:rPr>
        <w:t xml:space="preserve">in der Interpretationsfähigkeit der vorliegenden Daten </w:t>
      </w:r>
      <w:r w:rsidRPr="00762252">
        <w:rPr>
          <w:szCs w:val="22"/>
        </w:rPr>
        <w:t>ist intere</w:t>
      </w:r>
      <w:r w:rsidRPr="00762252">
        <w:rPr>
          <w:szCs w:val="22"/>
        </w:rPr>
        <w:t>s</w:t>
      </w:r>
      <w:r w:rsidRPr="00762252">
        <w:rPr>
          <w:szCs w:val="22"/>
        </w:rPr>
        <w:t>sant, wie sich die Entwicklungen der Verkehrssicher</w:t>
      </w:r>
      <w:r w:rsidR="00EA0DE5">
        <w:rPr>
          <w:szCs w:val="22"/>
        </w:rPr>
        <w:t>heit im Zuge des</w:t>
      </w:r>
      <w:r w:rsidRPr="00762252">
        <w:rPr>
          <w:szCs w:val="22"/>
        </w:rPr>
        <w:t xml:space="preserve"> </w:t>
      </w:r>
      <w:r w:rsidR="00D01097">
        <w:rPr>
          <w:szCs w:val="22"/>
        </w:rPr>
        <w:t>Regulierung</w:t>
      </w:r>
      <w:r w:rsidR="00EA0DE5">
        <w:rPr>
          <w:szCs w:val="22"/>
        </w:rPr>
        <w:t>sprozesses</w:t>
      </w:r>
      <w:r w:rsidRPr="00762252">
        <w:rPr>
          <w:szCs w:val="22"/>
        </w:rPr>
        <w:t xml:space="preserve"> </w:t>
      </w:r>
      <w:r w:rsidR="009444BA">
        <w:rPr>
          <w:szCs w:val="22"/>
        </w:rPr>
        <w:t>darstellen</w:t>
      </w:r>
      <w:r w:rsidRPr="00762252">
        <w:rPr>
          <w:szCs w:val="22"/>
        </w:rPr>
        <w:t xml:space="preserve"> lassen:</w:t>
      </w:r>
    </w:p>
    <w:p w14:paraId="62E5BF53" w14:textId="2428F817" w:rsidR="009444BA" w:rsidRDefault="00285DA9" w:rsidP="009444BA">
      <w:pPr>
        <w:pStyle w:val="KeinLeerraum"/>
        <w:numPr>
          <w:ilvl w:val="0"/>
          <w:numId w:val="18"/>
        </w:numPr>
        <w:spacing w:line="276" w:lineRule="auto"/>
        <w:ind w:left="426" w:hanging="426"/>
        <w:jc w:val="both"/>
        <w:rPr>
          <w:szCs w:val="22"/>
        </w:rPr>
      </w:pPr>
      <w:r w:rsidRPr="00762252">
        <w:rPr>
          <w:szCs w:val="22"/>
        </w:rPr>
        <w:t>Wie in den USA insgesamt, steigt auch in Bundesstaat Washington die Zahl der bei Ve</w:t>
      </w:r>
      <w:r w:rsidRPr="00762252">
        <w:rPr>
          <w:szCs w:val="22"/>
        </w:rPr>
        <w:t>r</w:t>
      </w:r>
      <w:r w:rsidRPr="00762252">
        <w:rPr>
          <w:szCs w:val="22"/>
        </w:rPr>
        <w:t>kehrsunfällen getöteten Personen seit 2013 kontinuierlich an: Im betrachteten Zeitrau</w:t>
      </w:r>
      <w:r w:rsidR="00617CD2">
        <w:rPr>
          <w:szCs w:val="22"/>
        </w:rPr>
        <w:t>m um ca. 11 % (vgl. Washington Traffic Safety C</w:t>
      </w:r>
      <w:r w:rsidRPr="00762252">
        <w:rPr>
          <w:szCs w:val="22"/>
        </w:rPr>
        <w:t>ommision 2015, S. 9)</w:t>
      </w:r>
      <w:r w:rsidRPr="00762252">
        <w:rPr>
          <w:rFonts w:cs="Trebuchet MS"/>
          <w:szCs w:val="22"/>
        </w:rPr>
        <w:t>.</w:t>
      </w:r>
    </w:p>
    <w:p w14:paraId="16013C85" w14:textId="691F905F" w:rsidR="00EA0DE5" w:rsidRPr="009444BA" w:rsidRDefault="00285DA9" w:rsidP="009444BA">
      <w:pPr>
        <w:pStyle w:val="KeinLeerraum"/>
        <w:numPr>
          <w:ilvl w:val="0"/>
          <w:numId w:val="18"/>
        </w:numPr>
        <w:spacing w:line="276" w:lineRule="auto"/>
        <w:ind w:left="426" w:hanging="426"/>
        <w:jc w:val="both"/>
        <w:rPr>
          <w:szCs w:val="22"/>
        </w:rPr>
      </w:pPr>
      <w:r w:rsidRPr="009444BA">
        <w:rPr>
          <w:rFonts w:cs="Georgia"/>
          <w:szCs w:val="22"/>
        </w:rPr>
        <w:t>Von bundesweit 3</w:t>
      </w:r>
      <w:r w:rsidR="00EA0DE5" w:rsidRPr="009444BA">
        <w:rPr>
          <w:rFonts w:cs="Georgia"/>
          <w:szCs w:val="22"/>
        </w:rPr>
        <w:t>.</w:t>
      </w:r>
      <w:r w:rsidRPr="009444BA">
        <w:rPr>
          <w:rFonts w:cs="Georgia"/>
          <w:szCs w:val="22"/>
        </w:rPr>
        <w:t xml:space="preserve">031 Fahrern, die in den Jahren 2010-2014 in einen schweren Autounfall mit Todesfolge verwickelt waren, wurde in insgesamt 10 % der Fälle zum Unfallzeitpunkt aktives THC im Blut ermittelt (vgl. </w:t>
      </w:r>
      <w:r w:rsidRPr="009444BA">
        <w:rPr>
          <w:szCs w:val="22"/>
        </w:rPr>
        <w:t>Tefft, Arnold, Grabowski 2016, S. 1)</w:t>
      </w:r>
      <w:r w:rsidRPr="009444BA">
        <w:rPr>
          <w:rFonts w:cs="Georgia"/>
          <w:szCs w:val="22"/>
        </w:rPr>
        <w:t xml:space="preserve">. Für die Bewertung dieser Daten ist jedoch herauszustellen, dass von einem positiven </w:t>
      </w:r>
      <w:r w:rsidRPr="009444BA">
        <w:rPr>
          <w:szCs w:val="22"/>
        </w:rPr>
        <w:t>TH</w:t>
      </w:r>
      <w:r w:rsidR="00EA0DE5" w:rsidRPr="009444BA">
        <w:rPr>
          <w:szCs w:val="22"/>
        </w:rPr>
        <w:t>C-Test ausgegangen wird, wenn ein bzw. zwei</w:t>
      </w:r>
      <w:r w:rsidRPr="009444BA">
        <w:rPr>
          <w:szCs w:val="22"/>
        </w:rPr>
        <w:t xml:space="preserve"> Nanogramm pro Millilite</w:t>
      </w:r>
      <w:r w:rsidR="000671C8" w:rsidRPr="009444BA">
        <w:rPr>
          <w:szCs w:val="22"/>
        </w:rPr>
        <w:t>r Blut nachgewiesen werden (vgl. ebenda</w:t>
      </w:r>
      <w:r w:rsidRPr="009444BA">
        <w:rPr>
          <w:szCs w:val="22"/>
        </w:rPr>
        <w:t xml:space="preserve"> S. 4)</w:t>
      </w:r>
      <w:r w:rsidRPr="00762252">
        <w:rPr>
          <w:rStyle w:val="Funotenzeichen"/>
          <w:szCs w:val="22"/>
        </w:rPr>
        <w:footnoteReference w:id="44"/>
      </w:r>
      <w:r w:rsidRPr="009444BA">
        <w:rPr>
          <w:szCs w:val="22"/>
        </w:rPr>
        <w:t xml:space="preserve">. </w:t>
      </w:r>
      <w:r w:rsidR="009444BA" w:rsidRPr="009444BA">
        <w:rPr>
          <w:szCs w:val="22"/>
        </w:rPr>
        <w:t>Insofern</w:t>
      </w:r>
      <w:r w:rsidRPr="009444BA">
        <w:rPr>
          <w:szCs w:val="22"/>
        </w:rPr>
        <w:t xml:space="preserve"> wird zur Basis eines als positiv geltenden THC-Tests nicht das verkehr</w:t>
      </w:r>
      <w:r w:rsidRPr="009444BA">
        <w:rPr>
          <w:szCs w:val="22"/>
        </w:rPr>
        <w:t>s</w:t>
      </w:r>
      <w:r w:rsidRPr="009444BA">
        <w:rPr>
          <w:szCs w:val="22"/>
        </w:rPr>
        <w:t>rechtlich</w:t>
      </w:r>
      <w:r w:rsidR="00EA0DE5" w:rsidRPr="009444BA">
        <w:rPr>
          <w:szCs w:val="22"/>
        </w:rPr>
        <w:t xml:space="preserve"> festgelegte Limit in Höhe von fünf</w:t>
      </w:r>
      <w:r w:rsidR="009444BA" w:rsidRPr="009444BA">
        <w:rPr>
          <w:szCs w:val="22"/>
        </w:rPr>
        <w:t xml:space="preserve"> Nanogramm pro Milliliter Blut, sondern </w:t>
      </w:r>
      <w:r w:rsidR="007C55FB">
        <w:rPr>
          <w:szCs w:val="22"/>
        </w:rPr>
        <w:t xml:space="preserve">ein </w:t>
      </w:r>
      <w:r w:rsidR="009444BA" w:rsidRPr="009444BA">
        <w:rPr>
          <w:szCs w:val="22"/>
        </w:rPr>
        <w:t>niedri</w:t>
      </w:r>
      <w:r w:rsidR="007C55FB">
        <w:rPr>
          <w:szCs w:val="22"/>
        </w:rPr>
        <w:t>gerer Cut-Off-Wert</w:t>
      </w:r>
      <w:r w:rsidR="009444BA" w:rsidRPr="009444BA">
        <w:rPr>
          <w:szCs w:val="22"/>
        </w:rPr>
        <w:t xml:space="preserve"> </w:t>
      </w:r>
      <w:r w:rsidRPr="009444BA">
        <w:rPr>
          <w:szCs w:val="22"/>
        </w:rPr>
        <w:t>gemacht.</w:t>
      </w:r>
    </w:p>
    <w:p w14:paraId="614E7C92" w14:textId="77777777" w:rsidR="009444BA" w:rsidRPr="00EA0DE5" w:rsidRDefault="009444BA" w:rsidP="009444BA">
      <w:pPr>
        <w:pStyle w:val="KeinLeerraum"/>
        <w:spacing w:line="276" w:lineRule="auto"/>
        <w:jc w:val="both"/>
        <w:rPr>
          <w:rFonts w:cs="Georgia"/>
          <w:szCs w:val="22"/>
        </w:rPr>
      </w:pPr>
    </w:p>
    <w:p w14:paraId="36A27E04" w14:textId="77777777" w:rsidR="0076436C" w:rsidRDefault="0076436C" w:rsidP="0076436C">
      <w:pPr>
        <w:pStyle w:val="KeinLeerraum"/>
        <w:keepNext/>
        <w:spacing w:line="276" w:lineRule="auto"/>
        <w:jc w:val="both"/>
      </w:pPr>
      <w:r>
        <w:rPr>
          <w:rFonts w:cs="Arial"/>
          <w:noProof/>
          <w:szCs w:val="22"/>
        </w:rPr>
        <w:drawing>
          <wp:inline distT="0" distB="0" distL="0" distR="0" wp14:anchorId="44C89DAD" wp14:editId="3F6DDC72">
            <wp:extent cx="5638923" cy="3723207"/>
            <wp:effectExtent l="25400" t="25400" r="25400" b="3619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13 um 17.14.44.png"/>
                    <pic:cNvPicPr/>
                  </pic:nvPicPr>
                  <pic:blipFill>
                    <a:blip r:embed="rId88">
                      <a:extLst>
                        <a:ext uri="{28A0092B-C50C-407E-A947-70E740481C1C}">
                          <a14:useLocalDpi xmlns:a14="http://schemas.microsoft.com/office/drawing/2010/main" val="0"/>
                        </a:ext>
                      </a:extLst>
                    </a:blip>
                    <a:stretch>
                      <a:fillRect/>
                    </a:stretch>
                  </pic:blipFill>
                  <pic:spPr>
                    <a:xfrm>
                      <a:off x="0" y="0"/>
                      <a:ext cx="5638923" cy="3723207"/>
                    </a:xfrm>
                    <a:prstGeom prst="rect">
                      <a:avLst/>
                    </a:prstGeom>
                    <a:ln>
                      <a:solidFill>
                        <a:srgbClr val="000000"/>
                      </a:solidFill>
                    </a:ln>
                  </pic:spPr>
                </pic:pic>
              </a:graphicData>
            </a:graphic>
          </wp:inline>
        </w:drawing>
      </w:r>
    </w:p>
    <w:p w14:paraId="5E434E36" w14:textId="347F7FA9" w:rsidR="0076436C" w:rsidRDefault="0076436C" w:rsidP="0076436C">
      <w:pPr>
        <w:pStyle w:val="Beschriftung"/>
        <w:jc w:val="both"/>
        <w:rPr>
          <w:rFonts w:cs="Arial"/>
          <w:szCs w:val="22"/>
        </w:rPr>
      </w:pPr>
      <w:r>
        <w:t xml:space="preserve">Abbildung </w:t>
      </w:r>
      <w:fldSimple w:instr=" SEQ Abbildung \* ARABIC ">
        <w:r w:rsidR="00B86830">
          <w:rPr>
            <w:noProof/>
          </w:rPr>
          <w:t>24</w:t>
        </w:r>
      </w:fldSimple>
      <w:r>
        <w:t>: Gesamtzahlen zu Verkehrsunfällen mit Todesfolge, auf Drogen getestete Personen und THC-positive Tests (</w:t>
      </w:r>
      <w:r>
        <w:rPr>
          <w:rFonts w:cs="Times New Roman"/>
        </w:rPr>
        <w:t xml:space="preserve">Washington </w:t>
      </w:r>
      <w:r w:rsidR="00617CD2">
        <w:rPr>
          <w:rFonts w:cs="Times New Roman"/>
        </w:rPr>
        <w:t>T</w:t>
      </w:r>
      <w:r w:rsidR="00F67143">
        <w:rPr>
          <w:rFonts w:cs="Times New Roman"/>
        </w:rPr>
        <w:t xml:space="preserve">raffic </w:t>
      </w:r>
      <w:r w:rsidR="00617CD2">
        <w:rPr>
          <w:rFonts w:cs="Times New Roman"/>
        </w:rPr>
        <w:t>Safety C</w:t>
      </w:r>
      <w:r>
        <w:rPr>
          <w:rFonts w:cs="Times New Roman"/>
        </w:rPr>
        <w:t>ommission</w:t>
      </w:r>
      <w:r>
        <w:t>, 2016, S. 9)</w:t>
      </w:r>
    </w:p>
    <w:p w14:paraId="7EC8A274" w14:textId="77777777" w:rsidR="009444BA" w:rsidRDefault="009444BA" w:rsidP="009444BA">
      <w:pPr>
        <w:pStyle w:val="KeinLeerraum"/>
        <w:numPr>
          <w:ilvl w:val="0"/>
          <w:numId w:val="2"/>
        </w:numPr>
        <w:spacing w:line="276" w:lineRule="auto"/>
        <w:ind w:left="426" w:hanging="426"/>
        <w:jc w:val="both"/>
        <w:rPr>
          <w:rFonts w:cs="Arial"/>
          <w:szCs w:val="22"/>
        </w:rPr>
      </w:pPr>
      <w:r w:rsidRPr="00762252">
        <w:rPr>
          <w:rFonts w:cs="Arial"/>
          <w:szCs w:val="22"/>
        </w:rPr>
        <w:t>Ob die so ermittelten positiven Tests mit den Unfallursachen in einen Zusammenhang zu bringen sind, ob beispielsweise die positiv getesteten Personen überhaupt Unfallverurs</w:t>
      </w:r>
      <w:r w:rsidRPr="00762252">
        <w:rPr>
          <w:rFonts w:cs="Arial"/>
          <w:szCs w:val="22"/>
        </w:rPr>
        <w:t>a</w:t>
      </w:r>
      <w:r w:rsidRPr="00762252">
        <w:rPr>
          <w:rFonts w:cs="Arial"/>
          <w:szCs w:val="22"/>
        </w:rPr>
        <w:t xml:space="preserve">cher waren, lässt sich aus den Daten nicht ermitteln. </w:t>
      </w:r>
    </w:p>
    <w:p w14:paraId="720D2C01" w14:textId="77777777" w:rsidR="009444BA" w:rsidRPr="0076436C" w:rsidRDefault="009444BA" w:rsidP="009444BA">
      <w:pPr>
        <w:pStyle w:val="Listenabsatz"/>
        <w:widowControl w:val="0"/>
        <w:numPr>
          <w:ilvl w:val="0"/>
          <w:numId w:val="2"/>
        </w:numPr>
        <w:autoSpaceDE w:val="0"/>
        <w:autoSpaceDN w:val="0"/>
        <w:adjustRightInd w:val="0"/>
        <w:spacing w:line="276" w:lineRule="auto"/>
        <w:ind w:left="360"/>
        <w:jc w:val="both"/>
        <w:rPr>
          <w:rFonts w:cs="Georgia"/>
          <w:szCs w:val="22"/>
        </w:rPr>
      </w:pPr>
      <w:r w:rsidRPr="00EA0DE5">
        <w:rPr>
          <w:szCs w:val="22"/>
        </w:rPr>
        <w:t>Der Anteil der bei einem Verkehrsunfall mit Todesfolg</w:t>
      </w:r>
      <w:r>
        <w:rPr>
          <w:szCs w:val="22"/>
        </w:rPr>
        <w:t>e</w:t>
      </w:r>
      <w:r w:rsidRPr="00EA0DE5">
        <w:rPr>
          <w:szCs w:val="22"/>
        </w:rPr>
        <w:t xml:space="preserve"> positiv getesteten Personen, bei d</w:t>
      </w:r>
      <w:r w:rsidRPr="00EA0DE5">
        <w:rPr>
          <w:szCs w:val="22"/>
        </w:rPr>
        <w:t>e</w:t>
      </w:r>
      <w:r w:rsidRPr="00EA0DE5">
        <w:rPr>
          <w:szCs w:val="22"/>
        </w:rPr>
        <w:t xml:space="preserve">nen THC nachgewiesen wurde, stieg nach Beginn des </w:t>
      </w:r>
      <w:r>
        <w:rPr>
          <w:szCs w:val="22"/>
        </w:rPr>
        <w:t>Regulierung</w:t>
      </w:r>
      <w:r w:rsidRPr="00EA0DE5">
        <w:rPr>
          <w:szCs w:val="22"/>
        </w:rPr>
        <w:t xml:space="preserve">sprozesses im Jahr 2013 zunächst um fast 10 % (auf 27,2 %), um bis Mitte des Jahres 2014 </w:t>
      </w:r>
      <w:r>
        <w:rPr>
          <w:szCs w:val="22"/>
        </w:rPr>
        <w:t xml:space="preserve">saisonal bedingt </w:t>
      </w:r>
      <w:r w:rsidRPr="00EA0DE5">
        <w:rPr>
          <w:szCs w:val="22"/>
        </w:rPr>
        <w:t xml:space="preserve">wieder zu fallen (auf 26,2 %). Dem folgte für das Jahr 2015 ein erneuter Anstieg (auf 32,7 %) (vgl. Washington traffic safety commision 2015, </w:t>
      </w:r>
      <w:r>
        <w:rPr>
          <w:szCs w:val="22"/>
        </w:rPr>
        <w:t>S. 9)(vgl. Abbildung 24</w:t>
      </w:r>
      <w:r w:rsidRPr="00EA0DE5">
        <w:rPr>
          <w:szCs w:val="22"/>
        </w:rPr>
        <w:t xml:space="preserve">). </w:t>
      </w:r>
      <w:r>
        <w:rPr>
          <w:szCs w:val="22"/>
        </w:rPr>
        <w:t>D</w:t>
      </w:r>
      <w:r w:rsidRPr="0076436C">
        <w:rPr>
          <w:szCs w:val="22"/>
        </w:rPr>
        <w:t xml:space="preserve">eutlich wird, dass mit der </w:t>
      </w:r>
      <w:r>
        <w:rPr>
          <w:szCs w:val="22"/>
        </w:rPr>
        <w:t>Regulierung</w:t>
      </w:r>
      <w:r w:rsidRPr="0076436C">
        <w:rPr>
          <w:szCs w:val="22"/>
        </w:rPr>
        <w:t xml:space="preserve"> ein Anstieg der bei einem Verkehrsunfall getöteten Personen mit positivem THC-Test einhergehen kann. </w:t>
      </w:r>
      <w:r>
        <w:rPr>
          <w:szCs w:val="22"/>
        </w:rPr>
        <w:t>Eine</w:t>
      </w:r>
      <w:r w:rsidRPr="0076436C">
        <w:rPr>
          <w:szCs w:val="22"/>
        </w:rPr>
        <w:t xml:space="preserve"> explosionsartige Verschlechterung der Verkehrssiche</w:t>
      </w:r>
      <w:r w:rsidRPr="0076436C">
        <w:rPr>
          <w:szCs w:val="22"/>
        </w:rPr>
        <w:t>r</w:t>
      </w:r>
      <w:r w:rsidRPr="0076436C">
        <w:rPr>
          <w:szCs w:val="22"/>
        </w:rPr>
        <w:t xml:space="preserve">heitslage als </w:t>
      </w:r>
      <w:r>
        <w:rPr>
          <w:szCs w:val="22"/>
        </w:rPr>
        <w:t>gefürchtete</w:t>
      </w:r>
      <w:r w:rsidRPr="0076436C">
        <w:rPr>
          <w:szCs w:val="22"/>
        </w:rPr>
        <w:t xml:space="preserve"> </w:t>
      </w:r>
      <w:r>
        <w:rPr>
          <w:szCs w:val="22"/>
        </w:rPr>
        <w:t>Regulierungsfolge</w:t>
      </w:r>
      <w:r w:rsidRPr="0076436C">
        <w:rPr>
          <w:szCs w:val="22"/>
        </w:rPr>
        <w:t xml:space="preserve"> ist jedoch ausgeblieben. Die sich darstellenden Steigerungen in der Zahl der Verkehrsunfälle mit Todesfolge lassen sich keineswegs allein auf eine steigende Zahl positiv auf THC getesteter Fahrer zurückführen. Die empirischen B</w:t>
      </w:r>
      <w:r w:rsidRPr="0076436C">
        <w:rPr>
          <w:szCs w:val="22"/>
        </w:rPr>
        <w:t>e</w:t>
      </w:r>
      <w:r w:rsidRPr="0076436C">
        <w:rPr>
          <w:szCs w:val="22"/>
        </w:rPr>
        <w:t>lege unterstreichen vielmehr, dass sich schwere Verkehrsunfälle immer aus einem Bündel sehr unterschiedlicher Faktoren ergeben, die das Fahrverhalten beeinflussen. Dazu gehören Umgebungsfaktoren, aber u. a. auch der kulturelle Background, der Zustand der Straßen s</w:t>
      </w:r>
      <w:r w:rsidRPr="0076436C">
        <w:rPr>
          <w:szCs w:val="22"/>
        </w:rPr>
        <w:t>o</w:t>
      </w:r>
      <w:r w:rsidRPr="0076436C">
        <w:rPr>
          <w:szCs w:val="22"/>
        </w:rPr>
        <w:t xml:space="preserve">wie die Aktivitäten von Polizei und Justiz </w:t>
      </w:r>
      <w:r w:rsidRPr="0076436C">
        <w:rPr>
          <w:rFonts w:cs="Times New Roman"/>
          <w:szCs w:val="22"/>
        </w:rPr>
        <w:t xml:space="preserve">(vgl. </w:t>
      </w:r>
      <w:r>
        <w:rPr>
          <w:rFonts w:cs="Times New Roman"/>
          <w:szCs w:val="22"/>
        </w:rPr>
        <w:t>ebenda</w:t>
      </w:r>
      <w:r w:rsidRPr="0076436C">
        <w:rPr>
          <w:rFonts w:cs="Times New Roman"/>
          <w:szCs w:val="22"/>
        </w:rPr>
        <w:t xml:space="preserve">, S. 4). </w:t>
      </w:r>
    </w:p>
    <w:p w14:paraId="789EAC3D" w14:textId="3BAADD5E" w:rsidR="00285DA9" w:rsidRDefault="00285DA9" w:rsidP="009444BA">
      <w:pPr>
        <w:pStyle w:val="Listenabsatz"/>
        <w:widowControl w:val="0"/>
        <w:numPr>
          <w:ilvl w:val="0"/>
          <w:numId w:val="2"/>
        </w:numPr>
        <w:autoSpaceDE w:val="0"/>
        <w:autoSpaceDN w:val="0"/>
        <w:adjustRightInd w:val="0"/>
        <w:spacing w:line="276" w:lineRule="auto"/>
        <w:ind w:left="360"/>
        <w:jc w:val="both"/>
        <w:rPr>
          <w:rFonts w:cs="Calibri"/>
          <w:szCs w:val="22"/>
        </w:rPr>
      </w:pPr>
      <w:r w:rsidRPr="009444BA">
        <w:rPr>
          <w:szCs w:val="22"/>
        </w:rPr>
        <w:t xml:space="preserve">In den Daten des </w:t>
      </w:r>
      <w:r w:rsidRPr="009444BA">
        <w:rPr>
          <w:rFonts w:cs="Georgia"/>
          <w:szCs w:val="22"/>
        </w:rPr>
        <w:t xml:space="preserve">Washington State Patrol Toxicology Lab wird für </w:t>
      </w:r>
      <w:r w:rsidRPr="009444BA">
        <w:rPr>
          <w:szCs w:val="22"/>
        </w:rPr>
        <w:t>2015 (von Januar bis A</w:t>
      </w:r>
      <w:r w:rsidRPr="009444BA">
        <w:rPr>
          <w:szCs w:val="22"/>
        </w:rPr>
        <w:t>p</w:t>
      </w:r>
      <w:r w:rsidRPr="009444BA">
        <w:rPr>
          <w:szCs w:val="22"/>
        </w:rPr>
        <w:t>ril) ausgewiesen, dass in 44 % aller Marihuana-DUI-Fälle (driving under the influence of M</w:t>
      </w:r>
      <w:r w:rsidRPr="009444BA">
        <w:rPr>
          <w:szCs w:val="22"/>
        </w:rPr>
        <w:t>a</w:t>
      </w:r>
      <w:r w:rsidRPr="009444BA">
        <w:rPr>
          <w:szCs w:val="22"/>
        </w:rPr>
        <w:t xml:space="preserve">rihuana) </w:t>
      </w:r>
      <w:r w:rsidRPr="009444BA">
        <w:rPr>
          <w:rFonts w:cs="Georgia"/>
          <w:szCs w:val="22"/>
        </w:rPr>
        <w:t>mehr als die legal zuläs</w:t>
      </w:r>
      <w:r w:rsidR="008A52BB" w:rsidRPr="009444BA">
        <w:rPr>
          <w:rFonts w:cs="Georgia"/>
          <w:szCs w:val="22"/>
        </w:rPr>
        <w:t>sig Menge von fünf</w:t>
      </w:r>
      <w:r w:rsidR="00E74B19" w:rsidRPr="009444BA">
        <w:rPr>
          <w:rFonts w:cs="Georgia"/>
          <w:szCs w:val="22"/>
        </w:rPr>
        <w:t xml:space="preserve"> Nanogramm aktiven</w:t>
      </w:r>
      <w:r w:rsidRPr="009444BA">
        <w:rPr>
          <w:rFonts w:cs="Georgia"/>
          <w:szCs w:val="22"/>
        </w:rPr>
        <w:t xml:space="preserve"> THC</w:t>
      </w:r>
      <w:r w:rsidR="00E74B19" w:rsidRPr="009444BA">
        <w:rPr>
          <w:rFonts w:cs="Georgia"/>
          <w:szCs w:val="22"/>
        </w:rPr>
        <w:t>s</w:t>
      </w:r>
      <w:r w:rsidRPr="009444BA">
        <w:rPr>
          <w:rFonts w:cs="Georgia"/>
          <w:szCs w:val="22"/>
        </w:rPr>
        <w:t xml:space="preserve"> per Milliliter Blut nachgewiesen wurde </w:t>
      </w:r>
      <w:r w:rsidRPr="009444BA">
        <w:rPr>
          <w:szCs w:val="22"/>
        </w:rPr>
        <w:t xml:space="preserve">(vgl. </w:t>
      </w:r>
      <w:r w:rsidR="00F9563E" w:rsidRPr="009444BA">
        <w:rPr>
          <w:rFonts w:cs="Calibri"/>
          <w:szCs w:val="22"/>
        </w:rPr>
        <w:t>Northwest high intensity drug trafficking area 2016</w:t>
      </w:r>
      <w:r w:rsidRPr="009444BA">
        <w:rPr>
          <w:rFonts w:cs="Calibri"/>
          <w:szCs w:val="22"/>
        </w:rPr>
        <w:t>, S. 82)(vgl. Abbildung 2</w:t>
      </w:r>
      <w:r w:rsidR="00026ADC" w:rsidRPr="009444BA">
        <w:rPr>
          <w:rFonts w:cs="Calibri"/>
          <w:szCs w:val="22"/>
        </w:rPr>
        <w:t>5</w:t>
      </w:r>
      <w:r w:rsidRPr="009444BA">
        <w:rPr>
          <w:rFonts w:cs="Calibri"/>
          <w:szCs w:val="22"/>
        </w:rPr>
        <w:t xml:space="preserve">). </w:t>
      </w:r>
    </w:p>
    <w:p w14:paraId="4BEFCF58" w14:textId="77777777" w:rsidR="009444BA" w:rsidRPr="009444BA" w:rsidRDefault="009444BA" w:rsidP="009444BA">
      <w:pPr>
        <w:pStyle w:val="Listenabsatz"/>
        <w:widowControl w:val="0"/>
        <w:autoSpaceDE w:val="0"/>
        <w:autoSpaceDN w:val="0"/>
        <w:adjustRightInd w:val="0"/>
        <w:spacing w:line="276" w:lineRule="auto"/>
        <w:ind w:left="360"/>
        <w:jc w:val="both"/>
        <w:rPr>
          <w:rFonts w:cs="Calibri"/>
          <w:szCs w:val="22"/>
        </w:rPr>
      </w:pPr>
    </w:p>
    <w:p w14:paraId="50AE34A2" w14:textId="77777777" w:rsidR="00051CEE" w:rsidRDefault="00280251" w:rsidP="001E7306">
      <w:pPr>
        <w:pStyle w:val="KeinLeerraum"/>
        <w:keepNext/>
        <w:spacing w:line="276" w:lineRule="auto"/>
        <w:ind w:left="426" w:firstLine="708"/>
        <w:jc w:val="both"/>
      </w:pPr>
      <w:r>
        <w:rPr>
          <w:noProof/>
        </w:rPr>
        <w:drawing>
          <wp:inline distT="0" distB="0" distL="0" distR="0" wp14:anchorId="232C1B45" wp14:editId="456BC31C">
            <wp:extent cx="4505776" cy="3340318"/>
            <wp:effectExtent l="25400" t="25400" r="15875" b="1270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13 um 16.43.12.png"/>
                    <pic:cNvPicPr/>
                  </pic:nvPicPr>
                  <pic:blipFill>
                    <a:blip r:embed="rId89">
                      <a:extLst>
                        <a:ext uri="{28A0092B-C50C-407E-A947-70E740481C1C}">
                          <a14:useLocalDpi xmlns:a14="http://schemas.microsoft.com/office/drawing/2010/main" val="0"/>
                        </a:ext>
                      </a:extLst>
                    </a:blip>
                    <a:stretch>
                      <a:fillRect/>
                    </a:stretch>
                  </pic:blipFill>
                  <pic:spPr>
                    <a:xfrm>
                      <a:off x="0" y="0"/>
                      <a:ext cx="4506247" cy="3340667"/>
                    </a:xfrm>
                    <a:prstGeom prst="rect">
                      <a:avLst/>
                    </a:prstGeom>
                    <a:ln>
                      <a:solidFill>
                        <a:srgbClr val="000000"/>
                      </a:solidFill>
                    </a:ln>
                  </pic:spPr>
                </pic:pic>
              </a:graphicData>
            </a:graphic>
          </wp:inline>
        </w:drawing>
      </w:r>
    </w:p>
    <w:p w14:paraId="38EF2BA1" w14:textId="00285280" w:rsidR="0076436C" w:rsidRDefault="00051CEE" w:rsidP="0076436C">
      <w:pPr>
        <w:pStyle w:val="Beschriftung"/>
        <w:jc w:val="both"/>
      </w:pPr>
      <w:r>
        <w:t xml:space="preserve">Abbildung </w:t>
      </w:r>
      <w:fldSimple w:instr=" SEQ Abbildung \* ARABIC ">
        <w:r w:rsidR="00B86830">
          <w:rPr>
            <w:noProof/>
          </w:rPr>
          <w:t>25</w:t>
        </w:r>
      </w:fldSimple>
      <w:r>
        <w:t xml:space="preserve">: </w:t>
      </w:r>
      <w:r w:rsidRPr="00762252">
        <w:t>Zahl der THC-positiv getesteten Fälle über 5 ng/ml Blut (</w:t>
      </w:r>
      <w:r w:rsidR="00F9563E">
        <w:rPr>
          <w:rFonts w:cs="Calibri"/>
          <w:szCs w:val="22"/>
        </w:rPr>
        <w:t>Northwest high intensity drug traff</w:t>
      </w:r>
      <w:r w:rsidR="00F9563E">
        <w:rPr>
          <w:rFonts w:cs="Calibri"/>
          <w:szCs w:val="22"/>
        </w:rPr>
        <w:t>i</w:t>
      </w:r>
      <w:r w:rsidR="00F9563E">
        <w:rPr>
          <w:rFonts w:cs="Calibri"/>
          <w:szCs w:val="22"/>
        </w:rPr>
        <w:t>cking area</w:t>
      </w:r>
      <w:r w:rsidRPr="00762252">
        <w:t xml:space="preserve"> 2016, S.  85)</w:t>
      </w:r>
    </w:p>
    <w:p w14:paraId="0751CCEA" w14:textId="70825B33" w:rsidR="008A52BB" w:rsidRPr="00A23F4B" w:rsidRDefault="008A52BB" w:rsidP="007C55FB">
      <w:pPr>
        <w:pStyle w:val="KeinLeerraum"/>
        <w:spacing w:line="276" w:lineRule="auto"/>
        <w:ind w:left="360"/>
      </w:pPr>
      <w:r w:rsidRPr="00A23F4B">
        <w:t>Interessanterweise zeigen die Daten</w:t>
      </w:r>
      <w:r w:rsidRPr="00A23F4B">
        <w:rPr>
          <w:rFonts w:cs="Times"/>
          <w:noProof/>
        </w:rPr>
        <w:t xml:space="preserve"> aber auch</w:t>
      </w:r>
      <w:r w:rsidRPr="00A23F4B">
        <w:t>, dass sich nach</w:t>
      </w:r>
      <w:r w:rsidRPr="00A23F4B">
        <w:rPr>
          <w:rFonts w:cs="Times"/>
        </w:rPr>
        <w:t xml:space="preserve"> </w:t>
      </w:r>
      <w:r w:rsidRPr="00A23F4B">
        <w:t>Einführung verkehrsrechtlich vorgeschriebener Limits im Jahr 2013 die Zahl derjenigen, die in einen schweren Verkehr</w:t>
      </w:r>
      <w:r w:rsidRPr="00A23F4B">
        <w:t>s</w:t>
      </w:r>
      <w:r w:rsidRPr="00A23F4B">
        <w:t xml:space="preserve">unfall mit mehr als der zugelassenen Menge THC involviert waren, kontinuierlich gesunken ist </w:t>
      </w:r>
      <w:r w:rsidRPr="00A23F4B">
        <w:rPr>
          <w:rFonts w:cs="Times New Roman"/>
        </w:rPr>
        <w:t>(ebenda).</w:t>
      </w:r>
      <w:r w:rsidRPr="00A23F4B">
        <w:t xml:space="preserve"> Dies spricht dafür, dass diese Vorgaben für die Verkehrsteilnehmer durchaus geeignet waren, Entscheidungen zur Teilnahme am Straßenverkehr nicht mehr </w:t>
      </w:r>
      <w:r>
        <w:t xml:space="preserve">allein vor dem Hintergrund </w:t>
      </w:r>
      <w:r w:rsidRPr="00A23F4B">
        <w:t>persönliche</w:t>
      </w:r>
      <w:r>
        <w:t xml:space="preserve">r Einschätzungen </w:t>
      </w:r>
      <w:r w:rsidRPr="00A23F4B">
        <w:t>zu treffe</w:t>
      </w:r>
      <w:r w:rsidR="00E74B19">
        <w:t>n, sondern sich zunehmend an den</w:t>
      </w:r>
      <w:r w:rsidRPr="00A23F4B">
        <w:t xml:space="preserve"> </w:t>
      </w:r>
      <w:r w:rsidR="00E74B19">
        <w:t xml:space="preserve">gesetzlich </w:t>
      </w:r>
      <w:r w:rsidRPr="00A23F4B">
        <w:t>vorgegebenen Normen</w:t>
      </w:r>
      <w:r w:rsidR="00E74B19">
        <w:t xml:space="preserve"> </w:t>
      </w:r>
      <w:r w:rsidRPr="00A23F4B">
        <w:t>zu orientieren</w:t>
      </w:r>
      <w:r>
        <w:t xml:space="preserve"> (vgl. Abbildung 25)</w:t>
      </w:r>
      <w:r w:rsidRPr="00A23F4B">
        <w:t xml:space="preserve">. </w:t>
      </w:r>
    </w:p>
    <w:p w14:paraId="6072A032" w14:textId="4C103BB2" w:rsidR="00026ADC" w:rsidRDefault="00285DA9" w:rsidP="007C55FB">
      <w:pPr>
        <w:pStyle w:val="Beschriftung"/>
        <w:numPr>
          <w:ilvl w:val="0"/>
          <w:numId w:val="6"/>
        </w:numPr>
        <w:spacing w:line="276" w:lineRule="auto"/>
        <w:ind w:left="426" w:hanging="426"/>
        <w:jc w:val="both"/>
        <w:rPr>
          <w:rFonts w:cs="Times New Roman"/>
          <w:b w:val="0"/>
          <w:sz w:val="22"/>
          <w:szCs w:val="22"/>
        </w:rPr>
      </w:pPr>
      <w:r w:rsidRPr="0076436C">
        <w:rPr>
          <w:b w:val="0"/>
          <w:sz w:val="22"/>
          <w:szCs w:val="22"/>
        </w:rPr>
        <w:t xml:space="preserve">Bezogen auf die Befürchtung, dass insbesondere Fahranfänger und sehr junge Fahrer die gebotenen Vorsichtsmaßnahmen für eine Teilnahme am Straßenverkehr in Verbindung mit dem Konsum von </w:t>
      </w:r>
      <w:r w:rsidR="00E74B19">
        <w:rPr>
          <w:b w:val="0"/>
          <w:sz w:val="22"/>
          <w:szCs w:val="22"/>
        </w:rPr>
        <w:t>Marihuana</w:t>
      </w:r>
      <w:r w:rsidRPr="0076436C">
        <w:rPr>
          <w:b w:val="0"/>
          <w:sz w:val="22"/>
          <w:szCs w:val="22"/>
        </w:rPr>
        <w:t xml:space="preserve"> nicht respektieren würden, </w:t>
      </w:r>
      <w:r w:rsidR="009444BA">
        <w:rPr>
          <w:b w:val="0"/>
          <w:sz w:val="22"/>
          <w:szCs w:val="22"/>
        </w:rPr>
        <w:t>zeigt sich</w:t>
      </w:r>
      <w:r w:rsidRPr="0076436C">
        <w:rPr>
          <w:b w:val="0"/>
          <w:sz w:val="22"/>
          <w:szCs w:val="22"/>
        </w:rPr>
        <w:t xml:space="preserve">, dass in den Jahren 2010-2014 Fahrer im Alter zwischen </w:t>
      </w:r>
      <w:r w:rsidRPr="0076436C">
        <w:rPr>
          <w:rFonts w:cs="Times New Roman"/>
          <w:b w:val="0"/>
          <w:sz w:val="22"/>
          <w:szCs w:val="22"/>
        </w:rPr>
        <w:t>16-25 Jahren</w:t>
      </w:r>
      <w:r w:rsidR="00E74B19">
        <w:rPr>
          <w:rFonts w:cs="Times New Roman"/>
          <w:b w:val="0"/>
          <w:sz w:val="22"/>
          <w:szCs w:val="22"/>
        </w:rPr>
        <w:t>,</w:t>
      </w:r>
      <w:r w:rsidRPr="0076436C">
        <w:rPr>
          <w:rFonts w:cs="Times New Roman"/>
          <w:b w:val="0"/>
          <w:sz w:val="22"/>
          <w:szCs w:val="22"/>
        </w:rPr>
        <w:t xml:space="preserve"> wie auch in Deutschland (vgl. </w:t>
      </w:r>
      <w:r w:rsidRPr="0076436C">
        <w:rPr>
          <w:rFonts w:cs="Trebuchet MS"/>
          <w:b w:val="0"/>
          <w:sz w:val="22"/>
          <w:szCs w:val="22"/>
        </w:rPr>
        <w:t>vgl. Stat</w:t>
      </w:r>
      <w:r w:rsidRPr="0076436C">
        <w:rPr>
          <w:rFonts w:cs="Trebuchet MS"/>
          <w:b w:val="0"/>
          <w:sz w:val="22"/>
          <w:szCs w:val="22"/>
        </w:rPr>
        <w:t>i</w:t>
      </w:r>
      <w:r w:rsidRPr="0076436C">
        <w:rPr>
          <w:rFonts w:cs="Trebuchet MS"/>
          <w:b w:val="0"/>
          <w:sz w:val="22"/>
          <w:szCs w:val="22"/>
        </w:rPr>
        <w:t>sches Bundesamt 2012, S. 10)</w:t>
      </w:r>
      <w:r w:rsidR="00E74B19">
        <w:rPr>
          <w:rFonts w:cs="Trebuchet MS"/>
          <w:b w:val="0"/>
          <w:sz w:val="22"/>
          <w:szCs w:val="22"/>
        </w:rPr>
        <w:t>,</w:t>
      </w:r>
      <w:r w:rsidRPr="0076436C">
        <w:rPr>
          <w:rFonts w:cs="Trebuchet MS"/>
          <w:b w:val="0"/>
          <w:sz w:val="22"/>
          <w:szCs w:val="22"/>
        </w:rPr>
        <w:t xml:space="preserve"> </w:t>
      </w:r>
      <w:r w:rsidRPr="0076436C">
        <w:rPr>
          <w:rFonts w:cs="Times New Roman"/>
          <w:b w:val="0"/>
          <w:sz w:val="22"/>
          <w:szCs w:val="22"/>
        </w:rPr>
        <w:t>zu der Gruppe</w:t>
      </w:r>
      <w:r w:rsidRPr="0076436C">
        <w:rPr>
          <w:b w:val="0"/>
          <w:sz w:val="22"/>
          <w:szCs w:val="22"/>
        </w:rPr>
        <w:t xml:space="preserve"> gehörten</w:t>
      </w:r>
      <w:r w:rsidRPr="0076436C">
        <w:rPr>
          <w:rFonts w:cs="Times New Roman"/>
          <w:b w:val="0"/>
          <w:sz w:val="22"/>
          <w:szCs w:val="22"/>
        </w:rPr>
        <w:t>, die generell mehr als andere Alter</w:t>
      </w:r>
      <w:r w:rsidRPr="0076436C">
        <w:rPr>
          <w:rFonts w:cs="Times New Roman"/>
          <w:b w:val="0"/>
          <w:sz w:val="22"/>
          <w:szCs w:val="22"/>
        </w:rPr>
        <w:t>s</w:t>
      </w:r>
      <w:r w:rsidRPr="0076436C">
        <w:rPr>
          <w:rFonts w:cs="Times New Roman"/>
          <w:b w:val="0"/>
          <w:sz w:val="22"/>
          <w:szCs w:val="22"/>
        </w:rPr>
        <w:t>gruppen in Verkehrsunfälle mit Todesfolge involviert waren. Diese Altersgruppe wird in Zusammenhang mit den Ermittlungen zu einem schweren Verkehrsunfall mit 68,8 % auch mehr als andere auf Alkohol und andere Drogen getestet. Es ist je</w:t>
      </w:r>
      <w:r w:rsidR="009444BA">
        <w:rPr>
          <w:rFonts w:cs="Times New Roman"/>
          <w:b w:val="0"/>
          <w:sz w:val="22"/>
          <w:szCs w:val="22"/>
        </w:rPr>
        <w:t>doch die Altersgruppe der 26-35-</w:t>
      </w:r>
      <w:r w:rsidRPr="0076436C">
        <w:rPr>
          <w:rFonts w:cs="Times New Roman"/>
          <w:b w:val="0"/>
          <w:sz w:val="22"/>
          <w:szCs w:val="22"/>
        </w:rPr>
        <w:t xml:space="preserve">Jährigen, für die mit 78 % am </w:t>
      </w:r>
      <w:r w:rsidR="009444BA">
        <w:rPr>
          <w:rFonts w:cs="Times New Roman"/>
          <w:b w:val="0"/>
          <w:sz w:val="22"/>
          <w:szCs w:val="22"/>
        </w:rPr>
        <w:t>häufigsten</w:t>
      </w:r>
      <w:r w:rsidRPr="0076436C">
        <w:rPr>
          <w:rFonts w:cs="Times New Roman"/>
          <w:b w:val="0"/>
          <w:sz w:val="22"/>
          <w:szCs w:val="22"/>
        </w:rPr>
        <w:t xml:space="preserve"> ein positiver Test auf Alkohol und andere Drogen ausgewiesen </w:t>
      </w:r>
      <w:r w:rsidR="00E74B19">
        <w:rPr>
          <w:rFonts w:cs="Times New Roman"/>
          <w:b w:val="0"/>
          <w:sz w:val="22"/>
          <w:szCs w:val="22"/>
        </w:rPr>
        <w:t>wird</w:t>
      </w:r>
      <w:r w:rsidR="00617CD2">
        <w:rPr>
          <w:rFonts w:cs="Times New Roman"/>
          <w:b w:val="0"/>
          <w:sz w:val="22"/>
          <w:szCs w:val="22"/>
        </w:rPr>
        <w:t xml:space="preserve"> (vgl. Washington Traffic S</w:t>
      </w:r>
      <w:r w:rsidRPr="0076436C">
        <w:rPr>
          <w:rFonts w:cs="Times New Roman"/>
          <w:b w:val="0"/>
          <w:sz w:val="22"/>
          <w:szCs w:val="22"/>
        </w:rPr>
        <w:t>af</w:t>
      </w:r>
      <w:r w:rsidR="00F9563E">
        <w:rPr>
          <w:rFonts w:cs="Times New Roman"/>
          <w:b w:val="0"/>
          <w:sz w:val="22"/>
          <w:szCs w:val="22"/>
        </w:rPr>
        <w:t>e</w:t>
      </w:r>
      <w:r w:rsidR="00617CD2">
        <w:rPr>
          <w:rFonts w:cs="Times New Roman"/>
          <w:b w:val="0"/>
          <w:sz w:val="22"/>
          <w:szCs w:val="22"/>
        </w:rPr>
        <w:t>ty C</w:t>
      </w:r>
      <w:r w:rsidRPr="0076436C">
        <w:rPr>
          <w:rFonts w:cs="Times New Roman"/>
          <w:b w:val="0"/>
          <w:sz w:val="22"/>
          <w:szCs w:val="22"/>
        </w:rPr>
        <w:t xml:space="preserve">ommission 2015, S. 15). </w:t>
      </w:r>
    </w:p>
    <w:p w14:paraId="5138A22B" w14:textId="77777777" w:rsidR="009800D1" w:rsidRDefault="009800D1" w:rsidP="001E7306">
      <w:pPr>
        <w:keepNext/>
        <w:ind w:firstLine="284"/>
      </w:pPr>
      <w:r>
        <w:rPr>
          <w:noProof/>
        </w:rPr>
        <w:drawing>
          <wp:inline distT="0" distB="0" distL="0" distR="0" wp14:anchorId="1F5B722E" wp14:editId="0A988622">
            <wp:extent cx="5354832" cy="2581731"/>
            <wp:effectExtent l="25400" t="25400" r="30480" b="3492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13 um 17.36.42.png"/>
                    <pic:cNvPicPr/>
                  </pic:nvPicPr>
                  <pic:blipFill>
                    <a:blip r:embed="rId90">
                      <a:extLst>
                        <a:ext uri="{28A0092B-C50C-407E-A947-70E740481C1C}">
                          <a14:useLocalDpi xmlns:a14="http://schemas.microsoft.com/office/drawing/2010/main" val="0"/>
                        </a:ext>
                      </a:extLst>
                    </a:blip>
                    <a:stretch>
                      <a:fillRect/>
                    </a:stretch>
                  </pic:blipFill>
                  <pic:spPr>
                    <a:xfrm>
                      <a:off x="0" y="0"/>
                      <a:ext cx="5355384" cy="2581997"/>
                    </a:xfrm>
                    <a:prstGeom prst="rect">
                      <a:avLst/>
                    </a:prstGeom>
                    <a:ln>
                      <a:solidFill>
                        <a:srgbClr val="000000"/>
                      </a:solidFill>
                    </a:ln>
                  </pic:spPr>
                </pic:pic>
              </a:graphicData>
            </a:graphic>
          </wp:inline>
        </w:drawing>
      </w:r>
    </w:p>
    <w:p w14:paraId="5020F1E3" w14:textId="7749D651" w:rsidR="00026ADC" w:rsidRPr="00026ADC" w:rsidRDefault="009800D1" w:rsidP="009800D1">
      <w:pPr>
        <w:pStyle w:val="Beschriftung"/>
      </w:pPr>
      <w:r>
        <w:t xml:space="preserve">Abbildung </w:t>
      </w:r>
      <w:fldSimple w:instr=" SEQ Abbildung \* ARABIC ">
        <w:r w:rsidR="00B86830">
          <w:rPr>
            <w:noProof/>
          </w:rPr>
          <w:t>26</w:t>
        </w:r>
      </w:fldSimple>
      <w:r>
        <w:t>: Qualitative Testergebnisse für Fahrer involviert im Unfä</w:t>
      </w:r>
      <w:r w:rsidR="00617CD2">
        <w:t>lle mit Todesfolge (Washington Traffic Safety C</w:t>
      </w:r>
      <w:r>
        <w:t>ommission 2016, S. 11)</w:t>
      </w:r>
    </w:p>
    <w:p w14:paraId="78E61DCB" w14:textId="09EA828D" w:rsidR="00285DA9" w:rsidRPr="00843723" w:rsidRDefault="00285DA9" w:rsidP="00F67143">
      <w:pPr>
        <w:pStyle w:val="Listenabsatz"/>
        <w:widowControl w:val="0"/>
        <w:numPr>
          <w:ilvl w:val="0"/>
          <w:numId w:val="2"/>
        </w:numPr>
        <w:autoSpaceDE w:val="0"/>
        <w:autoSpaceDN w:val="0"/>
        <w:adjustRightInd w:val="0"/>
        <w:spacing w:line="276" w:lineRule="auto"/>
        <w:ind w:left="426" w:hanging="426"/>
        <w:jc w:val="both"/>
        <w:rPr>
          <w:rFonts w:cs="Georgia"/>
          <w:b/>
          <w:szCs w:val="22"/>
        </w:rPr>
      </w:pPr>
      <w:r w:rsidRPr="00762252">
        <w:rPr>
          <w:rFonts w:cs="Calibri"/>
          <w:szCs w:val="22"/>
        </w:rPr>
        <w:t xml:space="preserve">Eine Betrachtung der Gesamtergebnisse der durchgeführten Volltests zeigt zudem, dass im Bundesstaat Washington Alkohol für sich oder in Kombination mit anderen Drogen </w:t>
      </w:r>
      <w:r w:rsidRPr="00843723">
        <w:rPr>
          <w:rFonts w:cs="Calibri"/>
          <w:szCs w:val="22"/>
        </w:rPr>
        <w:t>weite</w:t>
      </w:r>
      <w:r w:rsidRPr="00843723">
        <w:rPr>
          <w:rFonts w:cs="Calibri"/>
          <w:szCs w:val="22"/>
        </w:rPr>
        <w:t>r</w:t>
      </w:r>
      <w:r w:rsidRPr="00843723">
        <w:rPr>
          <w:rFonts w:cs="Calibri"/>
          <w:szCs w:val="22"/>
        </w:rPr>
        <w:t>hin die psycho</w:t>
      </w:r>
      <w:r w:rsidR="009444BA">
        <w:rPr>
          <w:rFonts w:cs="Calibri"/>
          <w:szCs w:val="22"/>
        </w:rPr>
        <w:t>-</w:t>
      </w:r>
      <w:r w:rsidRPr="00843723">
        <w:rPr>
          <w:rFonts w:cs="Calibri"/>
          <w:szCs w:val="22"/>
        </w:rPr>
        <w:t>aktive Substanz ist, die das Verkehrsgeschehen insbesondere bei den Unfä</w:t>
      </w:r>
      <w:r w:rsidRPr="00843723">
        <w:rPr>
          <w:rFonts w:cs="Calibri"/>
          <w:szCs w:val="22"/>
        </w:rPr>
        <w:t>l</w:t>
      </w:r>
      <w:r w:rsidRPr="00843723">
        <w:rPr>
          <w:rFonts w:cs="Calibri"/>
          <w:szCs w:val="22"/>
        </w:rPr>
        <w:t>len mit Todesfolge am meisten beeinträchtigt.</w:t>
      </w:r>
      <w:r w:rsidRPr="00843723">
        <w:rPr>
          <w:rFonts w:cs="Times New Roman"/>
          <w:noProof/>
          <w:szCs w:val="22"/>
        </w:rPr>
        <w:t xml:space="preserve"> Positive Tests allein auf Marihuana spielen demgegenüber eine eher nachgeordnete Rolle (</w:t>
      </w:r>
      <w:r w:rsidR="00E74B19">
        <w:rPr>
          <w:rFonts w:cs="Times New Roman"/>
          <w:noProof/>
          <w:szCs w:val="22"/>
        </w:rPr>
        <w:t xml:space="preserve">vgl. </w:t>
      </w:r>
      <w:r w:rsidRPr="00843723">
        <w:rPr>
          <w:rFonts w:cs="Times New Roman"/>
          <w:noProof/>
          <w:szCs w:val="22"/>
        </w:rPr>
        <w:t>ebenda, S. 11)</w:t>
      </w:r>
      <w:r>
        <w:rPr>
          <w:rFonts w:cs="Times New Roman"/>
          <w:noProof/>
          <w:szCs w:val="22"/>
        </w:rPr>
        <w:t>(vgl. Abbildung</w:t>
      </w:r>
      <w:r w:rsidR="009800D1">
        <w:rPr>
          <w:rFonts w:cs="Times New Roman"/>
          <w:noProof/>
          <w:szCs w:val="22"/>
        </w:rPr>
        <w:t xml:space="preserve"> 26</w:t>
      </w:r>
      <w:r>
        <w:rPr>
          <w:rFonts w:cs="Times New Roman"/>
          <w:noProof/>
          <w:szCs w:val="22"/>
        </w:rPr>
        <w:t>).</w:t>
      </w:r>
      <w:r w:rsidRPr="00843723">
        <w:rPr>
          <w:rFonts w:cs="Times New Roman"/>
          <w:noProof/>
          <w:szCs w:val="22"/>
        </w:rPr>
        <w:t xml:space="preserve"> </w:t>
      </w:r>
    </w:p>
    <w:p w14:paraId="2F11FB2B" w14:textId="77777777" w:rsidR="00285DA9" w:rsidRDefault="00285DA9" w:rsidP="00280251">
      <w:pPr>
        <w:widowControl w:val="0"/>
        <w:autoSpaceDE w:val="0"/>
        <w:autoSpaceDN w:val="0"/>
        <w:adjustRightInd w:val="0"/>
        <w:spacing w:line="276" w:lineRule="auto"/>
        <w:ind w:left="426" w:hanging="426"/>
        <w:jc w:val="both"/>
        <w:rPr>
          <w:rFonts w:cs="Georgia"/>
          <w:b/>
          <w:szCs w:val="22"/>
        </w:rPr>
      </w:pPr>
    </w:p>
    <w:p w14:paraId="5FDD755D" w14:textId="77777777" w:rsidR="00285DA9" w:rsidRPr="00762252" w:rsidRDefault="00285DA9" w:rsidP="00285DA9">
      <w:pPr>
        <w:widowControl w:val="0"/>
        <w:autoSpaceDE w:val="0"/>
        <w:autoSpaceDN w:val="0"/>
        <w:adjustRightInd w:val="0"/>
        <w:spacing w:line="276" w:lineRule="auto"/>
        <w:jc w:val="both"/>
        <w:rPr>
          <w:rFonts w:cs="Georgia"/>
          <w:b/>
          <w:szCs w:val="22"/>
        </w:rPr>
      </w:pPr>
      <w:r w:rsidRPr="00762252">
        <w:rPr>
          <w:rFonts w:cs="Georgia"/>
          <w:b/>
          <w:szCs w:val="22"/>
        </w:rPr>
        <w:t>Fazit</w:t>
      </w:r>
    </w:p>
    <w:p w14:paraId="4DEC5B55" w14:textId="19A5EE0A" w:rsidR="00285DA9" w:rsidRDefault="00285DA9" w:rsidP="00285DA9">
      <w:pPr>
        <w:pStyle w:val="KeinLeerraum"/>
        <w:spacing w:line="276" w:lineRule="auto"/>
        <w:jc w:val="both"/>
        <w:rPr>
          <w:szCs w:val="22"/>
        </w:rPr>
      </w:pPr>
      <w:r w:rsidRPr="00762252">
        <w:rPr>
          <w:rFonts w:cs="Georgia"/>
          <w:szCs w:val="22"/>
        </w:rPr>
        <w:t xml:space="preserve">In der Zusammenschau wird deutlich, dass viele Besonderheiten, unter denen die vorliegenden Daten erhoben wurden, eine belastbare Deutung nicht zulassen. Dazu gehört </w:t>
      </w:r>
      <w:r w:rsidRPr="00762252">
        <w:rPr>
          <w:rFonts w:cs="Georgia"/>
          <w:i/>
          <w:szCs w:val="22"/>
        </w:rPr>
        <w:t>erstens</w:t>
      </w:r>
      <w:r w:rsidRPr="00762252">
        <w:rPr>
          <w:rFonts w:cs="Georgia"/>
          <w:szCs w:val="22"/>
        </w:rPr>
        <w:t xml:space="preserve"> die Tats</w:t>
      </w:r>
      <w:r w:rsidRPr="00762252">
        <w:rPr>
          <w:rFonts w:cs="Georgia"/>
          <w:szCs w:val="22"/>
        </w:rPr>
        <w:t>a</w:t>
      </w:r>
      <w:r w:rsidRPr="00762252">
        <w:rPr>
          <w:rFonts w:cs="Georgia"/>
          <w:szCs w:val="22"/>
        </w:rPr>
        <w:t xml:space="preserve">che, dass </w:t>
      </w:r>
      <w:r w:rsidRPr="00762252">
        <w:rPr>
          <w:szCs w:val="22"/>
        </w:rPr>
        <w:t>die verfügbaren Zahlen nur besonders schwere Verkehrsunfälle referieren, in deren Folge Menschen getötet wurden. Sie stellen damit eine extreme Auswahl aus dem gesamten Ve</w:t>
      </w:r>
      <w:r w:rsidRPr="00762252">
        <w:rPr>
          <w:szCs w:val="22"/>
        </w:rPr>
        <w:t>r</w:t>
      </w:r>
      <w:r w:rsidRPr="00762252">
        <w:rPr>
          <w:szCs w:val="22"/>
        </w:rPr>
        <w:t>kehrsgeschehen dar, deren Generalisierung für das G</w:t>
      </w:r>
      <w:r>
        <w:rPr>
          <w:szCs w:val="22"/>
        </w:rPr>
        <w:t>esamtg</w:t>
      </w:r>
      <w:r w:rsidRPr="00762252">
        <w:rPr>
          <w:szCs w:val="22"/>
        </w:rPr>
        <w:t xml:space="preserve">eschehen zu hinterfragen ist. </w:t>
      </w:r>
      <w:r w:rsidRPr="00762252">
        <w:rPr>
          <w:i/>
          <w:szCs w:val="22"/>
        </w:rPr>
        <w:t>Zwe</w:t>
      </w:r>
      <w:r w:rsidRPr="00762252">
        <w:rPr>
          <w:i/>
          <w:szCs w:val="22"/>
        </w:rPr>
        <w:t>i</w:t>
      </w:r>
      <w:r w:rsidRPr="00762252">
        <w:rPr>
          <w:i/>
          <w:szCs w:val="22"/>
        </w:rPr>
        <w:t>tens</w:t>
      </w:r>
      <w:r w:rsidRPr="00762252">
        <w:rPr>
          <w:szCs w:val="22"/>
        </w:rPr>
        <w:t xml:space="preserve"> bleibt </w:t>
      </w:r>
      <w:r w:rsidR="009444BA">
        <w:rPr>
          <w:szCs w:val="22"/>
        </w:rPr>
        <w:t xml:space="preserve">schon während der </w:t>
      </w:r>
      <w:r w:rsidRPr="00762252">
        <w:rPr>
          <w:szCs w:val="22"/>
        </w:rPr>
        <w:t>Daten</w:t>
      </w:r>
      <w:r w:rsidR="009444BA">
        <w:rPr>
          <w:szCs w:val="22"/>
        </w:rPr>
        <w:t>erhebung</w:t>
      </w:r>
      <w:r w:rsidRPr="00762252">
        <w:rPr>
          <w:szCs w:val="22"/>
        </w:rPr>
        <w:t xml:space="preserve"> offen, ob der </w:t>
      </w:r>
      <w:r w:rsidR="009444BA">
        <w:rPr>
          <w:szCs w:val="22"/>
        </w:rPr>
        <w:t>Marihuana-</w:t>
      </w:r>
      <w:r w:rsidRPr="00762252">
        <w:rPr>
          <w:szCs w:val="22"/>
        </w:rPr>
        <w:t>Konsum Unfallursache</w:t>
      </w:r>
      <w:r w:rsidR="009444BA">
        <w:rPr>
          <w:szCs w:val="22"/>
        </w:rPr>
        <w:t xml:space="preserve"> war.</w:t>
      </w:r>
      <w:r w:rsidRPr="00762252">
        <w:rPr>
          <w:szCs w:val="22"/>
        </w:rPr>
        <w:t xml:space="preserve"> </w:t>
      </w:r>
      <w:r w:rsidRPr="00762252">
        <w:rPr>
          <w:i/>
          <w:szCs w:val="22"/>
        </w:rPr>
        <w:t>Drittens</w:t>
      </w:r>
      <w:r w:rsidRPr="00762252">
        <w:rPr>
          <w:szCs w:val="22"/>
        </w:rPr>
        <w:t xml:space="preserve"> wird in vielen Statistiken das Fahren unter Marihuana bereits problematisier</w:t>
      </w:r>
      <w:r w:rsidR="00E74B19">
        <w:rPr>
          <w:szCs w:val="22"/>
        </w:rPr>
        <w:t>t, wenn ein THC-Blutgehalt von ein oder zwei</w:t>
      </w:r>
      <w:r w:rsidRPr="00762252">
        <w:rPr>
          <w:szCs w:val="22"/>
        </w:rPr>
        <w:t xml:space="preserve"> Nanogramm nachgewiesen wird. Mit diesem </w:t>
      </w:r>
      <w:r w:rsidR="00DB7D1D">
        <w:rPr>
          <w:szCs w:val="22"/>
        </w:rPr>
        <w:t>ve</w:t>
      </w:r>
      <w:r w:rsidR="00DB7D1D">
        <w:rPr>
          <w:szCs w:val="22"/>
        </w:rPr>
        <w:t>r</w:t>
      </w:r>
      <w:r w:rsidR="00DB7D1D">
        <w:rPr>
          <w:szCs w:val="22"/>
        </w:rPr>
        <w:t>wendeten</w:t>
      </w:r>
      <w:r w:rsidRPr="00762252">
        <w:rPr>
          <w:szCs w:val="22"/>
        </w:rPr>
        <w:t xml:space="preserve"> Cu</w:t>
      </w:r>
      <w:r>
        <w:rPr>
          <w:szCs w:val="22"/>
        </w:rPr>
        <w:t>t-</w:t>
      </w:r>
      <w:r w:rsidRPr="00762252">
        <w:rPr>
          <w:szCs w:val="22"/>
        </w:rPr>
        <w:t xml:space="preserve">off für einen positiven Test werden </w:t>
      </w:r>
      <w:r w:rsidR="009444BA">
        <w:rPr>
          <w:szCs w:val="22"/>
        </w:rPr>
        <w:t xml:space="preserve">so </w:t>
      </w:r>
      <w:r w:rsidRPr="00762252">
        <w:rPr>
          <w:szCs w:val="22"/>
        </w:rPr>
        <w:t>niedrig</w:t>
      </w:r>
      <w:r w:rsidR="00DB7D1D">
        <w:rPr>
          <w:szCs w:val="22"/>
        </w:rPr>
        <w:t xml:space="preserve">e </w:t>
      </w:r>
      <w:r w:rsidRPr="00762252">
        <w:rPr>
          <w:szCs w:val="22"/>
        </w:rPr>
        <w:t>Grenzwerte gewertet</w:t>
      </w:r>
      <w:r>
        <w:rPr>
          <w:szCs w:val="22"/>
        </w:rPr>
        <w:t>,</w:t>
      </w:r>
      <w:r w:rsidRPr="00762252">
        <w:rPr>
          <w:szCs w:val="22"/>
        </w:rPr>
        <w:t xml:space="preserve"> obwohl die getesteten Verkehrsteilnehmer die gesetzlichen Limits respektiert haben. Für die so gewählten Cut-uff-Werte kann </w:t>
      </w:r>
      <w:r w:rsidRPr="00762252">
        <w:rPr>
          <w:i/>
          <w:szCs w:val="22"/>
        </w:rPr>
        <w:t>viertens</w:t>
      </w:r>
      <w:r w:rsidRPr="00762252">
        <w:rPr>
          <w:szCs w:val="22"/>
        </w:rPr>
        <w:t xml:space="preserve"> eine tatsächliche Beeinträchtigung des Fahrens unter Marihuana als eigentliche Ursache des Verkehrsunfalls bezweifelt werden. </w:t>
      </w:r>
      <w:r w:rsidRPr="00762252">
        <w:rPr>
          <w:i/>
          <w:szCs w:val="22"/>
        </w:rPr>
        <w:t>Fünftens</w:t>
      </w:r>
      <w:r w:rsidRPr="00762252">
        <w:rPr>
          <w:szCs w:val="22"/>
        </w:rPr>
        <w:t xml:space="preserve"> sind zeitgleich mit der </w:t>
      </w:r>
      <w:r w:rsidR="00D01097">
        <w:rPr>
          <w:szCs w:val="22"/>
        </w:rPr>
        <w:t>R</w:t>
      </w:r>
      <w:r w:rsidR="00D01097">
        <w:rPr>
          <w:szCs w:val="22"/>
        </w:rPr>
        <w:t>e</w:t>
      </w:r>
      <w:r w:rsidR="00D01097">
        <w:rPr>
          <w:szCs w:val="22"/>
        </w:rPr>
        <w:t>gulierung</w:t>
      </w:r>
      <w:r w:rsidRPr="00762252">
        <w:rPr>
          <w:szCs w:val="22"/>
        </w:rPr>
        <w:t xml:space="preserve"> auch die Prozeduren für eine Testung hin zu einer Intensivierung </w:t>
      </w:r>
      <w:r w:rsidR="009444BA">
        <w:rPr>
          <w:szCs w:val="22"/>
        </w:rPr>
        <w:t xml:space="preserve">zum einen </w:t>
      </w:r>
      <w:r w:rsidRPr="00762252">
        <w:rPr>
          <w:szCs w:val="22"/>
        </w:rPr>
        <w:t xml:space="preserve">durch </w:t>
      </w:r>
      <w:r>
        <w:rPr>
          <w:szCs w:val="22"/>
        </w:rPr>
        <w:t xml:space="preserve">eine Verdoppelung der Zahl der vorgenommenen Tests und </w:t>
      </w:r>
      <w:r w:rsidR="009444BA">
        <w:rPr>
          <w:szCs w:val="22"/>
        </w:rPr>
        <w:t xml:space="preserve">zum anderen </w:t>
      </w:r>
      <w:r>
        <w:rPr>
          <w:szCs w:val="22"/>
        </w:rPr>
        <w:t>durch den Übergang zu</w:t>
      </w:r>
      <w:r w:rsidR="009444BA">
        <w:rPr>
          <w:szCs w:val="22"/>
        </w:rPr>
        <w:t>r</w:t>
      </w:r>
      <w:r>
        <w:rPr>
          <w:szCs w:val="22"/>
        </w:rPr>
        <w:t xml:space="preserve"> </w:t>
      </w:r>
      <w:r w:rsidRPr="00762252">
        <w:rPr>
          <w:szCs w:val="22"/>
        </w:rPr>
        <w:t>Volltestung auf Alkohol und alle anderen Drogen geändert worden</w:t>
      </w:r>
      <w:r w:rsidR="009444BA">
        <w:rPr>
          <w:szCs w:val="22"/>
        </w:rPr>
        <w:t xml:space="preserve">. Daraus </w:t>
      </w:r>
      <w:r w:rsidR="009444BA" w:rsidRPr="00762252">
        <w:rPr>
          <w:szCs w:val="22"/>
        </w:rPr>
        <w:t>ergibt</w:t>
      </w:r>
      <w:r w:rsidRPr="00762252">
        <w:rPr>
          <w:szCs w:val="22"/>
        </w:rPr>
        <w:t xml:space="preserve"> sich folg</w:t>
      </w:r>
      <w:r w:rsidRPr="00762252">
        <w:rPr>
          <w:szCs w:val="22"/>
        </w:rPr>
        <w:t>e</w:t>
      </w:r>
      <w:r w:rsidRPr="00762252">
        <w:rPr>
          <w:szCs w:val="22"/>
        </w:rPr>
        <w:t xml:space="preserve">richtig auch ein Anstieg der gefundenen DUIM. Da sich schließlich zeitgleich mit der </w:t>
      </w:r>
      <w:r w:rsidR="00D01097">
        <w:rPr>
          <w:szCs w:val="22"/>
        </w:rPr>
        <w:t>Regulierung</w:t>
      </w:r>
      <w:r w:rsidRPr="00762252">
        <w:rPr>
          <w:szCs w:val="22"/>
        </w:rPr>
        <w:t xml:space="preserve"> </w:t>
      </w:r>
      <w:r w:rsidRPr="00762252">
        <w:rPr>
          <w:i/>
          <w:szCs w:val="22"/>
        </w:rPr>
        <w:t>sechstens</w:t>
      </w:r>
      <w:r w:rsidRPr="00762252">
        <w:rPr>
          <w:szCs w:val="22"/>
        </w:rPr>
        <w:t xml:space="preserve"> auch die Kontroll- und Sanktionspraxis zu DUIM </w:t>
      </w:r>
      <w:r w:rsidR="00602EFD">
        <w:rPr>
          <w:szCs w:val="22"/>
        </w:rPr>
        <w:t>Road</w:t>
      </w:r>
      <w:r w:rsidR="009444BA">
        <w:rPr>
          <w:szCs w:val="22"/>
        </w:rPr>
        <w:t>si</w:t>
      </w:r>
      <w:r w:rsidR="00602EFD">
        <w:rPr>
          <w:szCs w:val="22"/>
        </w:rPr>
        <w:t>d</w:t>
      </w:r>
      <w:r w:rsidR="009444BA">
        <w:rPr>
          <w:szCs w:val="22"/>
        </w:rPr>
        <w:t xml:space="preserve">e </w:t>
      </w:r>
      <w:r w:rsidRPr="00762252">
        <w:rPr>
          <w:szCs w:val="22"/>
        </w:rPr>
        <w:t>verdichtet hat, sind Vergle</w:t>
      </w:r>
      <w:r w:rsidRPr="00762252">
        <w:rPr>
          <w:szCs w:val="22"/>
        </w:rPr>
        <w:t>i</w:t>
      </w:r>
      <w:r w:rsidRPr="00762252">
        <w:rPr>
          <w:szCs w:val="22"/>
        </w:rPr>
        <w:t>che Prä- und Post</w:t>
      </w:r>
      <w:r w:rsidR="00D67419">
        <w:rPr>
          <w:szCs w:val="22"/>
        </w:rPr>
        <w:t>r</w:t>
      </w:r>
      <w:r w:rsidR="00D01097">
        <w:rPr>
          <w:szCs w:val="22"/>
        </w:rPr>
        <w:t>egulierung</w:t>
      </w:r>
      <w:r w:rsidR="00DB7D1D">
        <w:rPr>
          <w:szCs w:val="22"/>
        </w:rPr>
        <w:t xml:space="preserve"> kaum noch möglich (vgl. Abbildung 27).</w:t>
      </w:r>
    </w:p>
    <w:p w14:paraId="43CC147F" w14:textId="77777777" w:rsidR="00D67419" w:rsidRPr="00762252" w:rsidRDefault="00D67419" w:rsidP="00285DA9">
      <w:pPr>
        <w:pStyle w:val="KeinLeerraum"/>
        <w:spacing w:line="276" w:lineRule="auto"/>
        <w:jc w:val="both"/>
        <w:rPr>
          <w:szCs w:val="22"/>
        </w:rPr>
      </w:pPr>
    </w:p>
    <w:p w14:paraId="7B486A10" w14:textId="77777777" w:rsidR="009800D1" w:rsidRDefault="009800D1" w:rsidP="009800D1">
      <w:pPr>
        <w:pStyle w:val="KeinLeerraum"/>
        <w:keepNext/>
        <w:spacing w:line="276" w:lineRule="auto"/>
        <w:jc w:val="both"/>
      </w:pPr>
      <w:r>
        <w:rPr>
          <w:noProof/>
          <w:szCs w:val="22"/>
        </w:rPr>
        <w:drawing>
          <wp:inline distT="0" distB="0" distL="0" distR="0" wp14:anchorId="650AEBCD" wp14:editId="5F62CBAE">
            <wp:extent cx="5756910" cy="5059045"/>
            <wp:effectExtent l="25400" t="25400" r="34290" b="2095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13 um 17.06.41.png"/>
                    <pic:cNvPicPr/>
                  </pic:nvPicPr>
                  <pic:blipFill>
                    <a:blip r:embed="rId91">
                      <a:extLst>
                        <a:ext uri="{28A0092B-C50C-407E-A947-70E740481C1C}">
                          <a14:useLocalDpi xmlns:a14="http://schemas.microsoft.com/office/drawing/2010/main" val="0"/>
                        </a:ext>
                      </a:extLst>
                    </a:blip>
                    <a:stretch>
                      <a:fillRect/>
                    </a:stretch>
                  </pic:blipFill>
                  <pic:spPr>
                    <a:xfrm>
                      <a:off x="0" y="0"/>
                      <a:ext cx="5756910" cy="5059045"/>
                    </a:xfrm>
                    <a:prstGeom prst="rect">
                      <a:avLst/>
                    </a:prstGeom>
                    <a:ln>
                      <a:solidFill>
                        <a:srgbClr val="000000"/>
                      </a:solidFill>
                    </a:ln>
                  </pic:spPr>
                </pic:pic>
              </a:graphicData>
            </a:graphic>
          </wp:inline>
        </w:drawing>
      </w:r>
    </w:p>
    <w:p w14:paraId="7F78B0F4" w14:textId="3C7C8007" w:rsidR="00285DA9" w:rsidRPr="00762252" w:rsidRDefault="009800D1" w:rsidP="009800D1">
      <w:pPr>
        <w:pStyle w:val="Beschriftung"/>
        <w:jc w:val="both"/>
        <w:rPr>
          <w:szCs w:val="22"/>
        </w:rPr>
      </w:pPr>
      <w:r>
        <w:t xml:space="preserve">Abbildung </w:t>
      </w:r>
      <w:fldSimple w:instr=" SEQ Abbildung \* ARABIC ">
        <w:r w:rsidR="00B86830">
          <w:rPr>
            <w:noProof/>
          </w:rPr>
          <w:t>27</w:t>
        </w:r>
      </w:fldSimple>
      <w:r>
        <w:t>: Zum Zusammenhang von nachgewiesenen positiven Tests auf THC und andere Cannabinoide und einer veränderten Kontrollpraxis (</w:t>
      </w:r>
      <w:r w:rsidR="00FE40E4">
        <w:t>AAA Foundation for traffic safety 2016, S. 16</w:t>
      </w:r>
      <w:r>
        <w:t>)</w:t>
      </w:r>
    </w:p>
    <w:p w14:paraId="5429821E" w14:textId="09761160" w:rsidR="00285DA9" w:rsidRDefault="00285DA9" w:rsidP="00285DA9">
      <w:pPr>
        <w:pStyle w:val="KeinLeerraum"/>
        <w:spacing w:line="276" w:lineRule="auto"/>
        <w:jc w:val="both"/>
        <w:rPr>
          <w:szCs w:val="22"/>
        </w:rPr>
      </w:pPr>
      <w:r w:rsidRPr="00762252">
        <w:rPr>
          <w:szCs w:val="22"/>
        </w:rPr>
        <w:t>Aus den vorliegenden Daten kann dennoch der nicht unbedingt überraschende Schluss gezogen werden, dass das Fahren unter Einfluss von aktivem THC im Bundesstaat Washington als sozi</w:t>
      </w:r>
      <w:r w:rsidRPr="00762252">
        <w:rPr>
          <w:szCs w:val="22"/>
        </w:rPr>
        <w:t>a</w:t>
      </w:r>
      <w:r w:rsidRPr="00762252">
        <w:rPr>
          <w:szCs w:val="22"/>
        </w:rPr>
        <w:t xml:space="preserve">les Phänomen eine Rolle spielt und </w:t>
      </w:r>
      <w:r w:rsidR="00E74B19">
        <w:rPr>
          <w:szCs w:val="22"/>
        </w:rPr>
        <w:t xml:space="preserve">sich statistisch mit steigenden Zahlen nachweisen lässt </w:t>
      </w:r>
      <w:r w:rsidRPr="00762252">
        <w:rPr>
          <w:szCs w:val="22"/>
        </w:rPr>
        <w:t>– allerdings langsamer, als befürchtet. Die sich darstellenden Zusammenhänge zwische</w:t>
      </w:r>
      <w:r w:rsidR="00DB7D1D">
        <w:rPr>
          <w:szCs w:val="22"/>
        </w:rPr>
        <w:t>n Marihu</w:t>
      </w:r>
      <w:r w:rsidR="00DB7D1D">
        <w:rPr>
          <w:szCs w:val="22"/>
        </w:rPr>
        <w:t>a</w:t>
      </w:r>
      <w:r w:rsidR="00DB7D1D">
        <w:rPr>
          <w:szCs w:val="22"/>
        </w:rPr>
        <w:t>na-K</w:t>
      </w:r>
      <w:r w:rsidRPr="00762252">
        <w:rPr>
          <w:szCs w:val="22"/>
        </w:rPr>
        <w:t xml:space="preserve">onsum und dem Involviert-Sein in einen Verkehrsunfall mit Todesfolge waren mit großer Wahrscheinlichkeit schon vor der </w:t>
      </w:r>
      <w:r w:rsidR="00D01097">
        <w:rPr>
          <w:szCs w:val="22"/>
        </w:rPr>
        <w:t>Regulierung</w:t>
      </w:r>
      <w:r w:rsidRPr="00762252">
        <w:rPr>
          <w:szCs w:val="22"/>
        </w:rPr>
        <w:t xml:space="preserve"> vorhanden, wurden aber durch die zu dieser Zeit praktizierten Routinen bei Drogentestungen unterschätzt</w:t>
      </w:r>
      <w:r>
        <w:rPr>
          <w:szCs w:val="22"/>
        </w:rPr>
        <w:t xml:space="preserve"> </w:t>
      </w:r>
      <w:r w:rsidRPr="00762252">
        <w:rPr>
          <w:rFonts w:cs="Times New Roman"/>
          <w:szCs w:val="22"/>
        </w:rPr>
        <w:t>(vgl. Washington traffic saf</w:t>
      </w:r>
      <w:r w:rsidR="00F9563E">
        <w:rPr>
          <w:rFonts w:cs="Times New Roman"/>
          <w:szCs w:val="22"/>
        </w:rPr>
        <w:t>e</w:t>
      </w:r>
      <w:r w:rsidRPr="00762252">
        <w:rPr>
          <w:rFonts w:cs="Times New Roman"/>
          <w:szCs w:val="22"/>
        </w:rPr>
        <w:t>ty co</w:t>
      </w:r>
      <w:r w:rsidRPr="00762252">
        <w:rPr>
          <w:rFonts w:cs="Times New Roman"/>
          <w:szCs w:val="22"/>
        </w:rPr>
        <w:t>m</w:t>
      </w:r>
      <w:r w:rsidRPr="00762252">
        <w:rPr>
          <w:rFonts w:cs="Times New Roman"/>
          <w:szCs w:val="22"/>
        </w:rPr>
        <w:t>mission 2015, S. 15ff)</w:t>
      </w:r>
      <w:r w:rsidRPr="00762252">
        <w:rPr>
          <w:szCs w:val="22"/>
        </w:rPr>
        <w:t xml:space="preserve">. </w:t>
      </w:r>
    </w:p>
    <w:p w14:paraId="57718DF1" w14:textId="1545A7ED" w:rsidR="00285DA9" w:rsidRPr="00762252" w:rsidRDefault="00285DA9" w:rsidP="00285DA9">
      <w:pPr>
        <w:pStyle w:val="KeinLeerraum"/>
        <w:spacing w:line="276" w:lineRule="auto"/>
        <w:jc w:val="both"/>
        <w:rPr>
          <w:szCs w:val="22"/>
        </w:rPr>
      </w:pPr>
      <w:r w:rsidRPr="00762252">
        <w:rPr>
          <w:szCs w:val="22"/>
        </w:rPr>
        <w:t xml:space="preserve">Die vorliegenden Daten lassen sich zudem dahin interpretieren, dass </w:t>
      </w:r>
      <w:r w:rsidR="00DB7D1D">
        <w:rPr>
          <w:szCs w:val="22"/>
        </w:rPr>
        <w:t xml:space="preserve">sich </w:t>
      </w:r>
      <w:r w:rsidRPr="00762252">
        <w:rPr>
          <w:szCs w:val="22"/>
        </w:rPr>
        <w:t>die negativen Auswi</w:t>
      </w:r>
      <w:r w:rsidRPr="00762252">
        <w:rPr>
          <w:szCs w:val="22"/>
        </w:rPr>
        <w:t>r</w:t>
      </w:r>
      <w:r w:rsidRPr="00762252">
        <w:rPr>
          <w:szCs w:val="22"/>
        </w:rPr>
        <w:t xml:space="preserve">kungen des Fahrens unter dem Einfluss von Marihuana nicht </w:t>
      </w:r>
      <w:r>
        <w:rPr>
          <w:szCs w:val="22"/>
        </w:rPr>
        <w:t>auf</w:t>
      </w:r>
      <w:r w:rsidRPr="00762252">
        <w:rPr>
          <w:szCs w:val="22"/>
        </w:rPr>
        <w:t xml:space="preserve"> die Verkehrsteilnehmer insg</w:t>
      </w:r>
      <w:r w:rsidRPr="00762252">
        <w:rPr>
          <w:szCs w:val="22"/>
        </w:rPr>
        <w:t>e</w:t>
      </w:r>
      <w:r w:rsidRPr="00762252">
        <w:rPr>
          <w:szCs w:val="22"/>
        </w:rPr>
        <w:t xml:space="preserve">samt </w:t>
      </w:r>
      <w:r w:rsidR="00DB7D1D">
        <w:rPr>
          <w:szCs w:val="22"/>
        </w:rPr>
        <w:t>zurück</w:t>
      </w:r>
      <w:r>
        <w:rPr>
          <w:szCs w:val="22"/>
        </w:rPr>
        <w:t>führ</w:t>
      </w:r>
      <w:r w:rsidR="00DB7D1D">
        <w:rPr>
          <w:szCs w:val="22"/>
        </w:rPr>
        <w:t>en lassen, sondern eher durch eine kleine</w:t>
      </w:r>
      <w:r w:rsidRPr="00762252">
        <w:rPr>
          <w:szCs w:val="22"/>
        </w:rPr>
        <w:t>, relativ gut benennbare Gruppe</w:t>
      </w:r>
      <w:r>
        <w:rPr>
          <w:szCs w:val="22"/>
        </w:rPr>
        <w:t xml:space="preserve"> ve</w:t>
      </w:r>
      <w:r>
        <w:rPr>
          <w:szCs w:val="22"/>
        </w:rPr>
        <w:t>r</w:t>
      </w:r>
      <w:r>
        <w:rPr>
          <w:szCs w:val="22"/>
        </w:rPr>
        <w:t>ursacht werden</w:t>
      </w:r>
      <w:r w:rsidRPr="00762252">
        <w:rPr>
          <w:szCs w:val="22"/>
        </w:rPr>
        <w:t>: Junge und erwachsene Männer zwischen dem 26</w:t>
      </w:r>
      <w:r w:rsidR="00E74B19">
        <w:rPr>
          <w:szCs w:val="22"/>
        </w:rPr>
        <w:t>.</w:t>
      </w:r>
      <w:r w:rsidRPr="00762252">
        <w:rPr>
          <w:szCs w:val="22"/>
        </w:rPr>
        <w:t>-55</w:t>
      </w:r>
      <w:r w:rsidR="00E74B19">
        <w:rPr>
          <w:szCs w:val="22"/>
        </w:rPr>
        <w:t>.</w:t>
      </w:r>
      <w:r w:rsidRPr="00762252">
        <w:rPr>
          <w:szCs w:val="22"/>
        </w:rPr>
        <w:t xml:space="preserve"> Lebensjahr, die eher aus ländlichen Regionen kommen, vor allem am Wochenende mit ihrem Auto unterwegs sind, dabei größere Mengen an Alkohol und zusätzlich dazu andere Drogen, darunter auch Marihuana, ko</w:t>
      </w:r>
      <w:r w:rsidRPr="00762252">
        <w:rPr>
          <w:szCs w:val="22"/>
        </w:rPr>
        <w:t>n</w:t>
      </w:r>
      <w:r w:rsidRPr="00762252">
        <w:rPr>
          <w:szCs w:val="22"/>
        </w:rPr>
        <w:t>sumieren und mehrheitlich in der Zeit zwischen 18.00  und 5.00 Uhr verunglücken (vgl.</w:t>
      </w:r>
      <w:r w:rsidR="00DB7D1D">
        <w:rPr>
          <w:szCs w:val="22"/>
        </w:rPr>
        <w:t xml:space="preserve"> </w:t>
      </w:r>
      <w:r>
        <w:rPr>
          <w:rFonts w:cs="Times New Roman"/>
          <w:szCs w:val="22"/>
        </w:rPr>
        <w:t>ebenda).</w:t>
      </w:r>
      <w:r w:rsidRPr="00762252">
        <w:rPr>
          <w:rFonts w:cs="Times New Roman"/>
          <w:szCs w:val="22"/>
        </w:rPr>
        <w:t xml:space="preserve"> Diese Grup</w:t>
      </w:r>
      <w:r w:rsidR="00853E3C">
        <w:rPr>
          <w:rFonts w:cs="Times New Roman"/>
          <w:szCs w:val="22"/>
        </w:rPr>
        <w:t>pe mit ihren sogenannten „Disko-U</w:t>
      </w:r>
      <w:r w:rsidRPr="00762252">
        <w:rPr>
          <w:rFonts w:cs="Times New Roman"/>
          <w:szCs w:val="22"/>
        </w:rPr>
        <w:t xml:space="preserve">nfällen“ ist auch in </w:t>
      </w:r>
      <w:r>
        <w:rPr>
          <w:rFonts w:cs="Times New Roman"/>
          <w:szCs w:val="22"/>
        </w:rPr>
        <w:t>Deutschland</w:t>
      </w:r>
      <w:r w:rsidRPr="00762252">
        <w:rPr>
          <w:rFonts w:cs="Times New Roman"/>
          <w:szCs w:val="22"/>
        </w:rPr>
        <w:t xml:space="preserve"> als Hochrisik</w:t>
      </w:r>
      <w:r w:rsidRPr="00762252">
        <w:rPr>
          <w:rFonts w:cs="Times New Roman"/>
          <w:szCs w:val="22"/>
        </w:rPr>
        <w:t>o</w:t>
      </w:r>
      <w:r w:rsidRPr="00762252">
        <w:rPr>
          <w:rFonts w:cs="Times New Roman"/>
          <w:szCs w:val="22"/>
        </w:rPr>
        <w:t xml:space="preserve">gruppe bekannt (vgl. </w:t>
      </w:r>
      <w:r w:rsidRPr="00762252">
        <w:rPr>
          <w:rFonts w:cs="Arial"/>
          <w:bCs/>
          <w:szCs w:val="22"/>
        </w:rPr>
        <w:t>Unger, Pschenitza 2016)</w:t>
      </w:r>
      <w:r w:rsidRPr="00762252">
        <w:rPr>
          <w:rFonts w:cs="Times New Roman"/>
          <w:szCs w:val="22"/>
        </w:rPr>
        <w:t>.</w:t>
      </w:r>
    </w:p>
    <w:p w14:paraId="3A5F369C" w14:textId="77777777" w:rsidR="00285DA9" w:rsidRPr="00762252" w:rsidRDefault="00285DA9" w:rsidP="00285DA9">
      <w:pPr>
        <w:pStyle w:val="KeinLeerraum"/>
        <w:spacing w:line="276" w:lineRule="auto"/>
        <w:jc w:val="both"/>
        <w:rPr>
          <w:szCs w:val="22"/>
        </w:rPr>
      </w:pPr>
    </w:p>
    <w:p w14:paraId="71BED343" w14:textId="37D6FA64" w:rsidR="00285DA9" w:rsidRPr="00762252" w:rsidRDefault="00285DA9" w:rsidP="00285DA9">
      <w:pPr>
        <w:pStyle w:val="KeinLeerraum"/>
        <w:spacing w:line="276" w:lineRule="auto"/>
        <w:jc w:val="both"/>
        <w:rPr>
          <w:szCs w:val="22"/>
        </w:rPr>
      </w:pPr>
      <w:r w:rsidRPr="00762252">
        <w:rPr>
          <w:szCs w:val="22"/>
        </w:rPr>
        <w:t xml:space="preserve">Bezogen auf eine Einschätzung der Effekte </w:t>
      </w:r>
      <w:r w:rsidR="00E74B19">
        <w:rPr>
          <w:szCs w:val="22"/>
        </w:rPr>
        <w:t>von</w:t>
      </w:r>
      <w:r w:rsidRPr="00762252">
        <w:rPr>
          <w:szCs w:val="22"/>
        </w:rPr>
        <w:t xml:space="preserve"> </w:t>
      </w:r>
      <w:r w:rsidR="00D01097">
        <w:rPr>
          <w:szCs w:val="22"/>
        </w:rPr>
        <w:t>Regulierung</w:t>
      </w:r>
      <w:r w:rsidR="00E74B19">
        <w:rPr>
          <w:szCs w:val="22"/>
        </w:rPr>
        <w:t>sprozessen</w:t>
      </w:r>
      <w:r w:rsidRPr="00762252">
        <w:rPr>
          <w:szCs w:val="22"/>
        </w:rPr>
        <w:t xml:space="preserve"> auf die Entwicklung der Verkehrssicherheit kommen Auseinandersetzungen mit den vorliegenden Daten regelmäßig zu dem Schluss, dass nicht geklärt werden kann, ob der Anstieg der tödlichen Unfälle, bei denen der Fahrer im Nachhinein</w:t>
      </w:r>
      <w:r w:rsidR="00E74B19">
        <w:rPr>
          <w:szCs w:val="22"/>
        </w:rPr>
        <w:t xml:space="preserve"> positiv auf THC getestet wurde</w:t>
      </w:r>
      <w:r w:rsidRPr="00762252">
        <w:rPr>
          <w:szCs w:val="22"/>
        </w:rPr>
        <w:t>, tatsächliche als zeitver</w:t>
      </w:r>
      <w:r w:rsidR="00DB7D1D">
        <w:rPr>
          <w:szCs w:val="22"/>
        </w:rPr>
        <w:t>setzte Folge des</w:t>
      </w:r>
      <w:r w:rsidRPr="00762252">
        <w:rPr>
          <w:szCs w:val="22"/>
        </w:rPr>
        <w:t xml:space="preserve"> </w:t>
      </w:r>
      <w:r w:rsidR="00D01097">
        <w:rPr>
          <w:szCs w:val="22"/>
        </w:rPr>
        <w:t>Regulierung</w:t>
      </w:r>
      <w:r w:rsidR="00DB7D1D">
        <w:rPr>
          <w:szCs w:val="22"/>
        </w:rPr>
        <w:t>sprozesses</w:t>
      </w:r>
      <w:r w:rsidRPr="00762252">
        <w:rPr>
          <w:szCs w:val="22"/>
        </w:rPr>
        <w:t xml:space="preserve"> zu verstehen ist oder ganz andere Bezüge als Erklärung in Betracht kommen (u. a. </w:t>
      </w:r>
      <w:r w:rsidR="00CE65B8">
        <w:rPr>
          <w:szCs w:val="22"/>
        </w:rPr>
        <w:t>Reed, a. a. O.</w:t>
      </w:r>
      <w:r w:rsidRPr="00762252">
        <w:rPr>
          <w:szCs w:val="22"/>
        </w:rPr>
        <w:t xml:space="preserve">, S. 11, Tefft, Arnold, Grabowski 2016, S. 84). </w:t>
      </w:r>
    </w:p>
    <w:p w14:paraId="40BBB451" w14:textId="3B99C690" w:rsidR="00285DA9" w:rsidRPr="00762252" w:rsidRDefault="00285DA9" w:rsidP="00285DA9">
      <w:pPr>
        <w:pStyle w:val="KeinLeerraum"/>
        <w:spacing w:line="276" w:lineRule="auto"/>
        <w:jc w:val="both"/>
        <w:rPr>
          <w:szCs w:val="22"/>
        </w:rPr>
      </w:pPr>
      <w:r w:rsidRPr="00762252">
        <w:rPr>
          <w:szCs w:val="22"/>
        </w:rPr>
        <w:t xml:space="preserve">Unübersehbar </w:t>
      </w:r>
      <w:r w:rsidR="00E74B19">
        <w:rPr>
          <w:szCs w:val="22"/>
        </w:rPr>
        <w:t>ist</w:t>
      </w:r>
      <w:r w:rsidRPr="00762252">
        <w:rPr>
          <w:szCs w:val="22"/>
        </w:rPr>
        <w:t xml:space="preserve">, dass für weitere Forschungen zu den Effekten </w:t>
      </w:r>
      <w:r w:rsidR="00DB7D1D">
        <w:rPr>
          <w:szCs w:val="22"/>
        </w:rPr>
        <w:t>von</w:t>
      </w:r>
      <w:r w:rsidRPr="00762252">
        <w:rPr>
          <w:szCs w:val="22"/>
        </w:rPr>
        <w:t xml:space="preserve"> </w:t>
      </w:r>
      <w:r w:rsidR="00D01097">
        <w:rPr>
          <w:szCs w:val="22"/>
        </w:rPr>
        <w:t>Regulierung</w:t>
      </w:r>
      <w:r w:rsidR="00DB7D1D">
        <w:rPr>
          <w:szCs w:val="22"/>
        </w:rPr>
        <w:t>sprozessen</w:t>
      </w:r>
      <w:r w:rsidRPr="00762252">
        <w:rPr>
          <w:szCs w:val="22"/>
        </w:rPr>
        <w:t xml:space="preserve"> auf die Verkehrssicherheit </w:t>
      </w:r>
      <w:r w:rsidR="00853E3C" w:rsidRPr="00762252">
        <w:rPr>
          <w:szCs w:val="22"/>
        </w:rPr>
        <w:t>unabweisbar</w:t>
      </w:r>
      <w:r w:rsidR="00853E3C">
        <w:rPr>
          <w:szCs w:val="22"/>
        </w:rPr>
        <w:t xml:space="preserve"> </w:t>
      </w:r>
      <w:r w:rsidRPr="00762252">
        <w:rPr>
          <w:szCs w:val="22"/>
        </w:rPr>
        <w:t xml:space="preserve">die Einführung standardisierter Routinen </w:t>
      </w:r>
      <w:r w:rsidR="00853E3C">
        <w:rPr>
          <w:szCs w:val="22"/>
        </w:rPr>
        <w:t>für die</w:t>
      </w:r>
      <w:r w:rsidRPr="00762252">
        <w:rPr>
          <w:szCs w:val="22"/>
        </w:rPr>
        <w:t xml:space="preserve"> Erhebung </w:t>
      </w:r>
      <w:r w:rsidR="00853E3C">
        <w:rPr>
          <w:szCs w:val="22"/>
        </w:rPr>
        <w:t>von</w:t>
      </w:r>
      <w:r w:rsidRPr="00762252">
        <w:rPr>
          <w:szCs w:val="22"/>
        </w:rPr>
        <w:t xml:space="preserve"> </w:t>
      </w:r>
      <w:r w:rsidR="00853E3C">
        <w:rPr>
          <w:szCs w:val="22"/>
        </w:rPr>
        <w:t>Daten</w:t>
      </w:r>
      <w:r w:rsidRPr="00762252">
        <w:rPr>
          <w:szCs w:val="22"/>
        </w:rPr>
        <w:t xml:space="preserve"> ist, die weder eine Über</w:t>
      </w:r>
      <w:r>
        <w:rPr>
          <w:szCs w:val="22"/>
        </w:rPr>
        <w:t>- (z. B. durch die Wahl der Cut-off-Werte)</w:t>
      </w:r>
      <w:r w:rsidRPr="00762252">
        <w:rPr>
          <w:szCs w:val="22"/>
        </w:rPr>
        <w:t xml:space="preserve"> noch eine Unterb</w:t>
      </w:r>
      <w:r w:rsidRPr="00762252">
        <w:rPr>
          <w:szCs w:val="22"/>
        </w:rPr>
        <w:t>e</w:t>
      </w:r>
      <w:r w:rsidRPr="00762252">
        <w:rPr>
          <w:szCs w:val="22"/>
        </w:rPr>
        <w:t>wertu</w:t>
      </w:r>
      <w:r w:rsidR="00DB7D1D">
        <w:rPr>
          <w:szCs w:val="22"/>
        </w:rPr>
        <w:t>ng des Einflusses des Marihuana-K</w:t>
      </w:r>
      <w:r w:rsidRPr="00762252">
        <w:rPr>
          <w:szCs w:val="22"/>
        </w:rPr>
        <w:t xml:space="preserve">onsums auf die Verkehrssicherheitslage allgemein und </w:t>
      </w:r>
      <w:r w:rsidR="00E74B19">
        <w:rPr>
          <w:szCs w:val="22"/>
        </w:rPr>
        <w:t xml:space="preserve">auf </w:t>
      </w:r>
      <w:r w:rsidRPr="00762252">
        <w:rPr>
          <w:szCs w:val="22"/>
        </w:rPr>
        <w:t>das Unfallgeschehen speziell zulassen.</w:t>
      </w:r>
    </w:p>
    <w:p w14:paraId="7C014E61" w14:textId="77777777" w:rsidR="00285DA9" w:rsidRPr="00762252" w:rsidRDefault="00285DA9" w:rsidP="00285DA9">
      <w:pPr>
        <w:pStyle w:val="berschrift2"/>
        <w:spacing w:line="276" w:lineRule="auto"/>
        <w:jc w:val="both"/>
      </w:pPr>
      <w:bookmarkStart w:id="44" w:name="_Toc349300373"/>
      <w:r w:rsidRPr="00762252">
        <w:t>Das Beispiel Colorado</w:t>
      </w:r>
      <w:bookmarkEnd w:id="44"/>
    </w:p>
    <w:p w14:paraId="72240E92" w14:textId="6538DC00" w:rsidR="00285DA9" w:rsidRPr="00762252" w:rsidRDefault="00FB044B" w:rsidP="00285DA9">
      <w:pPr>
        <w:pStyle w:val="KeinLeerraum"/>
        <w:spacing w:line="276" w:lineRule="auto"/>
        <w:jc w:val="both"/>
        <w:rPr>
          <w:szCs w:val="22"/>
        </w:rPr>
      </w:pPr>
      <w:r>
        <w:rPr>
          <w:szCs w:val="22"/>
        </w:rPr>
        <w:t>Der B</w:t>
      </w:r>
      <w:r w:rsidR="00285DA9" w:rsidRPr="00762252">
        <w:rPr>
          <w:szCs w:val="22"/>
        </w:rPr>
        <w:t xml:space="preserve">undesstaat Colorado </w:t>
      </w:r>
      <w:r>
        <w:rPr>
          <w:szCs w:val="22"/>
        </w:rPr>
        <w:t>hat mit dem</w:t>
      </w:r>
      <w:r w:rsidRPr="00762252">
        <w:rPr>
          <w:szCs w:val="22"/>
        </w:rPr>
        <w:t xml:space="preserve"> </w:t>
      </w:r>
      <w:r>
        <w:rPr>
          <w:szCs w:val="22"/>
        </w:rPr>
        <w:t>Regulierungsgesetz</w:t>
      </w:r>
      <w:r w:rsidRPr="00762252">
        <w:rPr>
          <w:szCs w:val="22"/>
        </w:rPr>
        <w:t xml:space="preserve"> </w:t>
      </w:r>
      <w:r>
        <w:rPr>
          <w:szCs w:val="22"/>
        </w:rPr>
        <w:t xml:space="preserve">fast  </w:t>
      </w:r>
      <w:r w:rsidR="00285DA9" w:rsidRPr="00762252">
        <w:rPr>
          <w:szCs w:val="22"/>
        </w:rPr>
        <w:t>zeit</w:t>
      </w:r>
      <w:r w:rsidR="00DB7D1D">
        <w:rPr>
          <w:szCs w:val="22"/>
        </w:rPr>
        <w:t xml:space="preserve">gleich </w:t>
      </w:r>
      <w:r>
        <w:rPr>
          <w:szCs w:val="22"/>
        </w:rPr>
        <w:t>(</w:t>
      </w:r>
      <w:r w:rsidRPr="00762252">
        <w:rPr>
          <w:szCs w:val="22"/>
        </w:rPr>
        <w:t>2013</w:t>
      </w:r>
      <w:r>
        <w:rPr>
          <w:szCs w:val="22"/>
        </w:rPr>
        <w:t>)</w:t>
      </w:r>
      <w:r w:rsidRPr="00762252">
        <w:rPr>
          <w:szCs w:val="22"/>
        </w:rPr>
        <w:t xml:space="preserve"> </w:t>
      </w:r>
      <w:r w:rsidR="00285DA9" w:rsidRPr="00762252">
        <w:rPr>
          <w:szCs w:val="22"/>
        </w:rPr>
        <w:t>ein Gesetz auf den Weg gebracht hat (</w:t>
      </w:r>
      <w:r w:rsidR="00F9563E">
        <w:rPr>
          <w:rFonts w:cs="Arial"/>
          <w:szCs w:val="22"/>
        </w:rPr>
        <w:t>T</w:t>
      </w:r>
      <w:r w:rsidR="00285DA9" w:rsidRPr="00762252">
        <w:rPr>
          <w:rFonts w:cs="Arial"/>
          <w:szCs w:val="22"/>
        </w:rPr>
        <w:t xml:space="preserve">he General Assembly passed House Bill 13-1325), mit dem die Regeln </w:t>
      </w:r>
      <w:r>
        <w:rPr>
          <w:rFonts w:cs="Arial"/>
          <w:szCs w:val="22"/>
        </w:rPr>
        <w:t>für</w:t>
      </w:r>
      <w:r w:rsidR="00285DA9" w:rsidRPr="00762252">
        <w:rPr>
          <w:rFonts w:cs="Arial"/>
          <w:szCs w:val="22"/>
        </w:rPr>
        <w:t xml:space="preserve"> das Fahren unter Alkohol und anderen Drogen spezifiziert wurden. </w:t>
      </w:r>
      <w:r w:rsidR="00285DA9" w:rsidRPr="00762252">
        <w:rPr>
          <w:szCs w:val="22"/>
        </w:rPr>
        <w:t>Im Katalog der Ve</w:t>
      </w:r>
      <w:r w:rsidR="00285DA9" w:rsidRPr="00762252">
        <w:rPr>
          <w:szCs w:val="22"/>
        </w:rPr>
        <w:t>r</w:t>
      </w:r>
      <w:r w:rsidR="00285DA9" w:rsidRPr="00762252">
        <w:rPr>
          <w:szCs w:val="22"/>
        </w:rPr>
        <w:t>kehrsdelikte exi</w:t>
      </w:r>
      <w:r w:rsidR="00DB7D1D">
        <w:rPr>
          <w:szCs w:val="22"/>
        </w:rPr>
        <w:t xml:space="preserve">stierte allerdings schon </w:t>
      </w:r>
      <w:r>
        <w:rPr>
          <w:szCs w:val="22"/>
        </w:rPr>
        <w:t>zu</w:t>
      </w:r>
      <w:r w:rsidR="00DB7D1D">
        <w:rPr>
          <w:szCs w:val="22"/>
        </w:rPr>
        <w:t xml:space="preserve">vor </w:t>
      </w:r>
      <w:r w:rsidR="00285DA9" w:rsidRPr="00762252">
        <w:rPr>
          <w:szCs w:val="22"/>
        </w:rPr>
        <w:t xml:space="preserve">das Delikt „Driving under the influence on drugs“ (DUID), </w:t>
      </w:r>
      <w:r>
        <w:rPr>
          <w:szCs w:val="22"/>
        </w:rPr>
        <w:t>bei</w:t>
      </w:r>
      <w:r w:rsidR="00285DA9" w:rsidRPr="00762252">
        <w:rPr>
          <w:szCs w:val="22"/>
        </w:rPr>
        <w:t xml:space="preserve"> dem </w:t>
      </w:r>
      <w:r>
        <w:rPr>
          <w:szCs w:val="22"/>
        </w:rPr>
        <w:t xml:space="preserve">es um </w:t>
      </w:r>
      <w:r w:rsidR="00285DA9" w:rsidRPr="00762252">
        <w:rPr>
          <w:szCs w:val="22"/>
        </w:rPr>
        <w:t xml:space="preserve">die Beeinträchtigung </w:t>
      </w:r>
      <w:r w:rsidR="00DB7D1D">
        <w:rPr>
          <w:szCs w:val="22"/>
        </w:rPr>
        <w:t>von</w:t>
      </w:r>
      <w:r w:rsidR="00285DA9" w:rsidRPr="00762252">
        <w:rPr>
          <w:szCs w:val="22"/>
        </w:rPr>
        <w:t xml:space="preserve"> Verkehrsteilnehmer</w:t>
      </w:r>
      <w:r w:rsidR="00DB7D1D">
        <w:rPr>
          <w:szCs w:val="22"/>
        </w:rPr>
        <w:t>n</w:t>
      </w:r>
      <w:r w:rsidR="00285DA9" w:rsidRPr="00762252">
        <w:rPr>
          <w:szCs w:val="22"/>
        </w:rPr>
        <w:t xml:space="preserve"> </w:t>
      </w:r>
      <w:r w:rsidR="00602EFD">
        <w:rPr>
          <w:szCs w:val="22"/>
        </w:rPr>
        <w:t>durch psycho-aktive Su</w:t>
      </w:r>
      <w:r w:rsidR="00602EFD">
        <w:rPr>
          <w:szCs w:val="22"/>
        </w:rPr>
        <w:t>b</w:t>
      </w:r>
      <w:r w:rsidR="00602EFD">
        <w:rPr>
          <w:szCs w:val="22"/>
        </w:rPr>
        <w:t xml:space="preserve">stanzen </w:t>
      </w:r>
      <w:r w:rsidR="00DB7D1D">
        <w:rPr>
          <w:szCs w:val="22"/>
        </w:rPr>
        <w:t>bei der</w:t>
      </w:r>
      <w:r w:rsidR="00285DA9" w:rsidRPr="00762252">
        <w:rPr>
          <w:szCs w:val="22"/>
        </w:rPr>
        <w:t xml:space="preserve"> Teilnahme am Straßenverkehr </w:t>
      </w:r>
      <w:r>
        <w:rPr>
          <w:szCs w:val="22"/>
        </w:rPr>
        <w:t>ging</w:t>
      </w:r>
      <w:r w:rsidR="00285DA9" w:rsidRPr="00762252">
        <w:rPr>
          <w:szCs w:val="22"/>
        </w:rPr>
        <w:t xml:space="preserve">. Anders als </w:t>
      </w:r>
      <w:r>
        <w:rPr>
          <w:szCs w:val="22"/>
        </w:rPr>
        <w:t>der Name</w:t>
      </w:r>
      <w:r w:rsidR="00285DA9" w:rsidRPr="00762252">
        <w:rPr>
          <w:szCs w:val="22"/>
        </w:rPr>
        <w:t xml:space="preserve"> zunächst ausweist, können nicht nur Fahrzeugführer, sondern auch Radfahrer, Fußgänger, Rollstuhlfahrer und </w:t>
      </w:r>
      <w:r w:rsidR="00285DA9">
        <w:rPr>
          <w:szCs w:val="22"/>
        </w:rPr>
        <w:t>mi</w:t>
      </w:r>
      <w:r w:rsidR="00285DA9">
        <w:rPr>
          <w:szCs w:val="22"/>
        </w:rPr>
        <w:t>t</w:t>
      </w:r>
      <w:r w:rsidR="00285DA9">
        <w:rPr>
          <w:szCs w:val="22"/>
        </w:rPr>
        <w:t xml:space="preserve">fahrende </w:t>
      </w:r>
      <w:r w:rsidR="00285DA9" w:rsidRPr="00762252">
        <w:rPr>
          <w:szCs w:val="22"/>
        </w:rPr>
        <w:t xml:space="preserve">Passagiere </w:t>
      </w:r>
      <w:r>
        <w:rPr>
          <w:szCs w:val="22"/>
        </w:rPr>
        <w:t xml:space="preserve">in diesem Zusammenhang </w:t>
      </w:r>
      <w:r w:rsidR="00285DA9" w:rsidRPr="00762252">
        <w:rPr>
          <w:szCs w:val="22"/>
        </w:rPr>
        <w:t xml:space="preserve">bestraft werden. </w:t>
      </w:r>
    </w:p>
    <w:p w14:paraId="5037B504" w14:textId="2DDCE70A" w:rsidR="00285DA9" w:rsidRDefault="00DB7D1D" w:rsidP="00285DA9">
      <w:pPr>
        <w:pStyle w:val="KeinLeerraum"/>
        <w:spacing w:line="276" w:lineRule="auto"/>
        <w:jc w:val="both"/>
        <w:rPr>
          <w:szCs w:val="22"/>
        </w:rPr>
      </w:pPr>
      <w:r>
        <w:rPr>
          <w:szCs w:val="22"/>
        </w:rPr>
        <w:t xml:space="preserve">Im Unterschied zu Washington </w:t>
      </w:r>
      <w:r w:rsidR="00285DA9" w:rsidRPr="00762252">
        <w:rPr>
          <w:szCs w:val="22"/>
        </w:rPr>
        <w:t xml:space="preserve">ist es in Colorado </w:t>
      </w:r>
      <w:r>
        <w:rPr>
          <w:szCs w:val="22"/>
        </w:rPr>
        <w:t>p</w:t>
      </w:r>
      <w:r w:rsidRPr="00762252">
        <w:rPr>
          <w:szCs w:val="22"/>
        </w:rPr>
        <w:t xml:space="preserve">rinzipiell </w:t>
      </w:r>
      <w:r w:rsidR="00285DA9" w:rsidRPr="00762252">
        <w:rPr>
          <w:szCs w:val="22"/>
        </w:rPr>
        <w:t>nicht erlaubt, unter dem Einfluss von Marihuana zu fahren. Ab ei</w:t>
      </w:r>
      <w:r>
        <w:rPr>
          <w:szCs w:val="22"/>
        </w:rPr>
        <w:t>nem Blutwert von fünf Nanogramm aktiven</w:t>
      </w:r>
      <w:r w:rsidR="00285DA9" w:rsidRPr="00762252">
        <w:rPr>
          <w:szCs w:val="22"/>
        </w:rPr>
        <w:t xml:space="preserve"> THC</w:t>
      </w:r>
      <w:r>
        <w:rPr>
          <w:szCs w:val="22"/>
        </w:rPr>
        <w:t>-s</w:t>
      </w:r>
      <w:r w:rsidR="00285DA9" w:rsidRPr="00762252">
        <w:rPr>
          <w:szCs w:val="22"/>
        </w:rPr>
        <w:t xml:space="preserve"> pro Milliliter Blut erfolgt eine Bestrafung, in deren Folge dem Fahrzeugführer der Führerschein für drei M</w:t>
      </w:r>
      <w:r w:rsidR="00285DA9" w:rsidRPr="00762252">
        <w:rPr>
          <w:szCs w:val="22"/>
        </w:rPr>
        <w:t>o</w:t>
      </w:r>
      <w:r w:rsidR="00285DA9" w:rsidRPr="00762252">
        <w:rPr>
          <w:szCs w:val="22"/>
        </w:rPr>
        <w:t>nate entzogen, Strafpunkte vergeben sowie harte Geldstrafen (zwischen 600 und 1000 Dollar), abzuleistende Stunden gemeinnütziger Arbeit (mindestens 48 Stunden) und Haft (bei einer Erstauffälligkeit mindestens fünf Tage, die mit der Aufnahme einer Behandlung allerdings au</w:t>
      </w:r>
      <w:r w:rsidR="00285DA9" w:rsidRPr="00762252">
        <w:rPr>
          <w:szCs w:val="22"/>
        </w:rPr>
        <w:t>s</w:t>
      </w:r>
      <w:r w:rsidR="00285DA9" w:rsidRPr="00762252">
        <w:rPr>
          <w:szCs w:val="22"/>
        </w:rPr>
        <w:t>gesetzt werden können) ausgesprochen werden können. Colorado popularisiert diese Verbot</w:t>
      </w:r>
      <w:r w:rsidR="00285DA9" w:rsidRPr="00762252">
        <w:rPr>
          <w:szCs w:val="22"/>
        </w:rPr>
        <w:t>s</w:t>
      </w:r>
      <w:r w:rsidR="00285DA9" w:rsidRPr="00762252">
        <w:rPr>
          <w:szCs w:val="22"/>
        </w:rPr>
        <w:t xml:space="preserve">politik mit einer Kampagne </w:t>
      </w:r>
      <w:r w:rsidR="00285DA9" w:rsidRPr="00762252">
        <w:rPr>
          <w:rFonts w:cs="Helvetica Neue"/>
          <w:szCs w:val="22"/>
        </w:rPr>
        <w:t>"Drive High, Get a DUI"</w:t>
      </w:r>
      <w:r w:rsidR="00285DA9" w:rsidRPr="00762252">
        <w:rPr>
          <w:szCs w:val="22"/>
        </w:rPr>
        <w:t>, die sowohl die Bewohner dieses Bunde</w:t>
      </w:r>
      <w:r w:rsidR="00285DA9" w:rsidRPr="00762252">
        <w:rPr>
          <w:szCs w:val="22"/>
        </w:rPr>
        <w:t>s</w:t>
      </w:r>
      <w:r w:rsidR="00285DA9" w:rsidRPr="00762252">
        <w:rPr>
          <w:szCs w:val="22"/>
        </w:rPr>
        <w:t>staates als auch die Touristen erreichen soll und auch für diejenigen gilt, die medizinisches M</w:t>
      </w:r>
      <w:r w:rsidR="00285DA9" w:rsidRPr="00762252">
        <w:rPr>
          <w:szCs w:val="22"/>
        </w:rPr>
        <w:t>a</w:t>
      </w:r>
      <w:r w:rsidR="00285DA9" w:rsidRPr="00762252">
        <w:rPr>
          <w:szCs w:val="22"/>
        </w:rPr>
        <w:t xml:space="preserve">rihuana </w:t>
      </w:r>
      <w:r w:rsidR="00285DA9">
        <w:rPr>
          <w:szCs w:val="22"/>
        </w:rPr>
        <w:t>erhalten</w:t>
      </w:r>
      <w:r w:rsidR="00285DA9" w:rsidRPr="00762252">
        <w:rPr>
          <w:szCs w:val="22"/>
        </w:rPr>
        <w:t>.</w:t>
      </w:r>
      <w:r w:rsidR="00E74B19">
        <w:rPr>
          <w:szCs w:val="22"/>
        </w:rPr>
        <w:t xml:space="preserve"> </w:t>
      </w:r>
      <w:r w:rsidR="00285DA9" w:rsidRPr="00762252">
        <w:rPr>
          <w:szCs w:val="22"/>
        </w:rPr>
        <w:t>Allerdings praktizier</w:t>
      </w:r>
      <w:r w:rsidR="00602EFD">
        <w:rPr>
          <w:szCs w:val="22"/>
        </w:rPr>
        <w:t>t Colorado diesbezüglich keine Zero-T</w:t>
      </w:r>
      <w:r w:rsidR="00285DA9" w:rsidRPr="00762252">
        <w:rPr>
          <w:szCs w:val="22"/>
        </w:rPr>
        <w:t xml:space="preserve">olerance-Politik, durch die jeder Nachweis von THC oder seiner Metaboliten zum Strafgrund wird. </w:t>
      </w:r>
      <w:r w:rsidR="00285DA9">
        <w:rPr>
          <w:szCs w:val="22"/>
        </w:rPr>
        <w:t xml:space="preserve">Ähnlich wie in Deutschland in Zusammenhang mit dem Alkoholkonsum </w:t>
      </w:r>
      <w:r w:rsidR="00285DA9" w:rsidRPr="00762252">
        <w:rPr>
          <w:szCs w:val="22"/>
        </w:rPr>
        <w:t xml:space="preserve">muss </w:t>
      </w:r>
      <w:r w:rsidR="00285DA9">
        <w:rPr>
          <w:szCs w:val="22"/>
        </w:rPr>
        <w:t>v</w:t>
      </w:r>
      <w:r w:rsidR="00285DA9" w:rsidRPr="00762252">
        <w:rPr>
          <w:szCs w:val="22"/>
        </w:rPr>
        <w:t>ielmehr vor Gericht nachgewi</w:t>
      </w:r>
      <w:r w:rsidR="00285DA9" w:rsidRPr="00762252">
        <w:rPr>
          <w:szCs w:val="22"/>
        </w:rPr>
        <w:t>e</w:t>
      </w:r>
      <w:r w:rsidR="00285DA9" w:rsidRPr="00762252">
        <w:rPr>
          <w:szCs w:val="22"/>
        </w:rPr>
        <w:t>sen werden, dass mit dem positiven Blutspiegel tatsächlich auch eine Beeinträchtigung des Fahrverhaltens einherging (vgl. Linman 2016).</w:t>
      </w:r>
    </w:p>
    <w:p w14:paraId="12392003" w14:textId="23A9ED26" w:rsidR="00DB7D1D" w:rsidRDefault="00285DA9" w:rsidP="00285DA9">
      <w:pPr>
        <w:pStyle w:val="KeinLeerraum"/>
        <w:spacing w:line="276" w:lineRule="auto"/>
        <w:jc w:val="both"/>
        <w:rPr>
          <w:szCs w:val="22"/>
        </w:rPr>
      </w:pPr>
      <w:r w:rsidRPr="00762252">
        <w:rPr>
          <w:szCs w:val="22"/>
        </w:rPr>
        <w:t xml:space="preserve">Für den gerichtsverwertbaren Nachweis von Cannabis ist ausschließlich ein Bluttest auf aktives </w:t>
      </w:r>
      <w:r w:rsidR="00602EFD" w:rsidRPr="00762252">
        <w:rPr>
          <w:szCs w:val="22"/>
        </w:rPr>
        <w:t>Delta</w:t>
      </w:r>
      <w:r w:rsidR="00602EFD">
        <w:rPr>
          <w:szCs w:val="22"/>
        </w:rPr>
        <w:t>-</w:t>
      </w:r>
      <w:r w:rsidRPr="00762252">
        <w:rPr>
          <w:szCs w:val="22"/>
        </w:rPr>
        <w:t>9-Tetrahydrocannabinol (THC) festgelegt, der von dafür autorisierten Laboren durchz</w:t>
      </w:r>
      <w:r w:rsidRPr="00762252">
        <w:rPr>
          <w:szCs w:val="22"/>
        </w:rPr>
        <w:t>u</w:t>
      </w:r>
      <w:r w:rsidRPr="00762252">
        <w:rPr>
          <w:szCs w:val="22"/>
        </w:rPr>
        <w:t xml:space="preserve">führen ist. In dem Gesetz wird weiterhin zwischen einer Beeinträchtigung des Fahrens (driving while ability impaired: DWAI) und dem Fahren unter dem Einfluss von Drogen (driving while under the influence: DUI) unterschieden. </w:t>
      </w:r>
    </w:p>
    <w:p w14:paraId="14B8BAF0" w14:textId="7149B86A" w:rsidR="00285DA9" w:rsidRPr="00762252" w:rsidRDefault="00285DA9" w:rsidP="00285DA9">
      <w:pPr>
        <w:pStyle w:val="KeinLeerraum"/>
        <w:spacing w:line="276" w:lineRule="auto"/>
        <w:jc w:val="both"/>
        <w:rPr>
          <w:szCs w:val="22"/>
        </w:rPr>
      </w:pPr>
      <w:r w:rsidRPr="00762252">
        <w:rPr>
          <w:szCs w:val="22"/>
        </w:rPr>
        <w:t>Deutlich wird, dass für den Bundesstaat Colorado bisher keine allgemein geltenden Vorgaben für das Erheben von Daten festgeschrieben sind, die u. a. auch regeln, wer bei einer Teilnahme am Straßenverkehr in welchen Situationen auf seinen Drogenkonsum getestet werden darf und wer diese Daten wie zu dokumentieren und auszuwerten hat. Bis 2016 werden deshalb unklare oder sogar das Fehlen verlässlicher Daten für eine realitätsnahe Analyse</w:t>
      </w:r>
      <w:r w:rsidR="00DB7D1D">
        <w:rPr>
          <w:szCs w:val="22"/>
        </w:rPr>
        <w:t xml:space="preserve"> von Zusammenhängen zwischen dem</w:t>
      </w:r>
      <w:r w:rsidRPr="00762252">
        <w:rPr>
          <w:szCs w:val="22"/>
        </w:rPr>
        <w:t xml:space="preserve"> </w:t>
      </w:r>
      <w:r w:rsidR="00D01097">
        <w:rPr>
          <w:szCs w:val="22"/>
        </w:rPr>
        <w:t>Regulierung</w:t>
      </w:r>
      <w:r w:rsidR="00DB7D1D">
        <w:rPr>
          <w:szCs w:val="22"/>
        </w:rPr>
        <w:t>sprozess</w:t>
      </w:r>
      <w:r w:rsidRPr="00762252">
        <w:rPr>
          <w:szCs w:val="22"/>
        </w:rPr>
        <w:t xml:space="preserve"> des Freizeitkonsums von </w:t>
      </w:r>
      <w:r w:rsidR="00DB7D1D">
        <w:rPr>
          <w:szCs w:val="22"/>
        </w:rPr>
        <w:t>Marihuana</w:t>
      </w:r>
      <w:r w:rsidRPr="00762252">
        <w:rPr>
          <w:szCs w:val="22"/>
        </w:rPr>
        <w:t xml:space="preserve"> und der Verkehrss</w:t>
      </w:r>
      <w:r w:rsidRPr="00762252">
        <w:rPr>
          <w:szCs w:val="22"/>
        </w:rPr>
        <w:t>i</w:t>
      </w:r>
      <w:r w:rsidRPr="00762252">
        <w:rPr>
          <w:szCs w:val="22"/>
        </w:rPr>
        <w:t xml:space="preserve">cherheit beklagt (vgl. </w:t>
      </w:r>
      <w:r w:rsidR="007C55FB">
        <w:rPr>
          <w:szCs w:val="22"/>
        </w:rPr>
        <w:t>Reed, a. a. O.,</w:t>
      </w:r>
      <w:r w:rsidRPr="00762252">
        <w:rPr>
          <w:szCs w:val="22"/>
        </w:rPr>
        <w:t xml:space="preserve"> 2016, S. 20)</w:t>
      </w:r>
      <w:r>
        <w:rPr>
          <w:szCs w:val="22"/>
        </w:rPr>
        <w:t xml:space="preserve">. In diesem Zusammenhang werden folgende Gründe </w:t>
      </w:r>
      <w:r w:rsidR="00DB7D1D">
        <w:rPr>
          <w:szCs w:val="22"/>
        </w:rPr>
        <w:t xml:space="preserve">für ein problematisches Monitoring </w:t>
      </w:r>
      <w:r>
        <w:rPr>
          <w:szCs w:val="22"/>
        </w:rPr>
        <w:t>angeführt:</w:t>
      </w:r>
      <w:r w:rsidRPr="00762252">
        <w:rPr>
          <w:szCs w:val="22"/>
        </w:rPr>
        <w:t xml:space="preserve"> </w:t>
      </w:r>
    </w:p>
    <w:p w14:paraId="0DE8558B" w14:textId="7AF26E11" w:rsidR="00285DA9" w:rsidRPr="00762252" w:rsidRDefault="00285DA9" w:rsidP="00F67143">
      <w:pPr>
        <w:pStyle w:val="KeinLeerraum"/>
        <w:numPr>
          <w:ilvl w:val="0"/>
          <w:numId w:val="3"/>
        </w:numPr>
        <w:spacing w:line="276" w:lineRule="auto"/>
        <w:jc w:val="both"/>
        <w:rPr>
          <w:szCs w:val="22"/>
        </w:rPr>
      </w:pPr>
      <w:r w:rsidRPr="00762252">
        <w:rPr>
          <w:szCs w:val="22"/>
        </w:rPr>
        <w:t xml:space="preserve">Es gibt bisher </w:t>
      </w:r>
      <w:r w:rsidR="007C55FB">
        <w:rPr>
          <w:szCs w:val="22"/>
        </w:rPr>
        <w:t xml:space="preserve">in </w:t>
      </w:r>
      <w:r w:rsidRPr="00762252">
        <w:rPr>
          <w:szCs w:val="22"/>
        </w:rPr>
        <w:t xml:space="preserve">Colorado keine zentrale Stelle, zu der die Ergebnisse vorgenommener toxikologischer Tests in </w:t>
      </w:r>
      <w:r>
        <w:rPr>
          <w:szCs w:val="22"/>
        </w:rPr>
        <w:t xml:space="preserve">Zusammenhang mit einem </w:t>
      </w:r>
      <w:r w:rsidRPr="00762252">
        <w:rPr>
          <w:szCs w:val="22"/>
        </w:rPr>
        <w:t>beeinträchtig</w:t>
      </w:r>
      <w:r>
        <w:rPr>
          <w:szCs w:val="22"/>
        </w:rPr>
        <w:t>ten</w:t>
      </w:r>
      <w:r w:rsidRPr="00762252">
        <w:rPr>
          <w:szCs w:val="22"/>
        </w:rPr>
        <w:t xml:space="preserve"> Fahren unter Alk</w:t>
      </w:r>
      <w:r w:rsidRPr="00762252">
        <w:rPr>
          <w:szCs w:val="22"/>
        </w:rPr>
        <w:t>o</w:t>
      </w:r>
      <w:r w:rsidRPr="00762252">
        <w:rPr>
          <w:szCs w:val="22"/>
        </w:rPr>
        <w:t>hol und anderen Drogen oder andere, die Verkehrssicherheit betreffende Daten geme</w:t>
      </w:r>
      <w:r w:rsidRPr="00762252">
        <w:rPr>
          <w:szCs w:val="22"/>
        </w:rPr>
        <w:t>l</w:t>
      </w:r>
      <w:r w:rsidRPr="00762252">
        <w:rPr>
          <w:szCs w:val="22"/>
        </w:rPr>
        <w:t>det und nach einem einheitlichen Schema archiviert werden (vgl. ebenda). Deshalb ist der publizierte Datenfundus eher fragmentarisch.</w:t>
      </w:r>
    </w:p>
    <w:p w14:paraId="25266C7F" w14:textId="08A52513" w:rsidR="00285DA9" w:rsidRPr="00762252" w:rsidRDefault="00285DA9" w:rsidP="00F67143">
      <w:pPr>
        <w:pStyle w:val="KeinLeerraum"/>
        <w:numPr>
          <w:ilvl w:val="0"/>
          <w:numId w:val="3"/>
        </w:numPr>
        <w:spacing w:line="276" w:lineRule="auto"/>
        <w:jc w:val="both"/>
        <w:rPr>
          <w:rFonts w:cs="Arial"/>
          <w:szCs w:val="22"/>
        </w:rPr>
      </w:pPr>
      <w:r w:rsidRPr="00762252">
        <w:rPr>
          <w:rFonts w:cs="Arial"/>
          <w:szCs w:val="22"/>
        </w:rPr>
        <w:t>Das derzeitige Gesetz über ein durch Drogenkonsum beeinträchtigtes Fahren unte</w:t>
      </w:r>
      <w:r w:rsidRPr="00762252">
        <w:rPr>
          <w:rFonts w:cs="Arial"/>
          <w:szCs w:val="22"/>
        </w:rPr>
        <w:t>r</w:t>
      </w:r>
      <w:r w:rsidRPr="00762252">
        <w:rPr>
          <w:rFonts w:cs="Arial"/>
          <w:szCs w:val="22"/>
        </w:rPr>
        <w:t>scheidet nicht zwischen dem Fahren unter Einfluss von Alkohol und dem Fahren unter Einfluss</w:t>
      </w:r>
      <w:r w:rsidR="00E74B19">
        <w:rPr>
          <w:rFonts w:cs="Arial"/>
          <w:szCs w:val="22"/>
        </w:rPr>
        <w:t xml:space="preserve"> </w:t>
      </w:r>
      <w:r w:rsidR="007C55FB">
        <w:rPr>
          <w:rFonts w:cs="Arial"/>
          <w:szCs w:val="22"/>
        </w:rPr>
        <w:t xml:space="preserve">anderer psycho-aktiver </w:t>
      </w:r>
      <w:r w:rsidR="00E74B19">
        <w:rPr>
          <w:rFonts w:cs="Arial"/>
          <w:szCs w:val="22"/>
        </w:rPr>
        <w:t xml:space="preserve"> </w:t>
      </w:r>
      <w:r w:rsidR="007C55FB">
        <w:rPr>
          <w:rFonts w:cs="Arial"/>
          <w:szCs w:val="22"/>
        </w:rPr>
        <w:t>Substanzen</w:t>
      </w:r>
      <w:r w:rsidR="00E74B19">
        <w:rPr>
          <w:rFonts w:cs="Arial"/>
          <w:szCs w:val="22"/>
        </w:rPr>
        <w:t xml:space="preserve"> (vgl. Ingold 2014 und</w:t>
      </w:r>
      <w:r w:rsidRPr="00762252">
        <w:rPr>
          <w:rFonts w:cs="Arial"/>
          <w:szCs w:val="22"/>
        </w:rPr>
        <w:t xml:space="preserve"> </w:t>
      </w:r>
      <w:r w:rsidR="007C55FB">
        <w:rPr>
          <w:rFonts w:cs="Arial"/>
          <w:szCs w:val="22"/>
        </w:rPr>
        <w:t>Reed, a. a. O.,</w:t>
      </w:r>
      <w:r w:rsidRPr="00762252">
        <w:rPr>
          <w:rFonts w:cs="Arial"/>
          <w:szCs w:val="22"/>
        </w:rPr>
        <w:t xml:space="preserve"> 2016, S. 27).</w:t>
      </w:r>
    </w:p>
    <w:p w14:paraId="4E1D040D" w14:textId="599969F4" w:rsidR="00285DA9" w:rsidRPr="00762252" w:rsidRDefault="00285DA9" w:rsidP="00F67143">
      <w:pPr>
        <w:pStyle w:val="KeinLeerraum"/>
        <w:numPr>
          <w:ilvl w:val="0"/>
          <w:numId w:val="3"/>
        </w:numPr>
        <w:spacing w:line="276" w:lineRule="auto"/>
        <w:jc w:val="both"/>
        <w:rPr>
          <w:rFonts w:cs="Georgia"/>
          <w:szCs w:val="22"/>
        </w:rPr>
      </w:pPr>
      <w:r w:rsidRPr="00762252">
        <w:rPr>
          <w:szCs w:val="22"/>
        </w:rPr>
        <w:t>Die bisher vorliegenden Daten zu DUI-Ermittlungen basieren keineswegs auf einheitl</w:t>
      </w:r>
      <w:r w:rsidRPr="00762252">
        <w:rPr>
          <w:szCs w:val="22"/>
        </w:rPr>
        <w:t>i</w:t>
      </w:r>
      <w:r w:rsidRPr="00762252">
        <w:rPr>
          <w:szCs w:val="22"/>
        </w:rPr>
        <w:t>chen Testroutinen: Obwohl auch für Colorado gese</w:t>
      </w:r>
      <w:r w:rsidR="00DB7D1D">
        <w:rPr>
          <w:szCs w:val="22"/>
        </w:rPr>
        <w:t>tzlich festgelegt ist, dass ab fünf</w:t>
      </w:r>
      <w:r w:rsidRPr="00762252">
        <w:rPr>
          <w:szCs w:val="22"/>
        </w:rPr>
        <w:t xml:space="preserve"> N</w:t>
      </w:r>
      <w:r w:rsidRPr="00762252">
        <w:rPr>
          <w:szCs w:val="22"/>
        </w:rPr>
        <w:t>a</w:t>
      </w:r>
      <w:r w:rsidRPr="00762252">
        <w:rPr>
          <w:szCs w:val="22"/>
        </w:rPr>
        <w:t>nogramm pro Milliliter Blut verkehrsrechtlich von einen positiven Test gesprochen we</w:t>
      </w:r>
      <w:r w:rsidRPr="00762252">
        <w:rPr>
          <w:szCs w:val="22"/>
        </w:rPr>
        <w:t>r</w:t>
      </w:r>
      <w:r w:rsidRPr="00762252">
        <w:rPr>
          <w:szCs w:val="22"/>
        </w:rPr>
        <w:t xml:space="preserve">den kann, lassen sich Hinweise dazu finden, dass Labore </w:t>
      </w:r>
      <w:r w:rsidRPr="00762252">
        <w:rPr>
          <w:rFonts w:cs="Georgia"/>
          <w:szCs w:val="22"/>
        </w:rPr>
        <w:t xml:space="preserve">Cut-Off-Werte von </w:t>
      </w:r>
      <w:r w:rsidR="00DB7D1D">
        <w:rPr>
          <w:rFonts w:cs="Georgia"/>
          <w:szCs w:val="22"/>
        </w:rPr>
        <w:t xml:space="preserve">zwei </w:t>
      </w:r>
      <w:r w:rsidRPr="00762252">
        <w:rPr>
          <w:rFonts w:cs="Georgia"/>
          <w:szCs w:val="22"/>
        </w:rPr>
        <w:t>Nan</w:t>
      </w:r>
      <w:r w:rsidRPr="00762252">
        <w:rPr>
          <w:rFonts w:cs="Georgia"/>
          <w:szCs w:val="22"/>
        </w:rPr>
        <w:t>o</w:t>
      </w:r>
      <w:r w:rsidRPr="00762252">
        <w:rPr>
          <w:rFonts w:cs="Georgia"/>
          <w:szCs w:val="22"/>
        </w:rPr>
        <w:t xml:space="preserve">gramm THC pro Milliliter Blut (vgl. </w:t>
      </w:r>
      <w:r w:rsidRPr="00762252">
        <w:rPr>
          <w:rFonts w:cs="Calibri"/>
          <w:szCs w:val="22"/>
        </w:rPr>
        <w:t>Urfer, Chematox Laboratory</w:t>
      </w:r>
      <w:r w:rsidRPr="00762252">
        <w:rPr>
          <w:rStyle w:val="Funotenzeichen"/>
          <w:rFonts w:cs="Calibri"/>
          <w:szCs w:val="22"/>
        </w:rPr>
        <w:footnoteReference w:id="45"/>
      </w:r>
      <w:r w:rsidRPr="00762252">
        <w:rPr>
          <w:rFonts w:cs="Calibri"/>
          <w:szCs w:val="22"/>
        </w:rPr>
        <w:t xml:space="preserve"> zit. in </w:t>
      </w:r>
      <w:r w:rsidR="007C55FB">
        <w:rPr>
          <w:rFonts w:cs="Calibri"/>
          <w:szCs w:val="22"/>
        </w:rPr>
        <w:t>Reed, a. a. O.,</w:t>
      </w:r>
      <w:r w:rsidRPr="00762252">
        <w:rPr>
          <w:rFonts w:cs="Calibri"/>
          <w:szCs w:val="22"/>
        </w:rPr>
        <w:t xml:space="preserve"> 2016, S. 30) </w:t>
      </w:r>
      <w:r w:rsidRPr="00762252">
        <w:rPr>
          <w:rFonts w:cs="Georgia"/>
          <w:szCs w:val="22"/>
        </w:rPr>
        <w:t>oder sogar den Nachweis von Can</w:t>
      </w:r>
      <w:r>
        <w:rPr>
          <w:rFonts w:cs="Georgia"/>
          <w:szCs w:val="22"/>
        </w:rPr>
        <w:t>nabinoid</w:t>
      </w:r>
      <w:r w:rsidRPr="00762252">
        <w:rPr>
          <w:rFonts w:cs="Georgia"/>
          <w:szCs w:val="22"/>
        </w:rPr>
        <w:t xml:space="preserve">-Metaboliten als positiven Test werten und diese in die Berichterstattung einbringen </w:t>
      </w:r>
      <w:r w:rsidRPr="00762252">
        <w:rPr>
          <w:szCs w:val="22"/>
        </w:rPr>
        <w:t xml:space="preserve">(vgl. </w:t>
      </w:r>
      <w:r w:rsidR="00E74B19">
        <w:rPr>
          <w:szCs w:val="22"/>
        </w:rPr>
        <w:t xml:space="preserve">u. a. </w:t>
      </w:r>
      <w:r w:rsidRPr="00762252">
        <w:rPr>
          <w:szCs w:val="22"/>
        </w:rPr>
        <w:t xml:space="preserve">Ingold 2014, </w:t>
      </w:r>
      <w:r w:rsidRPr="00762252">
        <w:rPr>
          <w:rFonts w:cs="SourceSansPro-Regular"/>
          <w:szCs w:val="22"/>
        </w:rPr>
        <w:t>Clarke, Ha</w:t>
      </w:r>
      <w:r w:rsidRPr="00762252">
        <w:rPr>
          <w:rFonts w:cs="SourceSansPro-Regular"/>
          <w:szCs w:val="22"/>
        </w:rPr>
        <w:t>r</w:t>
      </w:r>
      <w:r w:rsidRPr="00762252">
        <w:rPr>
          <w:rFonts w:cs="SourceSansPro-Regular"/>
          <w:szCs w:val="22"/>
        </w:rPr>
        <w:t>low, Wong 2016, S. 13</w:t>
      </w:r>
      <w:r w:rsidRPr="00762252">
        <w:rPr>
          <w:szCs w:val="22"/>
        </w:rPr>
        <w:t>)</w:t>
      </w:r>
      <w:r w:rsidRPr="00762252">
        <w:rPr>
          <w:rFonts w:cs="Georgia"/>
          <w:szCs w:val="22"/>
        </w:rPr>
        <w:t xml:space="preserve">. Wie hoch der Anteil der auf diese Weise </w:t>
      </w:r>
      <w:r w:rsidR="00DB7D1D">
        <w:rPr>
          <w:rFonts w:cs="Georgia"/>
          <w:szCs w:val="22"/>
        </w:rPr>
        <w:t>deklarierten</w:t>
      </w:r>
      <w:r w:rsidRPr="00762252">
        <w:rPr>
          <w:rFonts w:cs="Georgia"/>
          <w:szCs w:val="22"/>
        </w:rPr>
        <w:t xml:space="preserve"> positiven Tests ist, ist unklar (vgl. </w:t>
      </w:r>
      <w:r w:rsidR="007C55FB">
        <w:rPr>
          <w:rFonts w:cs="Georgia"/>
          <w:szCs w:val="22"/>
        </w:rPr>
        <w:t>Reed, a. a. O.,</w:t>
      </w:r>
      <w:r w:rsidRPr="00762252">
        <w:rPr>
          <w:rFonts w:cs="Georgia"/>
          <w:szCs w:val="22"/>
        </w:rPr>
        <w:t xml:space="preserve"> 2016, S. 31).</w:t>
      </w:r>
    </w:p>
    <w:p w14:paraId="4A313E3D" w14:textId="77777777" w:rsidR="00285DA9" w:rsidRPr="00762252" w:rsidRDefault="00285DA9" w:rsidP="00F67143">
      <w:pPr>
        <w:pStyle w:val="KeinLeerraum"/>
        <w:numPr>
          <w:ilvl w:val="0"/>
          <w:numId w:val="3"/>
        </w:numPr>
        <w:spacing w:line="276" w:lineRule="auto"/>
        <w:jc w:val="both"/>
        <w:rPr>
          <w:szCs w:val="22"/>
        </w:rPr>
      </w:pPr>
      <w:r w:rsidRPr="00762252">
        <w:rPr>
          <w:szCs w:val="22"/>
        </w:rPr>
        <w:t>Die durchgeführten toxikologischen DUI-Tests sind keine Volltestungen, sondern sind aus Kostengründen begrenzt auf drei Drogen. Entsprechend der Verbreitung des Dr</w:t>
      </w:r>
      <w:r w:rsidRPr="00762252">
        <w:rPr>
          <w:szCs w:val="22"/>
        </w:rPr>
        <w:t>o</w:t>
      </w:r>
      <w:r w:rsidRPr="00762252">
        <w:rPr>
          <w:szCs w:val="22"/>
        </w:rPr>
        <w:t>genkonsums in der allgemeinen Bevölkerung wird in Regel zunächst immer auf Alkohol getestet. Erst w</w:t>
      </w:r>
      <w:r>
        <w:rPr>
          <w:szCs w:val="22"/>
        </w:rPr>
        <w:t>enn sich im Blut weniger als 0,05</w:t>
      </w:r>
      <w:r w:rsidRPr="00762252">
        <w:rPr>
          <w:szCs w:val="22"/>
        </w:rPr>
        <w:t xml:space="preserve"> Promille nachweisen lassen, wird als nächstes auf Marihuana und bei entsprechend negativen Tests danach auf weitere Dr</w:t>
      </w:r>
      <w:r w:rsidRPr="00762252">
        <w:rPr>
          <w:szCs w:val="22"/>
        </w:rPr>
        <w:t>o</w:t>
      </w:r>
      <w:r w:rsidRPr="00762252">
        <w:rPr>
          <w:szCs w:val="22"/>
        </w:rPr>
        <w:t>gen getestet. Insofern bilden diese Testroutinen nur einen Ausschnitt aus einem G</w:t>
      </w:r>
      <w:r w:rsidRPr="00762252">
        <w:rPr>
          <w:szCs w:val="22"/>
        </w:rPr>
        <w:t>e</w:t>
      </w:r>
      <w:r w:rsidRPr="00762252">
        <w:rPr>
          <w:szCs w:val="22"/>
        </w:rPr>
        <w:t>samtbild ab, der zudem durch die gesetzten Testschwerpunkte verschoben ist.</w:t>
      </w:r>
    </w:p>
    <w:p w14:paraId="5E2D89FE" w14:textId="78226EB9" w:rsidR="00285DA9" w:rsidRPr="00762252" w:rsidRDefault="00602EFD" w:rsidP="00F67143">
      <w:pPr>
        <w:pStyle w:val="KeinLeerraum"/>
        <w:numPr>
          <w:ilvl w:val="0"/>
          <w:numId w:val="3"/>
        </w:numPr>
        <w:spacing w:line="276" w:lineRule="auto"/>
        <w:jc w:val="both"/>
        <w:rPr>
          <w:rFonts w:cs="Arial"/>
          <w:szCs w:val="22"/>
        </w:rPr>
      </w:pPr>
      <w:r>
        <w:rPr>
          <w:rFonts w:cs="Georgia"/>
          <w:szCs w:val="22"/>
        </w:rPr>
        <w:t>Auch in Colorado</w:t>
      </w:r>
      <w:r w:rsidR="00285DA9">
        <w:rPr>
          <w:rFonts w:cs="Georgia"/>
          <w:szCs w:val="22"/>
        </w:rPr>
        <w:t xml:space="preserve"> </w:t>
      </w:r>
      <w:r w:rsidR="00285DA9" w:rsidRPr="00762252">
        <w:rPr>
          <w:rFonts w:cs="Georgia"/>
          <w:szCs w:val="22"/>
        </w:rPr>
        <w:t xml:space="preserve">referieren </w:t>
      </w:r>
      <w:r w:rsidR="00285DA9">
        <w:rPr>
          <w:rFonts w:cs="Georgia"/>
          <w:szCs w:val="22"/>
        </w:rPr>
        <w:t>d</w:t>
      </w:r>
      <w:r w:rsidR="00285DA9" w:rsidRPr="00762252">
        <w:rPr>
          <w:rFonts w:cs="Georgia"/>
          <w:szCs w:val="22"/>
        </w:rPr>
        <w:t xml:space="preserve">ie vorliegenden Daten in der Mehrheit Ergebnisse </w:t>
      </w:r>
      <w:r w:rsidR="00285DA9">
        <w:rPr>
          <w:rFonts w:cs="Georgia"/>
          <w:szCs w:val="22"/>
        </w:rPr>
        <w:t>der</w:t>
      </w:r>
      <w:r w:rsidR="00285DA9" w:rsidRPr="00762252">
        <w:rPr>
          <w:rFonts w:cs="Georgia"/>
          <w:szCs w:val="22"/>
        </w:rPr>
        <w:t xml:space="preserve"> Blu</w:t>
      </w:r>
      <w:r w:rsidR="00285DA9" w:rsidRPr="00762252">
        <w:rPr>
          <w:rFonts w:cs="Georgia"/>
          <w:szCs w:val="22"/>
        </w:rPr>
        <w:t>t</w:t>
      </w:r>
      <w:r w:rsidR="00285DA9" w:rsidRPr="00762252">
        <w:rPr>
          <w:rFonts w:cs="Georgia"/>
          <w:szCs w:val="22"/>
        </w:rPr>
        <w:t xml:space="preserve">tests von Fahrern, die während eines Verkehrsunfalls getötet wurden. Aussagen zu den </w:t>
      </w:r>
      <w:r w:rsidR="00285DA9" w:rsidRPr="00762252">
        <w:rPr>
          <w:rFonts w:cs="Arial"/>
          <w:szCs w:val="22"/>
        </w:rPr>
        <w:t xml:space="preserve">Überlebenden </w:t>
      </w:r>
      <w:r w:rsidR="00DB7D1D">
        <w:rPr>
          <w:rFonts w:cs="Arial"/>
          <w:szCs w:val="22"/>
        </w:rPr>
        <w:t>eines</w:t>
      </w:r>
      <w:r w:rsidR="00285DA9" w:rsidRPr="00762252">
        <w:rPr>
          <w:rFonts w:cs="Arial"/>
          <w:szCs w:val="22"/>
        </w:rPr>
        <w:t xml:space="preserve"> Unfalls mit Todesfolge </w:t>
      </w:r>
      <w:r w:rsidR="00285DA9">
        <w:rPr>
          <w:rFonts w:cs="Arial"/>
          <w:szCs w:val="22"/>
        </w:rPr>
        <w:t xml:space="preserve">lassen sich deshalb </w:t>
      </w:r>
      <w:r w:rsidR="004F581D">
        <w:rPr>
          <w:rFonts w:cs="Arial"/>
          <w:szCs w:val="22"/>
        </w:rPr>
        <w:t>kaum</w:t>
      </w:r>
      <w:r w:rsidR="00285DA9">
        <w:rPr>
          <w:rFonts w:cs="Arial"/>
          <w:szCs w:val="22"/>
        </w:rPr>
        <w:t xml:space="preserve"> finden. </w:t>
      </w:r>
    </w:p>
    <w:p w14:paraId="1B0F8749" w14:textId="77777777" w:rsidR="00D67419" w:rsidRDefault="00285DA9" w:rsidP="00D67419">
      <w:pPr>
        <w:pStyle w:val="KeinLeerraum"/>
        <w:numPr>
          <w:ilvl w:val="0"/>
          <w:numId w:val="3"/>
        </w:numPr>
        <w:spacing w:line="276" w:lineRule="auto"/>
        <w:jc w:val="both"/>
        <w:rPr>
          <w:rFonts w:cs="Georgia"/>
          <w:szCs w:val="22"/>
        </w:rPr>
      </w:pPr>
      <w:r w:rsidRPr="00762252">
        <w:rPr>
          <w:rFonts w:cs="Arial"/>
          <w:szCs w:val="22"/>
        </w:rPr>
        <w:t xml:space="preserve">Ob die ermittelten positiven Tests mit den Unfallursachen in einen Zusammenhang zu bringen sind, ob beispielsweise die positiv getesteten Personen überhaupt </w:t>
      </w:r>
      <w:r w:rsidR="004F581D">
        <w:rPr>
          <w:rFonts w:cs="Arial"/>
          <w:szCs w:val="22"/>
        </w:rPr>
        <w:t xml:space="preserve">den </w:t>
      </w:r>
      <w:r w:rsidRPr="00762252">
        <w:rPr>
          <w:rFonts w:cs="Arial"/>
          <w:szCs w:val="22"/>
        </w:rPr>
        <w:t>Unfall</w:t>
      </w:r>
      <w:r w:rsidR="004F581D">
        <w:rPr>
          <w:rFonts w:cs="Arial"/>
          <w:szCs w:val="22"/>
        </w:rPr>
        <w:t xml:space="preserve"> </w:t>
      </w:r>
      <w:r w:rsidRPr="00762252">
        <w:rPr>
          <w:rFonts w:cs="Arial"/>
          <w:szCs w:val="22"/>
        </w:rPr>
        <w:t>verur</w:t>
      </w:r>
      <w:r w:rsidR="00E74B19">
        <w:rPr>
          <w:rFonts w:cs="Arial"/>
          <w:szCs w:val="22"/>
        </w:rPr>
        <w:t>sacht haben</w:t>
      </w:r>
      <w:r w:rsidR="004F581D">
        <w:rPr>
          <w:rFonts w:cs="Arial"/>
          <w:szCs w:val="22"/>
        </w:rPr>
        <w:t>,</w:t>
      </w:r>
      <w:r w:rsidRPr="00762252">
        <w:rPr>
          <w:rFonts w:cs="Arial"/>
          <w:szCs w:val="22"/>
        </w:rPr>
        <w:t xml:space="preserve"> lässt sich aus den zugänglichen Daten nicht ermitteln. </w:t>
      </w:r>
    </w:p>
    <w:p w14:paraId="54FDDC7E" w14:textId="48ACA67B" w:rsidR="00602EFD" w:rsidRDefault="00115373" w:rsidP="00602EFD">
      <w:pPr>
        <w:pStyle w:val="KeinLeerraum"/>
        <w:numPr>
          <w:ilvl w:val="0"/>
          <w:numId w:val="3"/>
        </w:numPr>
        <w:spacing w:line="276" w:lineRule="auto"/>
        <w:jc w:val="both"/>
        <w:rPr>
          <w:rFonts w:cs="Georgia"/>
          <w:szCs w:val="22"/>
        </w:rPr>
      </w:pPr>
      <w:r w:rsidRPr="00D67419">
        <w:rPr>
          <w:rFonts w:cs="Georgia"/>
          <w:szCs w:val="22"/>
        </w:rPr>
        <w:t xml:space="preserve">Für Colorado gilt, dass die Polizei (Law Enforcement Officers) auch schon vor dem </w:t>
      </w:r>
      <w:r w:rsidR="00D01097" w:rsidRPr="00D67419">
        <w:rPr>
          <w:rFonts w:cs="Georgia"/>
          <w:szCs w:val="22"/>
        </w:rPr>
        <w:t>Reg</w:t>
      </w:r>
      <w:r w:rsidR="00D01097" w:rsidRPr="00D67419">
        <w:rPr>
          <w:rFonts w:cs="Georgia"/>
          <w:szCs w:val="22"/>
        </w:rPr>
        <w:t>u</w:t>
      </w:r>
      <w:r w:rsidR="00D01097" w:rsidRPr="00D67419">
        <w:rPr>
          <w:rFonts w:cs="Georgia"/>
          <w:szCs w:val="22"/>
        </w:rPr>
        <w:t>lierung</w:t>
      </w:r>
      <w:r w:rsidRPr="00D67419">
        <w:rPr>
          <w:rFonts w:cs="Georgia"/>
          <w:szCs w:val="22"/>
        </w:rPr>
        <w:t xml:space="preserve">sgesetz ausgebildet wurde, Beeinträchtigungen durch Drogen </w:t>
      </w:r>
      <w:r w:rsidR="00E74B19" w:rsidRPr="00D67419">
        <w:rPr>
          <w:rFonts w:cs="Georgia"/>
          <w:szCs w:val="22"/>
        </w:rPr>
        <w:t xml:space="preserve">zu erkennen. Nach der Annahme </w:t>
      </w:r>
      <w:r w:rsidRPr="00D67419">
        <w:rPr>
          <w:rFonts w:cs="Georgia"/>
          <w:szCs w:val="22"/>
        </w:rPr>
        <w:t xml:space="preserve">dieses Gesetzes wurde die Zahl derjenigen, die eine spezielle Ausbildung erhalten haben (Advanced Roadside Impaired Driving Enforcement: ARIDE) bzw. die als Drug Recognition Experts (DRE) spezialisiert sind, deutlich erhöht: Waren es 2012 noch 129 Drug Recognition Experts (DRE), arbeiteten im November </w:t>
      </w:r>
      <w:r w:rsidR="00E74B19" w:rsidRPr="00D67419">
        <w:rPr>
          <w:rFonts w:cs="Georgia"/>
          <w:szCs w:val="22"/>
        </w:rPr>
        <w:t>2015 bereits 238 Polizi</w:t>
      </w:r>
      <w:r w:rsidR="00E74B19" w:rsidRPr="00D67419">
        <w:rPr>
          <w:rFonts w:cs="Georgia"/>
          <w:szCs w:val="22"/>
        </w:rPr>
        <w:t>s</w:t>
      </w:r>
      <w:r w:rsidR="00E74B19" w:rsidRPr="00D67419">
        <w:rPr>
          <w:rFonts w:cs="Georgia"/>
          <w:szCs w:val="22"/>
        </w:rPr>
        <w:t xml:space="preserve">ten in </w:t>
      </w:r>
      <w:r w:rsidRPr="00D67419">
        <w:rPr>
          <w:rFonts w:cs="Georgia"/>
          <w:szCs w:val="22"/>
        </w:rPr>
        <w:t>dieser Funktion (vgl. Reen 2016, S. 29)</w:t>
      </w:r>
      <w:r w:rsidRPr="00762252">
        <w:rPr>
          <w:rStyle w:val="Funotenzeichen"/>
          <w:rFonts w:cs="Georgia"/>
          <w:szCs w:val="22"/>
        </w:rPr>
        <w:footnoteReference w:id="46"/>
      </w:r>
      <w:r w:rsidR="00E74B19" w:rsidRPr="00D67419">
        <w:rPr>
          <w:rFonts w:cs="Georgia"/>
          <w:szCs w:val="22"/>
        </w:rPr>
        <w:t xml:space="preserve">. </w:t>
      </w:r>
      <w:r w:rsidRPr="00D67419">
        <w:rPr>
          <w:rFonts w:cs="Georgia"/>
          <w:szCs w:val="22"/>
        </w:rPr>
        <w:t>Zusätzlich dazu wurden</w:t>
      </w:r>
      <w:r w:rsidR="001E7306" w:rsidRPr="00D67419">
        <w:rPr>
          <w:rFonts w:cs="Georgia"/>
          <w:szCs w:val="22"/>
        </w:rPr>
        <w:t xml:space="preserve"> hunderte Pol</w:t>
      </w:r>
      <w:r w:rsidR="001E7306" w:rsidRPr="00D67419">
        <w:rPr>
          <w:rFonts w:cs="Georgia"/>
          <w:szCs w:val="22"/>
        </w:rPr>
        <w:t>i</w:t>
      </w:r>
      <w:r w:rsidR="00602EFD">
        <w:rPr>
          <w:rFonts w:cs="Georgia"/>
          <w:szCs w:val="22"/>
        </w:rPr>
        <w:t>zisten ARIDE-weitergebildet: I</w:t>
      </w:r>
      <w:r w:rsidR="00602EFD" w:rsidRPr="004F581D">
        <w:rPr>
          <w:rFonts w:cs="Georgia"/>
          <w:szCs w:val="22"/>
        </w:rPr>
        <w:t xml:space="preserve">m Jahr 2015 </w:t>
      </w:r>
      <w:r w:rsidR="00602EFD">
        <w:rPr>
          <w:rFonts w:cs="Georgia"/>
          <w:szCs w:val="22"/>
        </w:rPr>
        <w:t>a</w:t>
      </w:r>
      <w:r w:rsidR="00602EFD" w:rsidRPr="004F581D">
        <w:rPr>
          <w:rFonts w:cs="Georgia"/>
          <w:szCs w:val="22"/>
        </w:rPr>
        <w:t xml:space="preserve">llein </w:t>
      </w:r>
      <w:r w:rsidR="00602EFD" w:rsidRPr="004F581D">
        <w:rPr>
          <w:rFonts w:cs="Calibri"/>
          <w:szCs w:val="22"/>
        </w:rPr>
        <w:t xml:space="preserve">562 Personen (vgl. </w:t>
      </w:r>
      <w:r w:rsidR="007C55FB">
        <w:rPr>
          <w:rFonts w:cs="Calibri"/>
          <w:szCs w:val="22"/>
        </w:rPr>
        <w:t>Reed, a. a. O.,</w:t>
      </w:r>
      <w:r w:rsidR="00602EFD" w:rsidRPr="004F581D">
        <w:rPr>
          <w:rFonts w:cs="Calibri"/>
          <w:szCs w:val="22"/>
        </w:rPr>
        <w:t xml:space="preserve"> 2016, S. 32)(vgl. Abbildung 28). </w:t>
      </w:r>
      <w:r w:rsidR="00602EFD" w:rsidRPr="004F581D">
        <w:rPr>
          <w:rFonts w:cs="Georgia"/>
          <w:szCs w:val="22"/>
        </w:rPr>
        <w:t>Dies führte ohne Zweifel bezogen auf DUI-Delikte zu einer h</w:t>
      </w:r>
      <w:r w:rsidR="00602EFD" w:rsidRPr="004F581D">
        <w:rPr>
          <w:rFonts w:cs="Georgia"/>
          <w:szCs w:val="22"/>
        </w:rPr>
        <w:t>ö</w:t>
      </w:r>
      <w:r w:rsidR="00602EFD" w:rsidRPr="004F581D">
        <w:rPr>
          <w:rFonts w:cs="Georgia"/>
          <w:szCs w:val="22"/>
        </w:rPr>
        <w:t xml:space="preserve">heren Kontrollintensität. </w:t>
      </w:r>
      <w:r w:rsidR="00602EFD" w:rsidRPr="004F581D">
        <w:rPr>
          <w:rFonts w:cs="Georgia"/>
          <w:noProof/>
          <w:szCs w:val="22"/>
        </w:rPr>
        <w:t xml:space="preserve"> </w:t>
      </w:r>
    </w:p>
    <w:p w14:paraId="678D13CD" w14:textId="77777777" w:rsidR="00602EFD" w:rsidRPr="004F581D" w:rsidRDefault="00602EFD" w:rsidP="00602EFD">
      <w:pPr>
        <w:pStyle w:val="KeinLeerraum"/>
        <w:spacing w:line="276" w:lineRule="auto"/>
        <w:ind w:left="720"/>
        <w:jc w:val="both"/>
        <w:rPr>
          <w:rFonts w:cs="Georgia"/>
          <w:szCs w:val="22"/>
        </w:rPr>
      </w:pPr>
    </w:p>
    <w:p w14:paraId="43131674" w14:textId="6E6192F5" w:rsidR="00115373" w:rsidRPr="00D67419" w:rsidRDefault="00115373" w:rsidP="00602EFD">
      <w:pPr>
        <w:pStyle w:val="KeinLeerraum"/>
        <w:spacing w:line="276" w:lineRule="auto"/>
        <w:ind w:left="720" w:hanging="720"/>
        <w:rPr>
          <w:rFonts w:cs="Georgia"/>
          <w:szCs w:val="22"/>
        </w:rPr>
      </w:pPr>
      <w:r>
        <w:rPr>
          <w:rFonts w:cs="Georgia"/>
          <w:noProof/>
          <w:szCs w:val="22"/>
        </w:rPr>
        <w:drawing>
          <wp:inline distT="0" distB="0" distL="0" distR="0" wp14:anchorId="25114676" wp14:editId="1FD97EC3">
            <wp:extent cx="5756910" cy="3687445"/>
            <wp:effectExtent l="25400" t="25400" r="34290" b="2095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14 um 20.27.47.png"/>
                    <pic:cNvPicPr/>
                  </pic:nvPicPr>
                  <pic:blipFill>
                    <a:blip r:embed="rId92">
                      <a:extLst>
                        <a:ext uri="{28A0092B-C50C-407E-A947-70E740481C1C}">
                          <a14:useLocalDpi xmlns:a14="http://schemas.microsoft.com/office/drawing/2010/main" val="0"/>
                        </a:ext>
                      </a:extLst>
                    </a:blip>
                    <a:stretch>
                      <a:fillRect/>
                    </a:stretch>
                  </pic:blipFill>
                  <pic:spPr>
                    <a:xfrm>
                      <a:off x="0" y="0"/>
                      <a:ext cx="5756910" cy="3687445"/>
                    </a:xfrm>
                    <a:prstGeom prst="rect">
                      <a:avLst/>
                    </a:prstGeom>
                    <a:ln>
                      <a:solidFill>
                        <a:srgbClr val="000000"/>
                      </a:solidFill>
                    </a:ln>
                  </pic:spPr>
                </pic:pic>
              </a:graphicData>
            </a:graphic>
          </wp:inline>
        </w:drawing>
      </w:r>
    </w:p>
    <w:p w14:paraId="5EA83FCC" w14:textId="78A6B73B" w:rsidR="004F581D" w:rsidRPr="00762252" w:rsidRDefault="00115373" w:rsidP="00115373">
      <w:pPr>
        <w:pStyle w:val="Beschriftung"/>
        <w:jc w:val="both"/>
        <w:rPr>
          <w:rFonts w:cs="Georgia"/>
          <w:szCs w:val="22"/>
        </w:rPr>
      </w:pPr>
      <w:r>
        <w:t xml:space="preserve">Abbildung </w:t>
      </w:r>
      <w:fldSimple w:instr=" SEQ Abbildung \* ARABIC ">
        <w:r w:rsidR="00B86830">
          <w:rPr>
            <w:noProof/>
          </w:rPr>
          <w:t>28</w:t>
        </w:r>
      </w:fldSimple>
      <w:r>
        <w:t>: Entwicklung des drogenbezogenen Ausbildungsstandes unter Polizisten Colorados (</w:t>
      </w:r>
      <w:r w:rsidR="007C55FB">
        <w:t>Reed, a. a. O.,</w:t>
      </w:r>
      <w:r>
        <w:t>, S. 33)</w:t>
      </w:r>
    </w:p>
    <w:p w14:paraId="1009DFD3" w14:textId="6DE5F9E0" w:rsidR="00285DA9" w:rsidRPr="00762252" w:rsidRDefault="00285DA9" w:rsidP="00F67143">
      <w:pPr>
        <w:pStyle w:val="KeinLeerraum"/>
        <w:numPr>
          <w:ilvl w:val="0"/>
          <w:numId w:val="3"/>
        </w:numPr>
        <w:spacing w:line="276" w:lineRule="auto"/>
        <w:jc w:val="both"/>
        <w:rPr>
          <w:rFonts w:cs="Georgia"/>
          <w:szCs w:val="22"/>
        </w:rPr>
      </w:pPr>
      <w:r w:rsidRPr="00762252">
        <w:rPr>
          <w:rFonts w:cs="Georgia"/>
          <w:szCs w:val="22"/>
        </w:rPr>
        <w:t xml:space="preserve">Mit Hilfe </w:t>
      </w:r>
      <w:r>
        <w:rPr>
          <w:rFonts w:cs="Georgia"/>
          <w:szCs w:val="22"/>
        </w:rPr>
        <w:t>von</w:t>
      </w:r>
      <w:r w:rsidRPr="00762252">
        <w:rPr>
          <w:rFonts w:cs="Georgia"/>
          <w:szCs w:val="22"/>
        </w:rPr>
        <w:t xml:space="preserve"> Steuergelder aus der </w:t>
      </w:r>
      <w:r w:rsidR="00D01097">
        <w:rPr>
          <w:rFonts w:cs="Georgia"/>
          <w:szCs w:val="22"/>
        </w:rPr>
        <w:t>Regulierung</w:t>
      </w:r>
      <w:r w:rsidRPr="00762252">
        <w:rPr>
          <w:rFonts w:cs="Georgia"/>
          <w:szCs w:val="22"/>
        </w:rPr>
        <w:t xml:space="preserve"> wurde, anders als im Bundesstaat Washington, die Polizei in Colorado auch mit Geräten für einen Schnelltest ausgestattet, durch die noch auf der Straße ein Anfangsverdacht auf ein DUI-Delikt festgestellt werden kann. Jeder Verkehrsteilnehmer, der während einer Verkehrskontrolle zu einer Testung aufgefordert wird, hat dieser Aufforderung nachzukommen, ansonsten drohen harte Strafen. Wie diese Roadside-Tests vorgenommen und dokumentiert werden</w:t>
      </w:r>
      <w:r w:rsidR="00DB7D1D">
        <w:rPr>
          <w:rFonts w:cs="Georgia"/>
          <w:szCs w:val="22"/>
        </w:rPr>
        <w:t>, welche Hinweise einen Test rechtfertigen</w:t>
      </w:r>
      <w:r w:rsidRPr="00762252">
        <w:rPr>
          <w:rFonts w:cs="Georgia"/>
          <w:szCs w:val="22"/>
        </w:rPr>
        <w:t xml:space="preserve"> und welche Strafen für das Auffinden von Hinweisen auf einen Marihuana</w:t>
      </w:r>
      <w:r w:rsidR="00DB7D1D">
        <w:rPr>
          <w:rFonts w:cs="Georgia"/>
          <w:szCs w:val="22"/>
        </w:rPr>
        <w:t>-K</w:t>
      </w:r>
      <w:r w:rsidRPr="00762252">
        <w:rPr>
          <w:rFonts w:cs="Georgia"/>
          <w:szCs w:val="22"/>
        </w:rPr>
        <w:t>onsum bei Roadside-Tests aus</w:t>
      </w:r>
      <w:r w:rsidR="00DB7D1D">
        <w:rPr>
          <w:rFonts w:cs="Georgia"/>
          <w:szCs w:val="22"/>
        </w:rPr>
        <w:t xml:space="preserve">gesprochen werden, ist unklar. </w:t>
      </w:r>
      <w:r w:rsidRPr="00762252">
        <w:rPr>
          <w:rFonts w:cs="Georgia"/>
          <w:szCs w:val="22"/>
        </w:rPr>
        <w:t>Es lassen sich Berichte finden, nach denen im Jahr 2014 mehr als 5</w:t>
      </w:r>
      <w:r w:rsidR="00F9563E">
        <w:rPr>
          <w:rFonts w:cs="Georgia"/>
          <w:szCs w:val="22"/>
        </w:rPr>
        <w:t>.</w:t>
      </w:r>
      <w:r w:rsidRPr="00762252">
        <w:rPr>
          <w:rFonts w:cs="Georgia"/>
          <w:szCs w:val="22"/>
        </w:rPr>
        <w:t>500 Ordnungsstrafen (Tickets) für das Fahren unter Alkohol und anderen Drogen ausgesprochen wurden, d</w:t>
      </w:r>
      <w:r w:rsidRPr="00762252">
        <w:rPr>
          <w:rFonts w:cs="Georgia"/>
          <w:szCs w:val="22"/>
        </w:rPr>
        <w:t>a</w:t>
      </w:r>
      <w:r w:rsidRPr="00762252">
        <w:rPr>
          <w:rFonts w:cs="Georgia"/>
          <w:szCs w:val="22"/>
        </w:rPr>
        <w:t xml:space="preserve">runter 354 </w:t>
      </w:r>
      <w:r>
        <w:rPr>
          <w:rFonts w:cs="Georgia"/>
          <w:szCs w:val="22"/>
        </w:rPr>
        <w:t xml:space="preserve">Strafen </w:t>
      </w:r>
      <w:r w:rsidRPr="00762252">
        <w:rPr>
          <w:rFonts w:cs="Georgia"/>
          <w:szCs w:val="22"/>
        </w:rPr>
        <w:t>für Fahrer, die nur Marihuana konsumiert hatten</w:t>
      </w:r>
      <w:r>
        <w:rPr>
          <w:rFonts w:cs="Georgia"/>
          <w:szCs w:val="22"/>
        </w:rPr>
        <w:t xml:space="preserve">. Dies </w:t>
      </w:r>
      <w:r w:rsidRPr="00762252">
        <w:rPr>
          <w:rFonts w:cs="Georgia"/>
          <w:szCs w:val="22"/>
        </w:rPr>
        <w:t>entspricht e</w:t>
      </w:r>
      <w:r w:rsidRPr="00762252">
        <w:rPr>
          <w:rFonts w:cs="Georgia"/>
          <w:szCs w:val="22"/>
        </w:rPr>
        <w:t>i</w:t>
      </w:r>
      <w:r w:rsidRPr="00762252">
        <w:rPr>
          <w:rFonts w:cs="Georgia"/>
          <w:szCs w:val="22"/>
        </w:rPr>
        <w:t xml:space="preserve">nem Anteil von 6,4 % an der Gesamtzahl der Testungen (vgl. Cloos 2015). </w:t>
      </w:r>
    </w:p>
    <w:p w14:paraId="65DC6037" w14:textId="071C1EB1" w:rsidR="00285DA9" w:rsidRPr="00762252" w:rsidRDefault="00285DA9" w:rsidP="00F67143">
      <w:pPr>
        <w:pStyle w:val="KeinLeerraum"/>
        <w:numPr>
          <w:ilvl w:val="0"/>
          <w:numId w:val="3"/>
        </w:numPr>
        <w:spacing w:line="276" w:lineRule="auto"/>
        <w:jc w:val="both"/>
        <w:rPr>
          <w:rFonts w:cs="Georgia"/>
          <w:szCs w:val="22"/>
        </w:rPr>
      </w:pPr>
      <w:r w:rsidRPr="00762252">
        <w:rPr>
          <w:rFonts w:cs="Georgia"/>
          <w:szCs w:val="22"/>
        </w:rPr>
        <w:t>Es gilt in Colorado prinzipiell, dass nach einem Anfangsverdacht erst ein Bluttest Auss</w:t>
      </w:r>
      <w:r w:rsidRPr="00762252">
        <w:rPr>
          <w:rFonts w:cs="Georgia"/>
          <w:szCs w:val="22"/>
        </w:rPr>
        <w:t>a</w:t>
      </w:r>
      <w:r w:rsidRPr="00762252">
        <w:rPr>
          <w:rFonts w:cs="Georgia"/>
          <w:szCs w:val="22"/>
        </w:rPr>
        <w:t>gen erbringt, die zu einer Anklage führen können. In diesem Fall muss zunächst ein Haf</w:t>
      </w:r>
      <w:r w:rsidRPr="00762252">
        <w:rPr>
          <w:rFonts w:cs="Georgia"/>
          <w:szCs w:val="22"/>
        </w:rPr>
        <w:t>t</w:t>
      </w:r>
      <w:r w:rsidRPr="00762252">
        <w:rPr>
          <w:rFonts w:cs="Georgia"/>
          <w:szCs w:val="22"/>
        </w:rPr>
        <w:t>befehl vorgelegt werden, mit dem der Verdächtige zu einer autorisierte</w:t>
      </w:r>
      <w:r w:rsidR="00602EFD">
        <w:rPr>
          <w:rFonts w:cs="Georgia"/>
          <w:szCs w:val="22"/>
        </w:rPr>
        <w:t>n medizinischen Blutentnahme ge</w:t>
      </w:r>
      <w:r w:rsidRPr="00762252">
        <w:rPr>
          <w:rFonts w:cs="Georgia"/>
          <w:szCs w:val="22"/>
        </w:rPr>
        <w:t>bracht werden kann. Eine Anklage folgt, wenn der Blutwert 5 ng/ml übersteigt</w:t>
      </w:r>
      <w:r w:rsidR="00602EFD">
        <w:rPr>
          <w:rFonts w:cs="Georgia"/>
          <w:szCs w:val="22"/>
        </w:rPr>
        <w:t xml:space="preserve">. In Anbetracht der Tatsache, dass </w:t>
      </w:r>
      <w:r>
        <w:rPr>
          <w:rFonts w:cs="Georgia"/>
          <w:szCs w:val="22"/>
        </w:rPr>
        <w:t>in der ersten Stunde</w:t>
      </w:r>
      <w:r w:rsidR="00602EFD">
        <w:rPr>
          <w:rFonts w:cs="Georgia"/>
          <w:szCs w:val="22"/>
        </w:rPr>
        <w:t xml:space="preserve"> nach ein</w:t>
      </w:r>
      <w:r w:rsidRPr="00762252">
        <w:rPr>
          <w:rFonts w:cs="Georgia"/>
          <w:szCs w:val="22"/>
        </w:rPr>
        <w:t xml:space="preserve">em </w:t>
      </w:r>
      <w:r w:rsidR="00602EFD" w:rsidRPr="00762252">
        <w:rPr>
          <w:rFonts w:cs="Georgia"/>
          <w:szCs w:val="22"/>
        </w:rPr>
        <w:t>Marihua</w:t>
      </w:r>
      <w:r w:rsidR="00602EFD">
        <w:rPr>
          <w:rFonts w:cs="Georgia"/>
          <w:szCs w:val="22"/>
        </w:rPr>
        <w:t>na-K</w:t>
      </w:r>
      <w:r w:rsidRPr="00762252">
        <w:rPr>
          <w:rFonts w:cs="Georgia"/>
          <w:szCs w:val="22"/>
        </w:rPr>
        <w:t xml:space="preserve">onsum die Blutwerte besonders rasch sinken, </w:t>
      </w:r>
      <w:r w:rsidR="00602EFD">
        <w:rPr>
          <w:rFonts w:cs="Georgia"/>
          <w:szCs w:val="22"/>
        </w:rPr>
        <w:t>belegen</w:t>
      </w:r>
      <w:r w:rsidRPr="00762252">
        <w:rPr>
          <w:rFonts w:cs="Georgia"/>
          <w:szCs w:val="22"/>
        </w:rPr>
        <w:t xml:space="preserve"> die </w:t>
      </w:r>
      <w:r w:rsidR="00602EFD">
        <w:rPr>
          <w:rFonts w:cs="Georgia"/>
          <w:szCs w:val="22"/>
        </w:rPr>
        <w:t xml:space="preserve">dann </w:t>
      </w:r>
      <w:r w:rsidRPr="00762252">
        <w:rPr>
          <w:rFonts w:cs="Georgia"/>
          <w:szCs w:val="22"/>
        </w:rPr>
        <w:t xml:space="preserve">ermittelten Werte in der Regel </w:t>
      </w:r>
      <w:r w:rsidR="00602EFD">
        <w:rPr>
          <w:rFonts w:cs="Georgia"/>
          <w:szCs w:val="22"/>
        </w:rPr>
        <w:t>DUI-Fälle nicht mehr ausreichend</w:t>
      </w:r>
      <w:r w:rsidRPr="00762252">
        <w:rPr>
          <w:rFonts w:cs="Georgia"/>
          <w:szCs w:val="22"/>
        </w:rPr>
        <w:t xml:space="preserve"> (vgl. </w:t>
      </w:r>
      <w:r w:rsidR="007C55FB">
        <w:rPr>
          <w:rFonts w:cs="Georgia"/>
          <w:szCs w:val="22"/>
        </w:rPr>
        <w:t>Reed, a. a. O.,</w:t>
      </w:r>
      <w:r w:rsidR="00F9563E">
        <w:rPr>
          <w:rFonts w:cs="Georgia"/>
          <w:szCs w:val="22"/>
        </w:rPr>
        <w:t xml:space="preserve"> 2016</w:t>
      </w:r>
      <w:r w:rsidRPr="00762252">
        <w:rPr>
          <w:rFonts w:cs="Georgia"/>
          <w:szCs w:val="22"/>
        </w:rPr>
        <w:t xml:space="preserve">, S. 28).  </w:t>
      </w:r>
    </w:p>
    <w:p w14:paraId="52641185" w14:textId="285A5E9E" w:rsidR="00285DA9" w:rsidRPr="00762252" w:rsidRDefault="00285DA9" w:rsidP="00F67143">
      <w:pPr>
        <w:pStyle w:val="KeinLeerraum"/>
        <w:numPr>
          <w:ilvl w:val="0"/>
          <w:numId w:val="3"/>
        </w:numPr>
        <w:spacing w:line="276" w:lineRule="auto"/>
        <w:jc w:val="both"/>
        <w:rPr>
          <w:rFonts w:cs="Georgia"/>
          <w:szCs w:val="22"/>
        </w:rPr>
      </w:pPr>
      <w:r w:rsidRPr="00762252">
        <w:rPr>
          <w:rFonts w:cs="Georgia"/>
          <w:szCs w:val="22"/>
        </w:rPr>
        <w:t>Erst seit 2014 dokumentiert die Colorado State Patrol (CSP) – mit 65 speziell ausgebild</w:t>
      </w:r>
      <w:r w:rsidRPr="00762252">
        <w:rPr>
          <w:rFonts w:cs="Georgia"/>
          <w:szCs w:val="22"/>
        </w:rPr>
        <w:t>e</w:t>
      </w:r>
      <w:r w:rsidRPr="00762252">
        <w:rPr>
          <w:rFonts w:cs="Georgia"/>
          <w:szCs w:val="22"/>
        </w:rPr>
        <w:t>ten Personen die für die Drogenfahndung im Straßenverkehr bestausgerüstete Institut</w:t>
      </w:r>
      <w:r w:rsidRPr="00762252">
        <w:rPr>
          <w:rFonts w:cs="Georgia"/>
          <w:szCs w:val="22"/>
        </w:rPr>
        <w:t>i</w:t>
      </w:r>
      <w:r w:rsidRPr="00762252">
        <w:rPr>
          <w:rFonts w:cs="Georgia"/>
          <w:szCs w:val="22"/>
        </w:rPr>
        <w:t>on des Bundesstaates –</w:t>
      </w:r>
      <w:r>
        <w:rPr>
          <w:rFonts w:cs="Georgia"/>
          <w:szCs w:val="22"/>
        </w:rPr>
        <w:t xml:space="preserve"> </w:t>
      </w:r>
      <w:r w:rsidRPr="00762252">
        <w:rPr>
          <w:rFonts w:cs="Georgia"/>
          <w:szCs w:val="22"/>
        </w:rPr>
        <w:t xml:space="preserve">im Zuge </w:t>
      </w:r>
      <w:r>
        <w:rPr>
          <w:rFonts w:cs="Georgia"/>
          <w:szCs w:val="22"/>
        </w:rPr>
        <w:t>von</w:t>
      </w:r>
      <w:r w:rsidRPr="00762252">
        <w:rPr>
          <w:rFonts w:cs="Georgia"/>
          <w:szCs w:val="22"/>
        </w:rPr>
        <w:t xml:space="preserve"> Patrouillen aufgedeckte DUI-Fälle. Diese Daten kö</w:t>
      </w:r>
      <w:r w:rsidRPr="00762252">
        <w:rPr>
          <w:rFonts w:cs="Georgia"/>
          <w:szCs w:val="22"/>
        </w:rPr>
        <w:t>n</w:t>
      </w:r>
      <w:r w:rsidRPr="00762252">
        <w:rPr>
          <w:rFonts w:cs="Georgia"/>
          <w:szCs w:val="22"/>
        </w:rPr>
        <w:t>nen als belastbare Zahlen gelten, die allerdings erst durch eine seit 2013 bestehende K</w:t>
      </w:r>
      <w:r w:rsidRPr="00762252">
        <w:rPr>
          <w:rFonts w:cs="Georgia"/>
          <w:szCs w:val="22"/>
        </w:rPr>
        <w:t>o</w:t>
      </w:r>
      <w:r w:rsidRPr="00762252">
        <w:rPr>
          <w:rFonts w:cs="Georgia"/>
          <w:szCs w:val="22"/>
        </w:rPr>
        <w:t xml:space="preserve">operation zwischen dem Department of Transportation Colorados und dem Rocky Mountain High Intensity Drug Trafficking Area (RMHIDTA) gesammelt </w:t>
      </w:r>
      <w:r w:rsidR="00390D20">
        <w:rPr>
          <w:rFonts w:cs="Georgia"/>
          <w:szCs w:val="22"/>
        </w:rPr>
        <w:t xml:space="preserve">werden </w:t>
      </w:r>
      <w:r w:rsidRPr="00762252">
        <w:rPr>
          <w:rFonts w:cs="Georgia"/>
          <w:szCs w:val="22"/>
        </w:rPr>
        <w:t>und de</w:t>
      </w:r>
      <w:r w:rsidRPr="00762252">
        <w:rPr>
          <w:rFonts w:cs="Georgia"/>
          <w:szCs w:val="22"/>
        </w:rPr>
        <w:t>s</w:t>
      </w:r>
      <w:r w:rsidRPr="00762252">
        <w:rPr>
          <w:rFonts w:cs="Georgia"/>
          <w:szCs w:val="22"/>
        </w:rPr>
        <w:t xml:space="preserve">halb </w:t>
      </w:r>
      <w:r w:rsidR="00390D20">
        <w:rPr>
          <w:rFonts w:cs="Georgia"/>
          <w:szCs w:val="22"/>
        </w:rPr>
        <w:t xml:space="preserve">bisher </w:t>
      </w:r>
      <w:r>
        <w:rPr>
          <w:rFonts w:cs="Georgia"/>
          <w:szCs w:val="22"/>
        </w:rPr>
        <w:t>nur</w:t>
      </w:r>
      <w:r w:rsidRPr="00762252">
        <w:rPr>
          <w:rFonts w:cs="Georgia"/>
          <w:szCs w:val="22"/>
        </w:rPr>
        <w:t xml:space="preserve"> </w:t>
      </w:r>
      <w:r w:rsidR="00E74B19">
        <w:rPr>
          <w:rFonts w:cs="Georgia"/>
          <w:szCs w:val="22"/>
        </w:rPr>
        <w:t>über</w:t>
      </w:r>
      <w:r w:rsidRPr="00762252">
        <w:rPr>
          <w:rFonts w:cs="Georgia"/>
          <w:szCs w:val="22"/>
        </w:rPr>
        <w:t xml:space="preserve"> einen kurzen Zeitraum </w:t>
      </w:r>
      <w:r w:rsidR="00E74B19">
        <w:rPr>
          <w:rFonts w:cs="Georgia"/>
          <w:szCs w:val="22"/>
        </w:rPr>
        <w:t>berichten</w:t>
      </w:r>
      <w:r w:rsidRPr="00762252">
        <w:rPr>
          <w:rFonts w:cs="Georgia"/>
          <w:szCs w:val="22"/>
        </w:rPr>
        <w:t xml:space="preserve"> (vgl. ebenda</w:t>
      </w:r>
      <w:r w:rsidR="00F9563E">
        <w:rPr>
          <w:rFonts w:cs="Georgia"/>
          <w:szCs w:val="22"/>
        </w:rPr>
        <w:t>,</w:t>
      </w:r>
      <w:r w:rsidRPr="00762252">
        <w:rPr>
          <w:rFonts w:cs="Georgia"/>
          <w:szCs w:val="22"/>
        </w:rPr>
        <w:t xml:space="preserve"> S. 31).  </w:t>
      </w:r>
    </w:p>
    <w:p w14:paraId="6400F89A" w14:textId="77777777" w:rsidR="00285DA9" w:rsidRPr="00762252" w:rsidRDefault="00285DA9" w:rsidP="00285DA9">
      <w:pPr>
        <w:pStyle w:val="KeinLeerraum"/>
        <w:spacing w:line="276" w:lineRule="auto"/>
        <w:jc w:val="both"/>
        <w:rPr>
          <w:rFonts w:cs="Georgia"/>
          <w:szCs w:val="22"/>
        </w:rPr>
      </w:pPr>
    </w:p>
    <w:p w14:paraId="144E0B42" w14:textId="6B37B4E8" w:rsidR="00285DA9" w:rsidRDefault="00285DA9" w:rsidP="00285DA9">
      <w:pPr>
        <w:pStyle w:val="KeinLeerraum"/>
        <w:spacing w:line="276" w:lineRule="auto"/>
        <w:jc w:val="both"/>
        <w:rPr>
          <w:szCs w:val="22"/>
        </w:rPr>
      </w:pPr>
      <w:r w:rsidRPr="00762252">
        <w:rPr>
          <w:szCs w:val="22"/>
        </w:rPr>
        <w:t>Vor dem Hintergrund dieser zahlreichen Besonderheiten des vor</w:t>
      </w:r>
      <w:r w:rsidR="00390D20">
        <w:rPr>
          <w:szCs w:val="22"/>
        </w:rPr>
        <w:t xml:space="preserve">handenen </w:t>
      </w:r>
      <w:r w:rsidRPr="00762252">
        <w:rPr>
          <w:szCs w:val="22"/>
        </w:rPr>
        <w:t>Datenfundus ist int</w:t>
      </w:r>
      <w:r w:rsidRPr="00762252">
        <w:rPr>
          <w:szCs w:val="22"/>
        </w:rPr>
        <w:t>e</w:t>
      </w:r>
      <w:r w:rsidRPr="00762252">
        <w:rPr>
          <w:szCs w:val="22"/>
        </w:rPr>
        <w:t>ressant, wie sich die</w:t>
      </w:r>
      <w:r w:rsidR="00DB7D1D">
        <w:rPr>
          <w:szCs w:val="22"/>
        </w:rPr>
        <w:t xml:space="preserve"> Verkehrssicherheitslage mit dem</w:t>
      </w:r>
      <w:r w:rsidRPr="00762252">
        <w:rPr>
          <w:szCs w:val="22"/>
        </w:rPr>
        <w:t xml:space="preserve"> </w:t>
      </w:r>
      <w:r w:rsidR="00D01097">
        <w:rPr>
          <w:szCs w:val="22"/>
        </w:rPr>
        <w:t>Regulierung</w:t>
      </w:r>
      <w:r w:rsidR="00DB7D1D">
        <w:rPr>
          <w:szCs w:val="22"/>
        </w:rPr>
        <w:t>sprozess</w:t>
      </w:r>
      <w:r w:rsidRPr="00762252">
        <w:rPr>
          <w:szCs w:val="22"/>
        </w:rPr>
        <w:t xml:space="preserve"> im Bundesstaat C</w:t>
      </w:r>
      <w:r w:rsidRPr="00762252">
        <w:rPr>
          <w:szCs w:val="22"/>
        </w:rPr>
        <w:t>o</w:t>
      </w:r>
      <w:r w:rsidRPr="00762252">
        <w:rPr>
          <w:szCs w:val="22"/>
        </w:rPr>
        <w:t>lorado entwickelt:</w:t>
      </w:r>
    </w:p>
    <w:p w14:paraId="7539B00C" w14:textId="77777777" w:rsidR="002A790A" w:rsidRDefault="002A790A" w:rsidP="00E74B19">
      <w:pPr>
        <w:pStyle w:val="KeinLeerraum"/>
        <w:keepNext/>
        <w:spacing w:line="276" w:lineRule="auto"/>
        <w:ind w:left="709" w:firstLine="425"/>
        <w:jc w:val="both"/>
      </w:pPr>
      <w:r>
        <w:rPr>
          <w:noProof/>
        </w:rPr>
        <w:drawing>
          <wp:inline distT="0" distB="0" distL="0" distR="0" wp14:anchorId="0CE36D52" wp14:editId="14713AB9">
            <wp:extent cx="4232787" cy="2373897"/>
            <wp:effectExtent l="0" t="0" r="34925" b="1397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B5B451B" w14:textId="3879FB78" w:rsidR="002A790A" w:rsidRDefault="002A790A" w:rsidP="001E7306">
      <w:pPr>
        <w:pStyle w:val="Beschriftung"/>
        <w:ind w:firstLine="1"/>
        <w:jc w:val="both"/>
      </w:pPr>
      <w:r>
        <w:t xml:space="preserve">Abbildung </w:t>
      </w:r>
      <w:fldSimple w:instr=" SEQ Abbildung \* ARABIC ">
        <w:r w:rsidR="00B86830">
          <w:rPr>
            <w:noProof/>
          </w:rPr>
          <w:t>29</w:t>
        </w:r>
      </w:fldSimple>
      <w:r>
        <w:t>: Unfallraten bei Unfällen mit Todesfolge per 100.000 Einwohner. Vergleich Colorado und USA insgesamt (vgl. Traffic safety facts Colorado 2011-2015)</w:t>
      </w:r>
    </w:p>
    <w:p w14:paraId="57B535A2" w14:textId="77777777" w:rsidR="001E2327" w:rsidRDefault="001E2327" w:rsidP="001E2327">
      <w:pPr>
        <w:pStyle w:val="KeinLeerraum"/>
        <w:numPr>
          <w:ilvl w:val="0"/>
          <w:numId w:val="5"/>
        </w:numPr>
        <w:spacing w:line="276" w:lineRule="auto"/>
        <w:jc w:val="both"/>
        <w:rPr>
          <w:szCs w:val="22"/>
        </w:rPr>
      </w:pPr>
      <w:r w:rsidRPr="002A790A">
        <w:rPr>
          <w:szCs w:val="22"/>
        </w:rPr>
        <w:t>Herauszustellen ist zunächst, dass sich, wie in den USA insgesamt, auch in Colorado der allgemeine Trend zu einer kontinuierlich steigenden Rate von Unfällen mit Todesfolge bezogen auf 100.000 Einwohner abzeichnet (vgl. Abbildung 29).</w:t>
      </w:r>
    </w:p>
    <w:p w14:paraId="67EB491C" w14:textId="77777777" w:rsidR="00390D20" w:rsidRDefault="00390D20" w:rsidP="00390D20">
      <w:pPr>
        <w:pStyle w:val="KeinLeerraum"/>
        <w:numPr>
          <w:ilvl w:val="0"/>
          <w:numId w:val="5"/>
        </w:numPr>
        <w:spacing w:line="276" w:lineRule="auto"/>
        <w:jc w:val="both"/>
        <w:rPr>
          <w:szCs w:val="22"/>
        </w:rPr>
      </w:pPr>
      <w:r w:rsidRPr="002A790A">
        <w:rPr>
          <w:szCs w:val="22"/>
        </w:rPr>
        <w:t>Bezogen auf die gefahrenen Kilometer konnte dieser Trend aber offensichtlich im Jahr 2013 sowohl USA-weit als auch in Colorado gestoppt werden konnte (vgl. Abbildung 30).</w:t>
      </w:r>
    </w:p>
    <w:p w14:paraId="2DB08501" w14:textId="5DDC7949" w:rsidR="00390D20" w:rsidRPr="00390D20" w:rsidRDefault="00390D20" w:rsidP="00390D20">
      <w:pPr>
        <w:pStyle w:val="KeinLeerraum"/>
        <w:numPr>
          <w:ilvl w:val="0"/>
          <w:numId w:val="5"/>
        </w:numPr>
        <w:spacing w:line="276" w:lineRule="auto"/>
        <w:jc w:val="both"/>
        <w:rPr>
          <w:szCs w:val="22"/>
        </w:rPr>
      </w:pPr>
      <w:r w:rsidRPr="00390D20">
        <w:rPr>
          <w:szCs w:val="22"/>
        </w:rPr>
        <w:t>Ausgehend von diesem allgemeinen Trend im Unfallgeschehen wird die Frage, ob es e</w:t>
      </w:r>
      <w:r w:rsidRPr="00390D20">
        <w:rPr>
          <w:szCs w:val="22"/>
        </w:rPr>
        <w:t>i</w:t>
      </w:r>
      <w:r w:rsidRPr="00390D20">
        <w:rPr>
          <w:szCs w:val="22"/>
        </w:rPr>
        <w:t>nen Zusammenhang zwischen dem Regulierungsprozess und einer Veränderung der Verkehrssicherheitslage gibt, in den vorgelegten Berichten verschieden beantwortet. Dies ist möglicherweise dem Zugriff auf sehr unterschiedliche Zahlen und deren Inte</w:t>
      </w:r>
      <w:r w:rsidRPr="00390D20">
        <w:rPr>
          <w:szCs w:val="22"/>
        </w:rPr>
        <w:t>r</w:t>
      </w:r>
      <w:r w:rsidRPr="00390D20">
        <w:rPr>
          <w:szCs w:val="22"/>
        </w:rPr>
        <w:t>pretationen geschuldet ist.</w:t>
      </w:r>
      <w:r w:rsidRPr="00762252">
        <w:rPr>
          <w:rStyle w:val="Funotenzeichen"/>
          <w:rFonts w:cs="Georgia"/>
          <w:szCs w:val="22"/>
        </w:rPr>
        <w:footnoteReference w:id="47"/>
      </w:r>
      <w:r w:rsidRPr="00390D20">
        <w:rPr>
          <w:szCs w:val="22"/>
        </w:rPr>
        <w:t xml:space="preserve"> Legt man </w:t>
      </w:r>
      <w:r w:rsidRPr="00390D20">
        <w:rPr>
          <w:rFonts w:cs="Calibri"/>
          <w:iCs/>
          <w:szCs w:val="22"/>
        </w:rPr>
        <w:t xml:space="preserve">für eine Analyse </w:t>
      </w:r>
      <w:r w:rsidRPr="00390D20">
        <w:rPr>
          <w:szCs w:val="22"/>
        </w:rPr>
        <w:t xml:space="preserve">die vom Colorado Department of Transportation veröffentlichten und im August des Jahres 2016 nochmals aktualisierten </w:t>
      </w:r>
    </w:p>
    <w:p w14:paraId="78EDD945" w14:textId="77777777" w:rsidR="001E2327" w:rsidRPr="001E2327" w:rsidRDefault="001E2327" w:rsidP="001E2327"/>
    <w:p w14:paraId="2FA2B0FB" w14:textId="45304E7C" w:rsidR="00DB7D1D" w:rsidRDefault="002A05B6" w:rsidP="001E7306">
      <w:pPr>
        <w:pStyle w:val="KeinLeerraum"/>
        <w:keepNext/>
        <w:spacing w:line="276" w:lineRule="auto"/>
        <w:ind w:left="720" w:firstLine="981"/>
        <w:jc w:val="both"/>
      </w:pPr>
      <w:r>
        <w:rPr>
          <w:noProof/>
        </w:rPr>
        <w:drawing>
          <wp:inline distT="0" distB="0" distL="0" distR="0" wp14:anchorId="693FC170" wp14:editId="2891EB32">
            <wp:extent cx="3421626" cy="3674869"/>
            <wp:effectExtent l="25400" t="25400" r="33020" b="3365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14 um 09.23.23.png"/>
                    <pic:cNvPicPr/>
                  </pic:nvPicPr>
                  <pic:blipFill>
                    <a:blip r:embed="rId94">
                      <a:extLst>
                        <a:ext uri="{28A0092B-C50C-407E-A947-70E740481C1C}">
                          <a14:useLocalDpi xmlns:a14="http://schemas.microsoft.com/office/drawing/2010/main" val="0"/>
                        </a:ext>
                      </a:extLst>
                    </a:blip>
                    <a:stretch>
                      <a:fillRect/>
                    </a:stretch>
                  </pic:blipFill>
                  <pic:spPr>
                    <a:xfrm>
                      <a:off x="0" y="0"/>
                      <a:ext cx="3422560" cy="3675872"/>
                    </a:xfrm>
                    <a:prstGeom prst="rect">
                      <a:avLst/>
                    </a:prstGeom>
                    <a:ln>
                      <a:solidFill>
                        <a:srgbClr val="000000"/>
                      </a:solidFill>
                    </a:ln>
                  </pic:spPr>
                </pic:pic>
              </a:graphicData>
            </a:graphic>
          </wp:inline>
        </w:drawing>
      </w:r>
    </w:p>
    <w:p w14:paraId="1167AEB6" w14:textId="71035B59" w:rsidR="00285DA9" w:rsidRPr="00762252" w:rsidRDefault="00DB7D1D" w:rsidP="001E7306">
      <w:pPr>
        <w:pStyle w:val="Beschriftung"/>
        <w:jc w:val="both"/>
        <w:rPr>
          <w:rFonts w:cs="Georgia"/>
          <w:szCs w:val="22"/>
        </w:rPr>
      </w:pPr>
      <w:r>
        <w:t xml:space="preserve">Abbildung </w:t>
      </w:r>
      <w:fldSimple w:instr=" SEQ Abbildung \* ARABIC ">
        <w:r w:rsidR="00B86830">
          <w:rPr>
            <w:noProof/>
          </w:rPr>
          <w:t>30</w:t>
        </w:r>
      </w:fldSimple>
      <w:r>
        <w:t xml:space="preserve">: </w:t>
      </w:r>
      <w:r w:rsidR="00CD4530">
        <w:t xml:space="preserve">Entwicklung der </w:t>
      </w:r>
      <w:r w:rsidR="002A05B6">
        <w:t xml:space="preserve">Unfallraten bei Unfällen mit Todesfolge per 100 000 gefahrene Kilometer </w:t>
      </w:r>
      <w:r>
        <w:t>im Bundesstaat Colorado (</w:t>
      </w:r>
      <w:r w:rsidR="00AF03D4">
        <w:t>Traffic Safety F</w:t>
      </w:r>
      <w:r w:rsidR="002A05B6">
        <w:t>acts Colorado 2011-2015)</w:t>
      </w:r>
    </w:p>
    <w:p w14:paraId="2EA2863A" w14:textId="4497C02E" w:rsidR="004F7C74" w:rsidRDefault="00390D20" w:rsidP="004F7C74">
      <w:pPr>
        <w:pStyle w:val="KeinLeerraum"/>
        <w:spacing w:line="276" w:lineRule="auto"/>
        <w:ind w:left="720"/>
        <w:jc w:val="both"/>
        <w:rPr>
          <w:rFonts w:cs="Calibri"/>
          <w:iCs/>
          <w:szCs w:val="22"/>
        </w:rPr>
      </w:pPr>
      <w:r w:rsidRPr="00762252">
        <w:rPr>
          <w:szCs w:val="22"/>
        </w:rPr>
        <w:t>Daten des FARS-Programs</w:t>
      </w:r>
      <w:r>
        <w:rPr>
          <w:rStyle w:val="Funotenzeichen"/>
          <w:szCs w:val="22"/>
        </w:rPr>
        <w:footnoteReference w:id="48"/>
      </w:r>
      <w:r w:rsidRPr="00762252">
        <w:rPr>
          <w:szCs w:val="22"/>
        </w:rPr>
        <w:t xml:space="preserve"> für die Jahre </w:t>
      </w:r>
      <w:r w:rsidRPr="00762252">
        <w:rPr>
          <w:rFonts w:cs="Calibri"/>
          <w:iCs/>
          <w:szCs w:val="22"/>
        </w:rPr>
        <w:t xml:space="preserve">2005‐2015 zugrunde (vgl. </w:t>
      </w:r>
      <w:r w:rsidRPr="00762252">
        <w:rPr>
          <w:rFonts w:cs="Calibri"/>
          <w:bCs/>
          <w:szCs w:val="22"/>
        </w:rPr>
        <w:t xml:space="preserve">Colorado Fatalities Involving Drugs), </w:t>
      </w:r>
      <w:r w:rsidRPr="00762252">
        <w:rPr>
          <w:rFonts w:cs="Calibri"/>
          <w:iCs/>
          <w:szCs w:val="22"/>
        </w:rPr>
        <w:t>zeigt sich, dass in den letzten Jahren etwa die Hälfte aller Beteiligten an Unfällen mit Todesfolge getestet wurd</w:t>
      </w:r>
      <w:r>
        <w:rPr>
          <w:rFonts w:cs="Calibri"/>
          <w:iCs/>
          <w:szCs w:val="22"/>
        </w:rPr>
        <w:t xml:space="preserve">e. </w:t>
      </w:r>
    </w:p>
    <w:p w14:paraId="203B97E3" w14:textId="77777777" w:rsidR="002A790A" w:rsidRDefault="002A790A" w:rsidP="001E7306">
      <w:pPr>
        <w:pStyle w:val="KeinLeerraum"/>
        <w:keepNext/>
        <w:spacing w:line="276" w:lineRule="auto"/>
        <w:ind w:left="720" w:firstLine="414"/>
        <w:jc w:val="both"/>
      </w:pPr>
      <w:r w:rsidRPr="00762252">
        <w:rPr>
          <w:noProof/>
          <w:szCs w:val="22"/>
        </w:rPr>
        <w:drawing>
          <wp:inline distT="0" distB="0" distL="0" distR="0" wp14:anchorId="17ABDF5F" wp14:editId="0F0DF7CF">
            <wp:extent cx="4682613" cy="2766904"/>
            <wp:effectExtent l="25400" t="25400" r="16510" b="2730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0-25 um 14.37.28.png"/>
                    <pic:cNvPicPr/>
                  </pic:nvPicPr>
                  <pic:blipFill>
                    <a:blip r:embed="rId95">
                      <a:extLst>
                        <a:ext uri="{28A0092B-C50C-407E-A947-70E740481C1C}">
                          <a14:useLocalDpi xmlns:a14="http://schemas.microsoft.com/office/drawing/2010/main" val="0"/>
                        </a:ext>
                      </a:extLst>
                    </a:blip>
                    <a:stretch>
                      <a:fillRect/>
                    </a:stretch>
                  </pic:blipFill>
                  <pic:spPr>
                    <a:xfrm>
                      <a:off x="0" y="0"/>
                      <a:ext cx="4683445" cy="2767396"/>
                    </a:xfrm>
                    <a:prstGeom prst="rect">
                      <a:avLst/>
                    </a:prstGeom>
                    <a:ln>
                      <a:solidFill>
                        <a:srgbClr val="000000"/>
                      </a:solidFill>
                    </a:ln>
                  </pic:spPr>
                </pic:pic>
              </a:graphicData>
            </a:graphic>
          </wp:inline>
        </w:drawing>
      </w:r>
    </w:p>
    <w:p w14:paraId="591DCE59" w14:textId="0558F89D" w:rsidR="002A790A" w:rsidRDefault="002A790A" w:rsidP="002A790A">
      <w:pPr>
        <w:pStyle w:val="Beschriftung"/>
        <w:jc w:val="both"/>
      </w:pPr>
      <w:r w:rsidRPr="002A790A">
        <w:t xml:space="preserve">Abbildung </w:t>
      </w:r>
      <w:fldSimple w:instr=" SEQ Abbildung \* ARABIC ">
        <w:r w:rsidR="00B86830">
          <w:rPr>
            <w:noProof/>
          </w:rPr>
          <w:t>31</w:t>
        </w:r>
      </w:fldSimple>
      <w:r w:rsidRPr="002A790A">
        <w:t>: Toxikologische Testergebnisse für Fahrer, die in Colorado in einen Verkehrsunfall mit Tode</w:t>
      </w:r>
      <w:r w:rsidRPr="002A790A">
        <w:t>s</w:t>
      </w:r>
      <w:r w:rsidRPr="002A790A">
        <w:t>folge verwickelt waren, 2013-2014 (</w:t>
      </w:r>
      <w:r w:rsidR="007C55FB">
        <w:t>Reed, a. a. O.,</w:t>
      </w:r>
      <w:r w:rsidR="00A55FEA">
        <w:t xml:space="preserve"> 2016</w:t>
      </w:r>
      <w:r w:rsidRPr="002A790A">
        <w:t>, S. 32)</w:t>
      </w:r>
    </w:p>
    <w:p w14:paraId="0CB47171" w14:textId="16FA0B04" w:rsidR="007C55FB" w:rsidRPr="007C55FB" w:rsidRDefault="007C55FB" w:rsidP="007C55FB">
      <w:pPr>
        <w:pStyle w:val="KeinLeerraum"/>
        <w:spacing w:line="276" w:lineRule="auto"/>
        <w:ind w:left="720"/>
        <w:jc w:val="both"/>
        <w:rPr>
          <w:rFonts w:cs="Calibri"/>
          <w:iCs/>
          <w:szCs w:val="22"/>
        </w:rPr>
      </w:pPr>
      <w:r>
        <w:rPr>
          <w:rFonts w:cs="Calibri"/>
          <w:iCs/>
          <w:szCs w:val="22"/>
        </w:rPr>
        <w:t>Dabei zeichnen sich weder für 2009</w:t>
      </w:r>
      <w:r w:rsidRPr="00762252">
        <w:rPr>
          <w:rFonts w:cs="Calibri"/>
          <w:iCs/>
          <w:szCs w:val="22"/>
        </w:rPr>
        <w:t>, dem Jahr der Einführung einer medizinischen Vergabe von Marihuana</w:t>
      </w:r>
      <w:r>
        <w:rPr>
          <w:rFonts w:cs="Calibri"/>
          <w:iCs/>
          <w:szCs w:val="22"/>
        </w:rPr>
        <w:t xml:space="preserve"> (</w:t>
      </w:r>
      <w:r w:rsidRPr="00762252">
        <w:rPr>
          <w:rFonts w:cs="Calibri"/>
          <w:iCs/>
          <w:szCs w:val="22"/>
        </w:rPr>
        <w:t xml:space="preserve">vgl. </w:t>
      </w:r>
      <w:r w:rsidRPr="00762252">
        <w:rPr>
          <w:rFonts w:cs="Calibri"/>
          <w:bCs/>
          <w:szCs w:val="22"/>
        </w:rPr>
        <w:t>Colorado Fatalities Involving Drugs)</w:t>
      </w:r>
      <w:r w:rsidRPr="00762252">
        <w:rPr>
          <w:rFonts w:cs="Calibri"/>
          <w:iCs/>
          <w:szCs w:val="22"/>
        </w:rPr>
        <w:t xml:space="preserve">, noch für </w:t>
      </w:r>
      <w:r>
        <w:rPr>
          <w:rFonts w:cs="Calibri"/>
          <w:iCs/>
          <w:szCs w:val="22"/>
        </w:rPr>
        <w:t xml:space="preserve">die Jahre </w:t>
      </w:r>
      <w:r w:rsidRPr="00762252">
        <w:rPr>
          <w:rFonts w:cs="Calibri"/>
          <w:iCs/>
          <w:szCs w:val="22"/>
        </w:rPr>
        <w:t>2013</w:t>
      </w:r>
      <w:r>
        <w:rPr>
          <w:rFonts w:cs="Calibri"/>
          <w:iCs/>
          <w:szCs w:val="22"/>
        </w:rPr>
        <w:t xml:space="preserve"> und 2014, den</w:t>
      </w:r>
      <w:r w:rsidRPr="00762252">
        <w:rPr>
          <w:rFonts w:cs="Calibri"/>
          <w:iCs/>
          <w:szCs w:val="22"/>
        </w:rPr>
        <w:t xml:space="preserve"> Jahr</w:t>
      </w:r>
      <w:r>
        <w:rPr>
          <w:rFonts w:cs="Calibri"/>
          <w:iCs/>
          <w:szCs w:val="22"/>
        </w:rPr>
        <w:t>en</w:t>
      </w:r>
      <w:r w:rsidRPr="00762252">
        <w:rPr>
          <w:rFonts w:cs="Calibri"/>
          <w:iCs/>
          <w:szCs w:val="22"/>
        </w:rPr>
        <w:t xml:space="preserve"> </w:t>
      </w:r>
      <w:r>
        <w:rPr>
          <w:rFonts w:cs="Calibri"/>
          <w:iCs/>
          <w:szCs w:val="22"/>
        </w:rPr>
        <w:t>unmittelbar nach Beginn des</w:t>
      </w:r>
      <w:r w:rsidRPr="00762252">
        <w:rPr>
          <w:rFonts w:cs="Calibri"/>
          <w:iCs/>
          <w:szCs w:val="22"/>
        </w:rPr>
        <w:t xml:space="preserve"> </w:t>
      </w:r>
      <w:r>
        <w:rPr>
          <w:rFonts w:cs="Calibri"/>
          <w:iCs/>
          <w:szCs w:val="22"/>
        </w:rPr>
        <w:t>Regulierungsprozesses</w:t>
      </w:r>
      <w:r w:rsidRPr="00762252">
        <w:rPr>
          <w:rFonts w:cs="Calibri"/>
          <w:iCs/>
          <w:szCs w:val="22"/>
        </w:rPr>
        <w:t xml:space="preserve"> des Freizeitkonsums, außergewöhnliche Entwicklungen </w:t>
      </w:r>
      <w:r>
        <w:rPr>
          <w:rFonts w:cs="Calibri"/>
          <w:iCs/>
          <w:szCs w:val="22"/>
        </w:rPr>
        <w:t>in Bezug auf die Anteile von negativ getesteten und auf verschiedene Substanzen positiv getesteten Fahrern und auch nicht in Bezug auf THC positiv getestete Fahrer ab (vgl. Abbildung 31)</w:t>
      </w:r>
      <w:r w:rsidRPr="00762252">
        <w:rPr>
          <w:rFonts w:cs="Calibri"/>
          <w:iCs/>
          <w:szCs w:val="22"/>
        </w:rPr>
        <w:t xml:space="preserve">. </w:t>
      </w:r>
    </w:p>
    <w:p w14:paraId="2C042B20" w14:textId="592902EC" w:rsidR="004F7C74" w:rsidRDefault="000114E4" w:rsidP="007C55FB">
      <w:pPr>
        <w:pStyle w:val="KeinLeerraum"/>
        <w:numPr>
          <w:ilvl w:val="0"/>
          <w:numId w:val="20"/>
        </w:numPr>
        <w:spacing w:line="276" w:lineRule="auto"/>
        <w:jc w:val="both"/>
      </w:pPr>
      <w:r w:rsidRPr="000114E4">
        <w:rPr>
          <w:rFonts w:cs="Calibri"/>
          <w:iCs/>
          <w:szCs w:val="22"/>
        </w:rPr>
        <w:t xml:space="preserve">Bezogen auf die Zahl der Unfälle, die Zahl der Beteiligten, der Getesteten insgesamt, der positiv Getesteten, der positiv auf THC Getesteten und positiv auf THC und eine andere psycho-aktive Substanz Getesteten lässt sich jedoch kein Bezug zu den vorgenommenen Regulierungsschritten Colorados herstellen. </w:t>
      </w:r>
      <w:r w:rsidRPr="001E2327">
        <w:t>Der leicht steigende Trend Cannabis-positiv</w:t>
      </w:r>
      <w:r>
        <w:t xml:space="preserve"> </w:t>
      </w:r>
      <w:r w:rsidRPr="001E2327">
        <w:t xml:space="preserve">getesteter Unfallbeteiligter </w:t>
      </w:r>
      <w:r>
        <w:t xml:space="preserve">(von 12 auf 24 Fälle) </w:t>
      </w:r>
      <w:r w:rsidRPr="001E2327">
        <w:t>muss aus komplexeren Zusammenhä</w:t>
      </w:r>
      <w:r w:rsidRPr="001E2327">
        <w:t>n</w:t>
      </w:r>
      <w:r w:rsidRPr="001E2327">
        <w:t xml:space="preserve">gen erklärt werden (vgl. Abbildung 32). </w:t>
      </w:r>
    </w:p>
    <w:p w14:paraId="7DC6BC8F" w14:textId="77777777" w:rsidR="000114E4" w:rsidRPr="004F7C74" w:rsidRDefault="000114E4" w:rsidP="000114E4">
      <w:pPr>
        <w:pStyle w:val="Listenabsatz"/>
      </w:pPr>
    </w:p>
    <w:p w14:paraId="7B9BCA30" w14:textId="5C7967DF" w:rsidR="001E2327" w:rsidRDefault="00E74B19" w:rsidP="001E7306">
      <w:pPr>
        <w:pStyle w:val="Listenabsatz"/>
        <w:keepNext/>
        <w:spacing w:line="276" w:lineRule="auto"/>
        <w:ind w:firstLine="414"/>
        <w:jc w:val="both"/>
      </w:pPr>
      <w:r>
        <w:rPr>
          <w:noProof/>
        </w:rPr>
        <w:drawing>
          <wp:inline distT="0" distB="0" distL="0" distR="0" wp14:anchorId="3892BA91" wp14:editId="700C1D5F">
            <wp:extent cx="4948083" cy="4151507"/>
            <wp:effectExtent l="0" t="0" r="30480" b="14605"/>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62E1780" w14:textId="32C0C4DD" w:rsidR="001E2327" w:rsidRDefault="001E2327" w:rsidP="001E2327">
      <w:pPr>
        <w:pStyle w:val="Beschriftung"/>
        <w:jc w:val="both"/>
      </w:pPr>
      <w:r>
        <w:t xml:space="preserve">Abbildung </w:t>
      </w:r>
      <w:fldSimple w:instr=" SEQ Abbildung \* ARABIC ">
        <w:r w:rsidR="00B86830">
          <w:rPr>
            <w:noProof/>
          </w:rPr>
          <w:t>32</w:t>
        </w:r>
      </w:fldSimple>
      <w:r>
        <w:t xml:space="preserve">: Entwicklung im Unfallgeschehen des Bundesstaates Colorado nach absoluten Zahlen (vgl. </w:t>
      </w:r>
      <w:r w:rsidR="004F581D">
        <w:t>Drugged driver involved in Fatal crashes 2016)</w:t>
      </w:r>
    </w:p>
    <w:p w14:paraId="04FF014E" w14:textId="07392697" w:rsidR="001E2327" w:rsidRPr="00115373" w:rsidRDefault="000114E4" w:rsidP="007C55FB">
      <w:pPr>
        <w:pStyle w:val="KeinLeerraum"/>
        <w:spacing w:line="276" w:lineRule="auto"/>
        <w:ind w:left="720"/>
        <w:jc w:val="both"/>
        <w:rPr>
          <w:rFonts w:cs="Times"/>
          <w:sz w:val="18"/>
        </w:rPr>
      </w:pPr>
      <w:r>
        <w:t xml:space="preserve">Diese Daten unterstreichen durch ihre Größenordnung zudem die </w:t>
      </w:r>
      <w:r w:rsidR="00285DA9" w:rsidRPr="001E2327">
        <w:t xml:space="preserve">relativ nachgeordnete Bedeutung positiver Cannabistests: </w:t>
      </w:r>
      <w:r>
        <w:t>Mit</w:t>
      </w:r>
      <w:r w:rsidR="001E2327" w:rsidRPr="001E2327">
        <w:t xml:space="preserve"> 53</w:t>
      </w:r>
      <w:r w:rsidR="00285DA9" w:rsidRPr="001E2327">
        <w:t xml:space="preserve"> </w:t>
      </w:r>
      <w:r w:rsidR="00285DA9" w:rsidRPr="001E7306">
        <w:t xml:space="preserve">Personen im Jahr 2014 </w:t>
      </w:r>
      <w:r w:rsidR="001E7306" w:rsidRPr="001E7306">
        <w:t>(10,8</w:t>
      </w:r>
      <w:r w:rsidR="00285DA9" w:rsidRPr="001E7306">
        <w:t xml:space="preserve"> % aller Getest</w:t>
      </w:r>
      <w:r w:rsidR="001E2327" w:rsidRPr="001E7306">
        <w:t>e</w:t>
      </w:r>
      <w:r w:rsidR="001E2327" w:rsidRPr="001E7306">
        <w:t>ten) und 59</w:t>
      </w:r>
      <w:r w:rsidR="001E7306" w:rsidRPr="001E7306">
        <w:t xml:space="preserve"> Personen (10,78</w:t>
      </w:r>
      <w:r w:rsidR="00285DA9" w:rsidRPr="001E7306">
        <w:t xml:space="preserve"> % aller Getesteten) im Jahr 2015 </w:t>
      </w:r>
      <w:r>
        <w:t>sind positiv auf Marihu</w:t>
      </w:r>
      <w:r>
        <w:t>a</w:t>
      </w:r>
      <w:r>
        <w:t xml:space="preserve">na Getestete </w:t>
      </w:r>
      <w:r w:rsidR="00285DA9" w:rsidRPr="001E7306">
        <w:t>e</w:t>
      </w:r>
      <w:r w:rsidR="001E2327" w:rsidRPr="001E7306">
        <w:t>ine</w:t>
      </w:r>
      <w:r w:rsidR="001E2327" w:rsidRPr="001E2327">
        <w:t xml:space="preserve"> Minderheit (vgl. Abbildung 32</w:t>
      </w:r>
      <w:r w:rsidR="00285DA9" w:rsidRPr="001E2327">
        <w:t>).</w:t>
      </w:r>
    </w:p>
    <w:p w14:paraId="286182E3" w14:textId="1041C0C7" w:rsidR="00115373" w:rsidRPr="001E2327" w:rsidRDefault="00115373" w:rsidP="007C55FB">
      <w:pPr>
        <w:pStyle w:val="KeinLeerraum"/>
        <w:numPr>
          <w:ilvl w:val="0"/>
          <w:numId w:val="20"/>
        </w:numPr>
        <w:spacing w:line="276" w:lineRule="auto"/>
        <w:jc w:val="both"/>
        <w:rPr>
          <w:rFonts w:cs="Times"/>
        </w:rPr>
      </w:pPr>
      <w:r w:rsidRPr="001E2327">
        <w:rPr>
          <w:rFonts w:cs="Times"/>
        </w:rPr>
        <w:t xml:space="preserve">Die dokumentierten Fälle, in denen im Rahmen von allgemeinen Verkehrskontrollen bei Fahrern Hinweise auf einen Marihuana-Konsum ermittelt wurden </w:t>
      </w:r>
      <w:r w:rsidR="000114E4">
        <w:rPr>
          <w:rFonts w:cs="Times"/>
        </w:rPr>
        <w:t>(</w:t>
      </w:r>
      <w:r w:rsidRPr="001E2327">
        <w:rPr>
          <w:rFonts w:cs="Times"/>
        </w:rPr>
        <w:t xml:space="preserve">eine Möglichkeit, die </w:t>
      </w:r>
      <w:r w:rsidR="000114E4">
        <w:rPr>
          <w:rFonts w:cs="Times"/>
        </w:rPr>
        <w:t xml:space="preserve">es </w:t>
      </w:r>
      <w:r w:rsidRPr="001E2327">
        <w:rPr>
          <w:rFonts w:cs="Times"/>
        </w:rPr>
        <w:t xml:space="preserve">erst seit der technischen Ausrüstung der Polizei mit entsprechenden Geräten im Jahr 2014 </w:t>
      </w:r>
      <w:r w:rsidR="000114E4">
        <w:rPr>
          <w:rFonts w:cs="Times"/>
        </w:rPr>
        <w:t xml:space="preserve">gibt), </w:t>
      </w:r>
      <w:r w:rsidRPr="001E2327">
        <w:rPr>
          <w:rFonts w:cs="Times"/>
        </w:rPr>
        <w:t>zeigen für 2014 keine überpropor</w:t>
      </w:r>
      <w:r w:rsidR="000114E4">
        <w:rPr>
          <w:rFonts w:cs="Times"/>
        </w:rPr>
        <w:t>tional hohe Rate diesbezüglich A</w:t>
      </w:r>
      <w:r w:rsidRPr="001E2327">
        <w:rPr>
          <w:rFonts w:cs="Times"/>
        </w:rPr>
        <w:t>uffälliger, die sich zudem auch im Jahr 2015 nicht signifikant ge</w:t>
      </w:r>
      <w:r>
        <w:rPr>
          <w:rFonts w:cs="Times"/>
        </w:rPr>
        <w:t>ändert hat (vgl. Abbildung 33</w:t>
      </w:r>
      <w:r w:rsidRPr="001E2327">
        <w:rPr>
          <w:rFonts w:cs="Times"/>
        </w:rPr>
        <w:t xml:space="preserve">). </w:t>
      </w:r>
    </w:p>
    <w:p w14:paraId="7F98EA4D" w14:textId="77777777" w:rsidR="00115373" w:rsidRPr="00115373" w:rsidRDefault="00115373" w:rsidP="00115373">
      <w:pPr>
        <w:pStyle w:val="KeinLeerraum"/>
        <w:spacing w:line="276" w:lineRule="auto"/>
        <w:ind w:left="720"/>
        <w:rPr>
          <w:rFonts w:cs="Times"/>
          <w:sz w:val="18"/>
        </w:rPr>
      </w:pPr>
    </w:p>
    <w:p w14:paraId="36336B67" w14:textId="77777777" w:rsidR="00115373" w:rsidRDefault="00115373" w:rsidP="001E7306">
      <w:pPr>
        <w:pStyle w:val="KeinLeerraum"/>
        <w:keepNext/>
        <w:spacing w:line="276" w:lineRule="auto"/>
        <w:ind w:firstLine="142"/>
      </w:pPr>
      <w:r>
        <w:rPr>
          <w:rFonts w:cs="Times"/>
          <w:noProof/>
          <w:sz w:val="18"/>
        </w:rPr>
        <w:drawing>
          <wp:inline distT="0" distB="0" distL="0" distR="0" wp14:anchorId="29EB58A9" wp14:editId="4DA45438">
            <wp:extent cx="5573839" cy="2469679"/>
            <wp:effectExtent l="25400" t="25400" r="14605" b="1968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0-23 um 20.20.20.png"/>
                    <pic:cNvPicPr/>
                  </pic:nvPicPr>
                  <pic:blipFill>
                    <a:blip r:embed="rId97">
                      <a:extLst>
                        <a:ext uri="{28A0092B-C50C-407E-A947-70E740481C1C}">
                          <a14:useLocalDpi xmlns:a14="http://schemas.microsoft.com/office/drawing/2010/main" val="0"/>
                        </a:ext>
                      </a:extLst>
                    </a:blip>
                    <a:stretch>
                      <a:fillRect/>
                    </a:stretch>
                  </pic:blipFill>
                  <pic:spPr>
                    <a:xfrm>
                      <a:off x="0" y="0"/>
                      <a:ext cx="5573839" cy="2469679"/>
                    </a:xfrm>
                    <a:prstGeom prst="rect">
                      <a:avLst/>
                    </a:prstGeom>
                    <a:ln>
                      <a:solidFill>
                        <a:srgbClr val="000000"/>
                      </a:solidFill>
                    </a:ln>
                  </pic:spPr>
                </pic:pic>
              </a:graphicData>
            </a:graphic>
          </wp:inline>
        </w:drawing>
      </w:r>
    </w:p>
    <w:p w14:paraId="073967ED" w14:textId="423718FE" w:rsidR="00115373" w:rsidRPr="001E2327" w:rsidRDefault="00115373" w:rsidP="00115373">
      <w:pPr>
        <w:pStyle w:val="Beschriftung"/>
        <w:rPr>
          <w:rFonts w:cs="Times"/>
        </w:rPr>
      </w:pPr>
      <w:r>
        <w:t xml:space="preserve">Abbildung </w:t>
      </w:r>
      <w:fldSimple w:instr=" SEQ Abbildung \* ARABIC ">
        <w:r w:rsidR="00B86830">
          <w:rPr>
            <w:noProof/>
          </w:rPr>
          <w:t>33</w:t>
        </w:r>
      </w:fldSimple>
      <w:r>
        <w:t>: Zahl der DUI-Ordnungsstrafen na</w:t>
      </w:r>
      <w:r w:rsidR="00A55FEA">
        <w:t>ch gefundenen Substanzen (</w:t>
      </w:r>
      <w:r w:rsidR="007C55FB">
        <w:t>Reed, a. a. O.,</w:t>
      </w:r>
      <w:r w:rsidR="00A55FEA">
        <w:t xml:space="preserve"> </w:t>
      </w:r>
      <w:r>
        <w:t>2016, S. 32)</w:t>
      </w:r>
    </w:p>
    <w:p w14:paraId="33705BB6" w14:textId="77777777" w:rsidR="00285DA9" w:rsidRPr="00762252" w:rsidRDefault="00285DA9" w:rsidP="00285DA9">
      <w:pPr>
        <w:pStyle w:val="KeinLeerraum"/>
        <w:spacing w:line="276" w:lineRule="auto"/>
        <w:jc w:val="both"/>
        <w:rPr>
          <w:rFonts w:cs="Calibri"/>
          <w:b/>
          <w:iCs/>
          <w:szCs w:val="22"/>
        </w:rPr>
      </w:pPr>
      <w:r w:rsidRPr="00762252">
        <w:rPr>
          <w:rFonts w:cs="Calibri"/>
          <w:b/>
          <w:iCs/>
          <w:szCs w:val="22"/>
        </w:rPr>
        <w:t>Fazit</w:t>
      </w:r>
    </w:p>
    <w:p w14:paraId="787B207E" w14:textId="65EB6DB2" w:rsidR="00285DA9" w:rsidRPr="00762252" w:rsidRDefault="00285DA9" w:rsidP="00285DA9">
      <w:pPr>
        <w:pStyle w:val="Beschriftung"/>
        <w:spacing w:line="276" w:lineRule="auto"/>
        <w:jc w:val="both"/>
        <w:rPr>
          <w:rFonts w:cs="Calibri"/>
          <w:b w:val="0"/>
          <w:iCs/>
          <w:sz w:val="22"/>
          <w:szCs w:val="22"/>
        </w:rPr>
      </w:pPr>
      <w:r w:rsidRPr="00762252">
        <w:rPr>
          <w:rFonts w:cs="Calibri"/>
          <w:b w:val="0"/>
          <w:iCs/>
          <w:sz w:val="22"/>
          <w:szCs w:val="22"/>
        </w:rPr>
        <w:t>Deutlich wird auch in den Da</w:t>
      </w:r>
      <w:r w:rsidR="00FE78E0">
        <w:rPr>
          <w:rFonts w:cs="Calibri"/>
          <w:b w:val="0"/>
          <w:iCs/>
          <w:sz w:val="22"/>
          <w:szCs w:val="22"/>
        </w:rPr>
        <w:t>ten zur Verkehrssicherheit des Bundess</w:t>
      </w:r>
      <w:r w:rsidRPr="00762252">
        <w:rPr>
          <w:rFonts w:cs="Calibri"/>
          <w:b w:val="0"/>
          <w:iCs/>
          <w:sz w:val="22"/>
          <w:szCs w:val="22"/>
        </w:rPr>
        <w:t xml:space="preserve">taates Colorado, dass es in Folge der </w:t>
      </w:r>
      <w:r w:rsidR="00D01097">
        <w:rPr>
          <w:rFonts w:cs="Calibri"/>
          <w:b w:val="0"/>
          <w:iCs/>
          <w:sz w:val="22"/>
          <w:szCs w:val="22"/>
        </w:rPr>
        <w:t>Regulierung</w:t>
      </w:r>
      <w:r w:rsidRPr="00762252">
        <w:rPr>
          <w:rFonts w:cs="Calibri"/>
          <w:b w:val="0"/>
          <w:iCs/>
          <w:sz w:val="22"/>
          <w:szCs w:val="22"/>
        </w:rPr>
        <w:t xml:space="preserve"> </w:t>
      </w:r>
      <w:r w:rsidR="00E74B19">
        <w:rPr>
          <w:rFonts w:cs="Calibri"/>
          <w:b w:val="0"/>
          <w:iCs/>
          <w:sz w:val="22"/>
          <w:szCs w:val="22"/>
        </w:rPr>
        <w:t xml:space="preserve">nicht </w:t>
      </w:r>
      <w:r w:rsidRPr="00762252">
        <w:rPr>
          <w:rFonts w:cs="Calibri"/>
          <w:b w:val="0"/>
          <w:iCs/>
          <w:sz w:val="22"/>
          <w:szCs w:val="22"/>
        </w:rPr>
        <w:t xml:space="preserve">zu einem explosionsartigen Anstieg </w:t>
      </w:r>
      <w:r>
        <w:rPr>
          <w:rFonts w:cs="Calibri"/>
          <w:b w:val="0"/>
          <w:iCs/>
          <w:sz w:val="22"/>
          <w:szCs w:val="22"/>
        </w:rPr>
        <w:t>schwerer</w:t>
      </w:r>
      <w:r w:rsidRPr="00762252">
        <w:rPr>
          <w:rFonts w:cs="Calibri"/>
          <w:b w:val="0"/>
          <w:iCs/>
          <w:sz w:val="22"/>
          <w:szCs w:val="22"/>
        </w:rPr>
        <w:t xml:space="preserve"> Verkehrs</w:t>
      </w:r>
      <w:r>
        <w:rPr>
          <w:rFonts w:cs="Calibri"/>
          <w:b w:val="0"/>
          <w:iCs/>
          <w:sz w:val="22"/>
          <w:szCs w:val="22"/>
        </w:rPr>
        <w:t>unfälle</w:t>
      </w:r>
      <w:r w:rsidRPr="00762252">
        <w:rPr>
          <w:rFonts w:cs="Calibri"/>
          <w:b w:val="0"/>
          <w:iCs/>
          <w:sz w:val="22"/>
          <w:szCs w:val="22"/>
        </w:rPr>
        <w:t xml:space="preserve"> durch THC</w:t>
      </w:r>
      <w:r>
        <w:rPr>
          <w:rFonts w:cs="Calibri"/>
          <w:b w:val="0"/>
          <w:iCs/>
          <w:sz w:val="22"/>
          <w:szCs w:val="22"/>
        </w:rPr>
        <w:t>-</w:t>
      </w:r>
      <w:r w:rsidRPr="00762252">
        <w:rPr>
          <w:rFonts w:cs="Calibri"/>
          <w:b w:val="0"/>
          <w:iCs/>
          <w:sz w:val="22"/>
          <w:szCs w:val="22"/>
        </w:rPr>
        <w:t>beeinträchtigt</w:t>
      </w:r>
      <w:r>
        <w:rPr>
          <w:rFonts w:cs="Calibri"/>
          <w:b w:val="0"/>
          <w:iCs/>
          <w:sz w:val="22"/>
          <w:szCs w:val="22"/>
        </w:rPr>
        <w:t>e</w:t>
      </w:r>
      <w:r w:rsidRPr="00762252">
        <w:rPr>
          <w:rFonts w:cs="Calibri"/>
          <w:b w:val="0"/>
          <w:iCs/>
          <w:sz w:val="22"/>
          <w:szCs w:val="22"/>
        </w:rPr>
        <w:t xml:space="preserve"> Fahrer ge</w:t>
      </w:r>
      <w:r>
        <w:rPr>
          <w:rFonts w:cs="Calibri"/>
          <w:b w:val="0"/>
          <w:iCs/>
          <w:sz w:val="22"/>
          <w:szCs w:val="22"/>
        </w:rPr>
        <w:t>kommen ist</w:t>
      </w:r>
      <w:r w:rsidRPr="00762252">
        <w:rPr>
          <w:rFonts w:cs="Calibri"/>
          <w:b w:val="0"/>
          <w:iCs/>
          <w:sz w:val="22"/>
          <w:szCs w:val="22"/>
        </w:rPr>
        <w:t xml:space="preserve">. Die von verschiedenen Stellen vorlegten Daten, nach denen es zu einem enormen Anstieg von DUI-Delikten durch den </w:t>
      </w:r>
      <w:r w:rsidR="000114E4">
        <w:rPr>
          <w:rFonts w:cs="Calibri"/>
          <w:b w:val="0"/>
          <w:iCs/>
          <w:sz w:val="22"/>
          <w:szCs w:val="22"/>
        </w:rPr>
        <w:t>Marihuana-</w:t>
      </w:r>
      <w:r w:rsidRPr="00762252">
        <w:rPr>
          <w:rFonts w:cs="Calibri"/>
          <w:b w:val="0"/>
          <w:iCs/>
          <w:sz w:val="22"/>
          <w:szCs w:val="22"/>
        </w:rPr>
        <w:t>Konsum geko</w:t>
      </w:r>
      <w:r w:rsidRPr="00762252">
        <w:rPr>
          <w:rFonts w:cs="Calibri"/>
          <w:b w:val="0"/>
          <w:iCs/>
          <w:sz w:val="22"/>
          <w:szCs w:val="22"/>
        </w:rPr>
        <w:t>m</w:t>
      </w:r>
      <w:r w:rsidRPr="00762252">
        <w:rPr>
          <w:rFonts w:cs="Calibri"/>
          <w:b w:val="0"/>
          <w:iCs/>
          <w:sz w:val="22"/>
          <w:szCs w:val="22"/>
        </w:rPr>
        <w:t>men sei, lassen sich an Hand der publizierten Daten nicht bestätigen bzw. erwiesen sich nach Prüfung als eine nicht sachgerechte Darstellung der Entwicklungen.</w:t>
      </w:r>
      <w:r w:rsidRPr="00762252">
        <w:rPr>
          <w:rStyle w:val="Funotenzeichen"/>
          <w:rFonts w:cs="Calibri"/>
          <w:b w:val="0"/>
          <w:iCs/>
          <w:sz w:val="22"/>
          <w:szCs w:val="22"/>
        </w:rPr>
        <w:footnoteReference w:id="49"/>
      </w:r>
      <w:r w:rsidRPr="00762252">
        <w:rPr>
          <w:rFonts w:cs="Calibri"/>
          <w:b w:val="0"/>
          <w:iCs/>
          <w:sz w:val="22"/>
          <w:szCs w:val="22"/>
        </w:rPr>
        <w:t xml:space="preserve">  </w:t>
      </w:r>
    </w:p>
    <w:p w14:paraId="269A77A3" w14:textId="59078F46" w:rsidR="00285DA9" w:rsidRPr="00762252" w:rsidRDefault="00285DA9" w:rsidP="00285DA9">
      <w:pPr>
        <w:pStyle w:val="KeinLeerraum"/>
        <w:spacing w:line="276" w:lineRule="auto"/>
        <w:jc w:val="both"/>
        <w:rPr>
          <w:szCs w:val="22"/>
        </w:rPr>
      </w:pPr>
      <w:r w:rsidRPr="00762252">
        <w:rPr>
          <w:rFonts w:cs="Calibri"/>
          <w:iCs/>
          <w:szCs w:val="22"/>
        </w:rPr>
        <w:t xml:space="preserve">Für eine Auseinandersetzung mit Daten, die über das Fahren unter dem Einfluss von Marihuana in Colorado berichten, ist herauszustellen, dass die Kontrollpraxis der Polizei im Straßenverkehr zeitgleich mit </w:t>
      </w:r>
      <w:r w:rsidR="00FE78E0">
        <w:rPr>
          <w:rFonts w:cs="Calibri"/>
          <w:iCs/>
          <w:szCs w:val="22"/>
        </w:rPr>
        <w:t xml:space="preserve">Beginn </w:t>
      </w:r>
      <w:r w:rsidRPr="00762252">
        <w:rPr>
          <w:rFonts w:cs="Calibri"/>
          <w:iCs/>
          <w:szCs w:val="22"/>
        </w:rPr>
        <w:t xml:space="preserve">der </w:t>
      </w:r>
      <w:r w:rsidR="00D01097">
        <w:rPr>
          <w:rFonts w:cs="Calibri"/>
          <w:iCs/>
          <w:szCs w:val="22"/>
        </w:rPr>
        <w:t>Regulierung</w:t>
      </w:r>
      <w:r w:rsidRPr="00762252">
        <w:rPr>
          <w:rFonts w:cs="Calibri"/>
          <w:iCs/>
          <w:szCs w:val="22"/>
        </w:rPr>
        <w:t xml:space="preserve"> in den Jahren 2013 und 2014 überproportional zug</w:t>
      </w:r>
      <w:r w:rsidRPr="00762252">
        <w:rPr>
          <w:rFonts w:cs="Calibri"/>
          <w:iCs/>
          <w:szCs w:val="22"/>
        </w:rPr>
        <w:t>e</w:t>
      </w:r>
      <w:r w:rsidRPr="00762252">
        <w:rPr>
          <w:rFonts w:cs="Calibri"/>
          <w:iCs/>
          <w:szCs w:val="22"/>
        </w:rPr>
        <w:t>nommen hat. Dies betrifft nicht nur die Zahl der Polizisten, die mit einer Grund- und Spezialau</w:t>
      </w:r>
      <w:r w:rsidRPr="00762252">
        <w:rPr>
          <w:rFonts w:cs="Calibri"/>
          <w:iCs/>
          <w:szCs w:val="22"/>
        </w:rPr>
        <w:t>s</w:t>
      </w:r>
      <w:r w:rsidRPr="00762252">
        <w:rPr>
          <w:rFonts w:cs="Calibri"/>
          <w:iCs/>
          <w:szCs w:val="22"/>
        </w:rPr>
        <w:t>bildung zum Auffinden</w:t>
      </w:r>
      <w:r>
        <w:rPr>
          <w:rFonts w:cs="Calibri"/>
          <w:iCs/>
          <w:szCs w:val="22"/>
        </w:rPr>
        <w:t xml:space="preserve"> drogenbeeinträchtigter Fahrten </w:t>
      </w:r>
      <w:r w:rsidRPr="00762252">
        <w:rPr>
          <w:rFonts w:cs="Calibri"/>
          <w:iCs/>
          <w:szCs w:val="22"/>
        </w:rPr>
        <w:t xml:space="preserve">auf der Straße patrouillieren, sondern auch deren technische Ausstattung mit Geräten, die nunmehr einen Schnelltest auf Marihuana im Rahmen allgemeiner Verkehrskontrollen ermöglichen. </w:t>
      </w:r>
      <w:r w:rsidRPr="00762252">
        <w:rPr>
          <w:szCs w:val="22"/>
        </w:rPr>
        <w:t>Auseinandersetzung</w:t>
      </w:r>
      <w:r w:rsidR="00DC0291">
        <w:rPr>
          <w:szCs w:val="22"/>
        </w:rPr>
        <w:t>en</w:t>
      </w:r>
      <w:r w:rsidRPr="00762252">
        <w:rPr>
          <w:szCs w:val="22"/>
        </w:rPr>
        <w:t xml:space="preserve"> mit vorliege</w:t>
      </w:r>
      <w:r w:rsidRPr="00762252">
        <w:rPr>
          <w:szCs w:val="22"/>
        </w:rPr>
        <w:t>n</w:t>
      </w:r>
      <w:r w:rsidR="00DC0291">
        <w:rPr>
          <w:szCs w:val="22"/>
        </w:rPr>
        <w:t>den Daten kommen</w:t>
      </w:r>
      <w:r w:rsidRPr="00762252">
        <w:rPr>
          <w:szCs w:val="22"/>
        </w:rPr>
        <w:t xml:space="preserve"> deshalb zu dem Schluss, dass nicht geklärt werden kann, ob der Anstieg </w:t>
      </w:r>
      <w:r w:rsidR="00E74B19">
        <w:rPr>
          <w:szCs w:val="22"/>
        </w:rPr>
        <w:t xml:space="preserve">bei </w:t>
      </w:r>
      <w:r w:rsidRPr="00762252">
        <w:rPr>
          <w:szCs w:val="22"/>
        </w:rPr>
        <w:t>tödlichen Unfälle</w:t>
      </w:r>
      <w:r w:rsidR="00E74B19">
        <w:rPr>
          <w:szCs w:val="22"/>
        </w:rPr>
        <w:t>n</w:t>
      </w:r>
      <w:r w:rsidRPr="00762252">
        <w:rPr>
          <w:szCs w:val="22"/>
        </w:rPr>
        <w:t>, bei denen der Fahrer im Nachhinein positiv auf THC getestet wur</w:t>
      </w:r>
      <w:r w:rsidR="00DC0291">
        <w:rPr>
          <w:szCs w:val="22"/>
        </w:rPr>
        <w:t>de</w:t>
      </w:r>
      <w:r>
        <w:rPr>
          <w:szCs w:val="22"/>
        </w:rPr>
        <w:t>, tatsäc</w:t>
      </w:r>
      <w:r>
        <w:rPr>
          <w:szCs w:val="22"/>
        </w:rPr>
        <w:t>h</w:t>
      </w:r>
      <w:r>
        <w:rPr>
          <w:szCs w:val="22"/>
        </w:rPr>
        <w:t>lich</w:t>
      </w:r>
      <w:r w:rsidRPr="00762252">
        <w:rPr>
          <w:szCs w:val="22"/>
        </w:rPr>
        <w:t xml:space="preserve"> als zeitversetzte Folge der </w:t>
      </w:r>
      <w:r w:rsidR="00D01097">
        <w:rPr>
          <w:szCs w:val="22"/>
        </w:rPr>
        <w:t>Regulierung</w:t>
      </w:r>
      <w:r w:rsidRPr="00762252">
        <w:rPr>
          <w:szCs w:val="22"/>
        </w:rPr>
        <w:t xml:space="preserve"> zu verstehen ist oder andere Bezüge als Erklärung in Betracht kommen (vgl. Reed a. a. O., S. 11). </w:t>
      </w:r>
    </w:p>
    <w:p w14:paraId="20ADF720" w14:textId="3ED893D2" w:rsidR="00285DA9" w:rsidRPr="00762252" w:rsidRDefault="00285DA9" w:rsidP="00285DA9">
      <w:pPr>
        <w:pStyle w:val="KeinLeerraum"/>
        <w:spacing w:line="276" w:lineRule="auto"/>
        <w:jc w:val="both"/>
        <w:rPr>
          <w:rFonts w:cs="Calibri"/>
          <w:iCs/>
          <w:szCs w:val="22"/>
        </w:rPr>
      </w:pPr>
      <w:r w:rsidRPr="00762252">
        <w:rPr>
          <w:rFonts w:cs="Calibri"/>
          <w:iCs/>
          <w:szCs w:val="22"/>
        </w:rPr>
        <w:t xml:space="preserve">Die referierten, allerdings </w:t>
      </w:r>
      <w:r w:rsidR="00FE78E0">
        <w:rPr>
          <w:rFonts w:cs="Calibri"/>
          <w:iCs/>
          <w:szCs w:val="22"/>
        </w:rPr>
        <w:t>sanften</w:t>
      </w:r>
      <w:r w:rsidR="00E74B19">
        <w:rPr>
          <w:rFonts w:cs="Calibri"/>
          <w:iCs/>
          <w:szCs w:val="22"/>
        </w:rPr>
        <w:t xml:space="preserve"> Anstiege in den R</w:t>
      </w:r>
      <w:r w:rsidR="00DC0291">
        <w:rPr>
          <w:rFonts w:cs="Calibri"/>
          <w:iCs/>
          <w:szCs w:val="22"/>
        </w:rPr>
        <w:t>oadsid</w:t>
      </w:r>
      <w:r w:rsidRPr="00762252">
        <w:rPr>
          <w:rFonts w:cs="Calibri"/>
          <w:iCs/>
          <w:szCs w:val="22"/>
        </w:rPr>
        <w:t>e-ermittelten positiven Marihuana-Tests unter Verkehrsteilnehmern vermitteln</w:t>
      </w:r>
      <w:r>
        <w:rPr>
          <w:rFonts w:cs="Calibri"/>
          <w:iCs/>
          <w:szCs w:val="22"/>
        </w:rPr>
        <w:t xml:space="preserve"> zumindest den Eindruck</w:t>
      </w:r>
      <w:r w:rsidRPr="00762252">
        <w:rPr>
          <w:rFonts w:cs="Calibri"/>
          <w:iCs/>
          <w:szCs w:val="22"/>
        </w:rPr>
        <w:t xml:space="preserve">, dass </w:t>
      </w:r>
      <w:r w:rsidR="00FE78E0">
        <w:rPr>
          <w:rFonts w:cs="Calibri"/>
          <w:iCs/>
          <w:szCs w:val="22"/>
        </w:rPr>
        <w:t xml:space="preserve">sich </w:t>
      </w:r>
      <w:r w:rsidRPr="00762252">
        <w:rPr>
          <w:rFonts w:cs="Calibri"/>
          <w:iCs/>
          <w:szCs w:val="22"/>
        </w:rPr>
        <w:t xml:space="preserve">in Colorado das Fahren unter Marihuana </w:t>
      </w:r>
      <w:r w:rsidR="00FE78E0">
        <w:rPr>
          <w:rFonts w:cs="Calibri"/>
          <w:iCs/>
          <w:szCs w:val="22"/>
        </w:rPr>
        <w:t xml:space="preserve">auch </w:t>
      </w:r>
      <w:r w:rsidRPr="00762252">
        <w:rPr>
          <w:rFonts w:cs="Calibri"/>
          <w:iCs/>
          <w:szCs w:val="22"/>
        </w:rPr>
        <w:t xml:space="preserve">nach der </w:t>
      </w:r>
      <w:r w:rsidR="00D01097">
        <w:rPr>
          <w:rFonts w:cs="Calibri"/>
          <w:iCs/>
          <w:szCs w:val="22"/>
        </w:rPr>
        <w:t>Regulierung</w:t>
      </w:r>
      <w:r w:rsidRPr="00762252">
        <w:rPr>
          <w:rFonts w:cs="Calibri"/>
          <w:iCs/>
          <w:szCs w:val="22"/>
        </w:rPr>
        <w:t xml:space="preserve"> </w:t>
      </w:r>
      <w:r w:rsidR="00FE78E0">
        <w:rPr>
          <w:rFonts w:cs="Calibri"/>
          <w:iCs/>
          <w:szCs w:val="22"/>
        </w:rPr>
        <w:t>nicht als sozial bedeutsames Phänomen entwickelt hat</w:t>
      </w:r>
      <w:r w:rsidRPr="00762252">
        <w:rPr>
          <w:rFonts w:cs="Calibri"/>
          <w:iCs/>
          <w:szCs w:val="22"/>
        </w:rPr>
        <w:t>.</w:t>
      </w:r>
      <w:r w:rsidR="00FE78E0">
        <w:rPr>
          <w:rFonts w:cs="Calibri"/>
          <w:iCs/>
          <w:szCs w:val="22"/>
        </w:rPr>
        <w:t xml:space="preserve"> Es</w:t>
      </w:r>
      <w:r w:rsidR="00A55FEA">
        <w:rPr>
          <w:rFonts w:cs="Calibri"/>
          <w:iCs/>
          <w:szCs w:val="22"/>
        </w:rPr>
        <w:t xml:space="preserve"> </w:t>
      </w:r>
      <w:r w:rsidR="00FE78E0">
        <w:rPr>
          <w:rFonts w:cs="Calibri"/>
          <w:iCs/>
          <w:szCs w:val="22"/>
        </w:rPr>
        <w:t>bleibt abzuwarten, ob dies</w:t>
      </w:r>
      <w:r w:rsidR="00DC0291">
        <w:rPr>
          <w:rFonts w:cs="Calibri"/>
          <w:iCs/>
          <w:szCs w:val="22"/>
        </w:rPr>
        <w:t>er</w:t>
      </w:r>
      <w:r w:rsidR="00FE78E0">
        <w:rPr>
          <w:rFonts w:cs="Calibri"/>
          <w:iCs/>
          <w:szCs w:val="22"/>
        </w:rPr>
        <w:t xml:space="preserve"> </w:t>
      </w:r>
      <w:r w:rsidR="00DC0291">
        <w:rPr>
          <w:rFonts w:cs="Calibri"/>
          <w:iCs/>
          <w:szCs w:val="22"/>
        </w:rPr>
        <w:t>Trend weiter b</w:t>
      </w:r>
      <w:r w:rsidR="00FE78E0">
        <w:rPr>
          <w:rFonts w:cs="Calibri"/>
          <w:iCs/>
          <w:szCs w:val="22"/>
        </w:rPr>
        <w:t>est</w:t>
      </w:r>
      <w:r w:rsidR="00DC0291">
        <w:rPr>
          <w:rFonts w:cs="Calibri"/>
          <w:iCs/>
          <w:szCs w:val="22"/>
        </w:rPr>
        <w:t xml:space="preserve">ehen bleibt. </w:t>
      </w:r>
    </w:p>
    <w:p w14:paraId="4CEE4364" w14:textId="316E6915" w:rsidR="00285DA9" w:rsidRPr="00762252" w:rsidRDefault="00A8485D" w:rsidP="00285DA9">
      <w:pPr>
        <w:pStyle w:val="berschrift2"/>
        <w:spacing w:line="276" w:lineRule="auto"/>
        <w:jc w:val="both"/>
      </w:pPr>
      <w:bookmarkStart w:id="45" w:name="_Toc349300374"/>
      <w:r>
        <w:t>D</w:t>
      </w:r>
      <w:r w:rsidR="00FE78E0">
        <w:t>rogen</w:t>
      </w:r>
      <w:r w:rsidR="00285DA9" w:rsidRPr="00762252">
        <w:t xml:space="preserve">politische </w:t>
      </w:r>
      <w:r w:rsidRPr="00762252">
        <w:t>Schlussfolgerungen</w:t>
      </w:r>
      <w:bookmarkEnd w:id="45"/>
      <w:r w:rsidRPr="00762252">
        <w:t xml:space="preserve"> </w:t>
      </w:r>
    </w:p>
    <w:p w14:paraId="6B9C3914" w14:textId="7C0E0B2D" w:rsidR="00285DA9" w:rsidRPr="00762252" w:rsidRDefault="00285DA9" w:rsidP="00285DA9">
      <w:pPr>
        <w:pStyle w:val="KeinLeerraum"/>
        <w:spacing w:line="276" w:lineRule="auto"/>
        <w:jc w:val="both"/>
        <w:rPr>
          <w:rFonts w:cs="Calibri"/>
          <w:iCs/>
          <w:szCs w:val="22"/>
        </w:rPr>
      </w:pPr>
      <w:r w:rsidRPr="00762252">
        <w:rPr>
          <w:rFonts w:cs="Calibri"/>
          <w:iCs/>
          <w:szCs w:val="22"/>
        </w:rPr>
        <w:t>Die vorliegenden Erfahrungen zeigen, dass das Verfügbarwerden einer bisher illegalisierten psycho</w:t>
      </w:r>
      <w:r w:rsidR="00DC0291">
        <w:rPr>
          <w:rFonts w:cs="Calibri"/>
          <w:iCs/>
          <w:szCs w:val="22"/>
        </w:rPr>
        <w:t>-</w:t>
      </w:r>
      <w:r w:rsidRPr="00762252">
        <w:rPr>
          <w:rFonts w:cs="Calibri"/>
          <w:iCs/>
          <w:szCs w:val="22"/>
        </w:rPr>
        <w:t xml:space="preserve">aktiven Substanz in </w:t>
      </w:r>
      <w:r w:rsidR="00DC0291">
        <w:rPr>
          <w:rFonts w:cs="Calibri"/>
          <w:iCs/>
          <w:szCs w:val="22"/>
        </w:rPr>
        <w:t>der</w:t>
      </w:r>
      <w:r w:rsidRPr="00762252">
        <w:rPr>
          <w:rFonts w:cs="Calibri"/>
          <w:iCs/>
          <w:szCs w:val="22"/>
        </w:rPr>
        <w:t xml:space="preserve"> Bevölkerung keinen unmittelbaren und direkten Einfluss auf  wesentliche Bereiche der Verkehrssicherheit hat. Die Wechselwirkungen zwischen neuen Ko</w:t>
      </w:r>
      <w:r w:rsidRPr="00762252">
        <w:rPr>
          <w:rFonts w:cs="Calibri"/>
          <w:iCs/>
          <w:szCs w:val="22"/>
        </w:rPr>
        <w:t>n</w:t>
      </w:r>
      <w:r w:rsidRPr="00762252">
        <w:rPr>
          <w:rFonts w:cs="Calibri"/>
          <w:iCs/>
          <w:szCs w:val="22"/>
        </w:rPr>
        <w:t>sumerfahrungen und einer Teilnahme am Straßenverkehr stellen sich eher als vermittelt über diverse andere soziale Bezüge dar. Der Vergleich zwischen Washington und Colorado unte</w:t>
      </w:r>
      <w:r w:rsidRPr="00762252">
        <w:rPr>
          <w:rFonts w:cs="Calibri"/>
          <w:iCs/>
          <w:szCs w:val="22"/>
        </w:rPr>
        <w:t>r</w:t>
      </w:r>
      <w:r w:rsidRPr="00762252">
        <w:rPr>
          <w:rFonts w:cs="Calibri"/>
          <w:iCs/>
          <w:szCs w:val="22"/>
        </w:rPr>
        <w:t>streicht, dass dazu u. a. gehört, ob und wie Limits und Grenzen für eine Vereinbarkeit von Ko</w:t>
      </w:r>
      <w:r w:rsidRPr="00762252">
        <w:rPr>
          <w:rFonts w:cs="Calibri"/>
          <w:iCs/>
          <w:szCs w:val="22"/>
        </w:rPr>
        <w:t>n</w:t>
      </w:r>
      <w:r w:rsidRPr="00762252">
        <w:rPr>
          <w:rFonts w:cs="Calibri"/>
          <w:iCs/>
          <w:szCs w:val="22"/>
        </w:rPr>
        <w:t>sum und Teilnahme am Straßenverkehr gesetzt, deren Sinnhaftigkeit für die Zielgruppe vermi</w:t>
      </w:r>
      <w:r w:rsidRPr="00762252">
        <w:rPr>
          <w:rFonts w:cs="Calibri"/>
          <w:iCs/>
          <w:szCs w:val="22"/>
        </w:rPr>
        <w:t>t</w:t>
      </w:r>
      <w:r w:rsidRPr="00762252">
        <w:rPr>
          <w:rFonts w:cs="Calibri"/>
          <w:iCs/>
          <w:szCs w:val="22"/>
        </w:rPr>
        <w:t xml:space="preserve">telt und durch Kontrolle und Sanktion auch durchgesetzt werden. </w:t>
      </w:r>
    </w:p>
    <w:p w14:paraId="6346A7BA" w14:textId="77777777" w:rsidR="00285DA9" w:rsidRPr="00762252" w:rsidRDefault="00285DA9" w:rsidP="00285DA9">
      <w:pPr>
        <w:pStyle w:val="KeinLeerraum"/>
        <w:spacing w:line="276" w:lineRule="auto"/>
        <w:jc w:val="both"/>
        <w:rPr>
          <w:rFonts w:cs="Calibri"/>
          <w:iCs/>
          <w:szCs w:val="22"/>
        </w:rPr>
      </w:pPr>
    </w:p>
    <w:p w14:paraId="289D8754" w14:textId="5B3A94A2" w:rsidR="00285DA9" w:rsidRPr="00762252" w:rsidRDefault="00DC0291" w:rsidP="00285DA9">
      <w:pPr>
        <w:pStyle w:val="KeinLeerraum"/>
        <w:spacing w:line="276" w:lineRule="auto"/>
        <w:jc w:val="both"/>
        <w:rPr>
          <w:rFonts w:cs="Calibri"/>
          <w:iCs/>
          <w:szCs w:val="22"/>
        </w:rPr>
      </w:pPr>
      <w:r>
        <w:rPr>
          <w:rFonts w:cs="Calibri"/>
          <w:iCs/>
          <w:szCs w:val="22"/>
        </w:rPr>
        <w:t>Z</w:t>
      </w:r>
      <w:r w:rsidR="00285DA9" w:rsidRPr="00762252">
        <w:rPr>
          <w:rFonts w:cs="Calibri"/>
          <w:iCs/>
          <w:szCs w:val="22"/>
        </w:rPr>
        <w:t>u unterstreichen</w:t>
      </w:r>
      <w:r>
        <w:rPr>
          <w:rFonts w:cs="Calibri"/>
          <w:iCs/>
          <w:szCs w:val="22"/>
        </w:rPr>
        <w:t xml:space="preserve"> ist</w:t>
      </w:r>
      <w:r w:rsidR="00285DA9" w:rsidRPr="00762252">
        <w:rPr>
          <w:rFonts w:cs="Calibri"/>
          <w:iCs/>
          <w:szCs w:val="22"/>
        </w:rPr>
        <w:t>, dass in einer Bevölkerung, in der Marihuana legal konsumiert werden kann, Testroutinen gelten müssen, die nicht einen Konsum in zurückliegender Zeit, sondern ta</w:t>
      </w:r>
      <w:r w:rsidR="00285DA9" w:rsidRPr="00762252">
        <w:rPr>
          <w:rFonts w:cs="Calibri"/>
          <w:iCs/>
          <w:szCs w:val="22"/>
        </w:rPr>
        <w:t>t</w:t>
      </w:r>
      <w:r w:rsidR="00285DA9" w:rsidRPr="00762252">
        <w:rPr>
          <w:rFonts w:cs="Calibri"/>
          <w:iCs/>
          <w:szCs w:val="22"/>
        </w:rPr>
        <w:t>sächlich eine aktuelle Beeinträch</w:t>
      </w:r>
      <w:r w:rsidR="00E74B19">
        <w:rPr>
          <w:rFonts w:cs="Calibri"/>
          <w:iCs/>
          <w:szCs w:val="22"/>
        </w:rPr>
        <w:t xml:space="preserve">tigung der Person durch aktiv </w:t>
      </w:r>
      <w:r w:rsidR="00285DA9" w:rsidRPr="00762252">
        <w:rPr>
          <w:rFonts w:cs="Calibri"/>
          <w:iCs/>
          <w:szCs w:val="22"/>
        </w:rPr>
        <w:t xml:space="preserve">wirkendes THC nachweisen. Welche Cut-off-Werte in diesem Zusammenhang gelten sollen, ist zudem wissenschaftlich zu begründen. Die in den Bundesstaaten Washington und Colorado festgelegten 5 ng/ml Blut scheinen eher willkürlich festgelegt und kaum wissenschaftlich begründet (vgl. u. a. </w:t>
      </w:r>
      <w:r w:rsidR="00285DA9" w:rsidRPr="00762252">
        <w:rPr>
          <w:rFonts w:cs="Arial"/>
          <w:szCs w:val="22"/>
        </w:rPr>
        <w:t>Armentano 2013).</w:t>
      </w:r>
    </w:p>
    <w:p w14:paraId="3E5D658D" w14:textId="2D7697C8" w:rsidR="00285DA9" w:rsidRPr="00762252" w:rsidRDefault="00DC0291" w:rsidP="00285DA9">
      <w:pPr>
        <w:pStyle w:val="KeinLeerraum"/>
        <w:spacing w:line="276" w:lineRule="auto"/>
        <w:jc w:val="both"/>
        <w:rPr>
          <w:rFonts w:cs="Calibri"/>
          <w:iCs/>
          <w:szCs w:val="22"/>
        </w:rPr>
      </w:pPr>
      <w:r>
        <w:rPr>
          <w:rFonts w:cs="Calibri"/>
          <w:iCs/>
          <w:szCs w:val="22"/>
        </w:rPr>
        <w:t>In beiden Bundess</w:t>
      </w:r>
      <w:r w:rsidR="00285DA9" w:rsidRPr="00762252">
        <w:rPr>
          <w:rFonts w:cs="Calibri"/>
          <w:iCs/>
          <w:szCs w:val="22"/>
        </w:rPr>
        <w:t xml:space="preserve">taaten erfolgte </w:t>
      </w:r>
      <w:r w:rsidR="00FE78E0">
        <w:rPr>
          <w:rFonts w:cs="Calibri"/>
          <w:iCs/>
          <w:szCs w:val="22"/>
        </w:rPr>
        <w:t xml:space="preserve">der Start des </w:t>
      </w:r>
      <w:r w:rsidR="00D01097">
        <w:rPr>
          <w:rFonts w:cs="Calibri"/>
          <w:iCs/>
          <w:szCs w:val="22"/>
        </w:rPr>
        <w:t>Regulierung</w:t>
      </w:r>
      <w:r w:rsidR="00FE78E0">
        <w:rPr>
          <w:rFonts w:cs="Calibri"/>
          <w:iCs/>
          <w:szCs w:val="22"/>
        </w:rPr>
        <w:t>sprozesses</w:t>
      </w:r>
      <w:r w:rsidR="00285DA9" w:rsidRPr="00762252">
        <w:rPr>
          <w:rFonts w:cs="Calibri"/>
          <w:iCs/>
          <w:szCs w:val="22"/>
        </w:rPr>
        <w:t xml:space="preserve"> von Marihuana weit vor dem Installieren eines funktionierenden Monitorings, mit dem die Effekte dieses drogenpolit</w:t>
      </w:r>
      <w:r w:rsidR="00285DA9" w:rsidRPr="00762252">
        <w:rPr>
          <w:rFonts w:cs="Calibri"/>
          <w:iCs/>
          <w:szCs w:val="22"/>
        </w:rPr>
        <w:t>i</w:t>
      </w:r>
      <w:r w:rsidR="00285DA9" w:rsidRPr="00762252">
        <w:rPr>
          <w:rFonts w:cs="Calibri"/>
          <w:iCs/>
          <w:szCs w:val="22"/>
        </w:rPr>
        <w:t>schen Schrittes für die Entwicklung der Verkehrssicherheit begleitet und ggf. Korrekturen a</w:t>
      </w:r>
      <w:r w:rsidR="00285DA9" w:rsidRPr="00762252">
        <w:rPr>
          <w:rFonts w:cs="Calibri"/>
          <w:iCs/>
          <w:szCs w:val="22"/>
        </w:rPr>
        <w:t>n</w:t>
      </w:r>
      <w:r w:rsidR="00285DA9" w:rsidRPr="00762252">
        <w:rPr>
          <w:rFonts w:cs="Calibri"/>
          <w:iCs/>
          <w:szCs w:val="22"/>
        </w:rPr>
        <w:t>gemahnt werden können. Diverse, immer wieder neu festgelegte Verfahrensabläufe, das Sa</w:t>
      </w:r>
      <w:r w:rsidR="00285DA9" w:rsidRPr="00762252">
        <w:rPr>
          <w:rFonts w:cs="Calibri"/>
          <w:iCs/>
          <w:szCs w:val="22"/>
        </w:rPr>
        <w:t>m</w:t>
      </w:r>
      <w:r w:rsidR="00285DA9" w:rsidRPr="00762252">
        <w:rPr>
          <w:rFonts w:cs="Calibri"/>
          <w:iCs/>
          <w:szCs w:val="22"/>
        </w:rPr>
        <w:t>meln von Daten durch unterschiedliche Institutionen mit unterschiedlichen Mustern und schließlich das Fehlen eines Konzepts, um tatsächlich aussagefähige Daten zu erheben, werden bis heute zu großen Herausforde</w:t>
      </w:r>
      <w:r w:rsidR="00FE78E0">
        <w:rPr>
          <w:rFonts w:cs="Calibri"/>
          <w:iCs/>
          <w:szCs w:val="22"/>
        </w:rPr>
        <w:t xml:space="preserve">rungen </w:t>
      </w:r>
      <w:r>
        <w:rPr>
          <w:rFonts w:cs="Calibri"/>
          <w:iCs/>
          <w:szCs w:val="22"/>
        </w:rPr>
        <w:t>einer</w:t>
      </w:r>
      <w:r w:rsidR="00FE78E0">
        <w:rPr>
          <w:rFonts w:cs="Calibri"/>
          <w:iCs/>
          <w:szCs w:val="22"/>
        </w:rPr>
        <w:t xml:space="preserve"> </w:t>
      </w:r>
      <w:r>
        <w:rPr>
          <w:rFonts w:cs="Calibri"/>
          <w:iCs/>
          <w:szCs w:val="22"/>
        </w:rPr>
        <w:t xml:space="preserve">wissenschaftlichen </w:t>
      </w:r>
      <w:r w:rsidR="00FE78E0">
        <w:rPr>
          <w:rFonts w:cs="Calibri"/>
          <w:iCs/>
          <w:szCs w:val="22"/>
        </w:rPr>
        <w:t xml:space="preserve">Begleitung </w:t>
      </w:r>
      <w:r>
        <w:rPr>
          <w:rFonts w:cs="Calibri"/>
          <w:iCs/>
          <w:szCs w:val="22"/>
        </w:rPr>
        <w:t>auch im</w:t>
      </w:r>
      <w:r w:rsidR="00285DA9" w:rsidRPr="00762252">
        <w:rPr>
          <w:rFonts w:cs="Calibri"/>
          <w:iCs/>
          <w:szCs w:val="22"/>
        </w:rPr>
        <w:t xml:space="preserve"> Bereich Verkehrssicherheit. Die Tatsache, dass viele an der Kontrolle betei</w:t>
      </w:r>
      <w:r>
        <w:rPr>
          <w:rFonts w:cs="Calibri"/>
          <w:iCs/>
          <w:szCs w:val="22"/>
        </w:rPr>
        <w:t>ligte</w:t>
      </w:r>
      <w:r w:rsidR="00285DA9" w:rsidRPr="00762252">
        <w:rPr>
          <w:rFonts w:cs="Calibri"/>
          <w:iCs/>
          <w:szCs w:val="22"/>
        </w:rPr>
        <w:t xml:space="preserve"> Akteure zugleich Nut</w:t>
      </w:r>
      <w:r w:rsidR="00285DA9" w:rsidRPr="00762252">
        <w:rPr>
          <w:rFonts w:cs="Calibri"/>
          <w:iCs/>
          <w:szCs w:val="22"/>
        </w:rPr>
        <w:t>z</w:t>
      </w:r>
      <w:r w:rsidR="00285DA9" w:rsidRPr="00762252">
        <w:rPr>
          <w:rFonts w:cs="Calibri"/>
          <w:iCs/>
          <w:szCs w:val="22"/>
        </w:rPr>
        <w:t xml:space="preserve">nießer zusätzlicher </w:t>
      </w:r>
      <w:r>
        <w:rPr>
          <w:rFonts w:cs="Calibri"/>
          <w:iCs/>
          <w:szCs w:val="22"/>
        </w:rPr>
        <w:t>r</w:t>
      </w:r>
      <w:r w:rsidR="00D01097">
        <w:rPr>
          <w:rFonts w:cs="Calibri"/>
          <w:iCs/>
          <w:szCs w:val="22"/>
        </w:rPr>
        <w:t>egulierung</w:t>
      </w:r>
      <w:r w:rsidR="00285DA9" w:rsidRPr="00762252">
        <w:rPr>
          <w:rFonts w:cs="Calibri"/>
          <w:iCs/>
          <w:szCs w:val="22"/>
        </w:rPr>
        <w:t>sbedingter Steuereinnahmen sein können, sofern sie die Drin</w:t>
      </w:r>
      <w:r w:rsidR="00285DA9" w:rsidRPr="00762252">
        <w:rPr>
          <w:rFonts w:cs="Calibri"/>
          <w:iCs/>
          <w:szCs w:val="22"/>
        </w:rPr>
        <w:t>g</w:t>
      </w:r>
      <w:r w:rsidR="00285DA9" w:rsidRPr="00762252">
        <w:rPr>
          <w:rFonts w:cs="Calibri"/>
          <w:iCs/>
          <w:szCs w:val="22"/>
        </w:rPr>
        <w:t xml:space="preserve">lichkeit ihrer Arbeit herausstellen, legt zudem nahe, mit einem Monitoring </w:t>
      </w:r>
      <w:r>
        <w:rPr>
          <w:rFonts w:cs="Calibri"/>
          <w:iCs/>
          <w:szCs w:val="22"/>
        </w:rPr>
        <w:t>tatsächlich</w:t>
      </w:r>
      <w:r w:rsidRPr="00762252">
        <w:rPr>
          <w:rFonts w:cs="Calibri"/>
          <w:iCs/>
          <w:szCs w:val="22"/>
        </w:rPr>
        <w:t xml:space="preserve"> unabhä</w:t>
      </w:r>
      <w:r w:rsidRPr="00762252">
        <w:rPr>
          <w:rFonts w:cs="Calibri"/>
          <w:iCs/>
          <w:szCs w:val="22"/>
        </w:rPr>
        <w:t>n</w:t>
      </w:r>
      <w:r w:rsidRPr="00762252">
        <w:rPr>
          <w:rFonts w:cs="Calibri"/>
          <w:iCs/>
          <w:szCs w:val="22"/>
        </w:rPr>
        <w:t xml:space="preserve">gige Institutionen </w:t>
      </w:r>
      <w:r w:rsidR="00285DA9" w:rsidRPr="00762252">
        <w:rPr>
          <w:rFonts w:cs="Calibri"/>
          <w:iCs/>
          <w:szCs w:val="22"/>
        </w:rPr>
        <w:t>zu betrauen.</w:t>
      </w:r>
    </w:p>
    <w:p w14:paraId="47273824" w14:textId="40C69782" w:rsidR="00285DA9" w:rsidRPr="00762252" w:rsidRDefault="00285DA9" w:rsidP="00285DA9">
      <w:pPr>
        <w:widowControl w:val="0"/>
        <w:autoSpaceDE w:val="0"/>
        <w:autoSpaceDN w:val="0"/>
        <w:adjustRightInd w:val="0"/>
        <w:spacing w:after="240" w:line="276" w:lineRule="auto"/>
        <w:jc w:val="both"/>
        <w:rPr>
          <w:rFonts w:cs="Calibri"/>
          <w:iCs/>
          <w:szCs w:val="22"/>
        </w:rPr>
      </w:pPr>
      <w:r w:rsidRPr="00762252">
        <w:rPr>
          <w:rFonts w:cs="Calibri"/>
          <w:iCs/>
          <w:szCs w:val="22"/>
        </w:rPr>
        <w:t xml:space="preserve">Unübersehbar ist </w:t>
      </w:r>
      <w:r w:rsidR="00E74B19">
        <w:rPr>
          <w:rFonts w:cs="Calibri"/>
          <w:iCs/>
          <w:szCs w:val="22"/>
        </w:rPr>
        <w:t xml:space="preserve">die </w:t>
      </w:r>
      <w:r w:rsidRPr="00762252">
        <w:rPr>
          <w:rFonts w:cs="Calibri"/>
          <w:iCs/>
          <w:szCs w:val="22"/>
        </w:rPr>
        <w:t>Tatsache, dass sich mit der legalen Verfügbarkeit von Marihuana auch in Bezug auf die Möglichkeiten und Grenzen einer Vereinbarkeit von Konsum und Teilnahme am Straßenverkehr unter allen Verkehrsteilnehmern Lernprozesse zu einem Risikomanagement vollziehen müssen.</w:t>
      </w:r>
      <w:r w:rsidRPr="00762252">
        <w:rPr>
          <w:rFonts w:cs="Georgia"/>
          <w:szCs w:val="22"/>
        </w:rPr>
        <w:t xml:space="preserve"> So </w:t>
      </w:r>
      <w:r w:rsidR="00FE78E0" w:rsidRPr="00762252">
        <w:rPr>
          <w:rFonts w:cs="Georgia"/>
          <w:szCs w:val="22"/>
        </w:rPr>
        <w:t xml:space="preserve">waren </w:t>
      </w:r>
      <w:r w:rsidR="00DC0291" w:rsidRPr="00762252">
        <w:rPr>
          <w:rFonts w:cs="Georgia"/>
          <w:szCs w:val="22"/>
        </w:rPr>
        <w:t>2014</w:t>
      </w:r>
      <w:r w:rsidR="00DC0291">
        <w:rPr>
          <w:rFonts w:cs="Georgia"/>
          <w:szCs w:val="22"/>
        </w:rPr>
        <w:t xml:space="preserve"> </w:t>
      </w:r>
      <w:r w:rsidRPr="00762252">
        <w:rPr>
          <w:rFonts w:cs="Georgia"/>
          <w:szCs w:val="22"/>
        </w:rPr>
        <w:t>in einer Studie unter Straßenverkehrsteilnehmer im Jahr, 65,1 % aller befragten Fahrer der Auffassung, dass zwei Stunden nach dem Konsum von Mar</w:t>
      </w:r>
      <w:r w:rsidRPr="00762252">
        <w:rPr>
          <w:rFonts w:cs="Georgia"/>
          <w:szCs w:val="22"/>
        </w:rPr>
        <w:t>i</w:t>
      </w:r>
      <w:r w:rsidRPr="00762252">
        <w:rPr>
          <w:rFonts w:cs="Georgia"/>
          <w:szCs w:val="22"/>
        </w:rPr>
        <w:t>huana die Fahrtauglichkeit wieder gegeben sei, 45 % dieser Befragten allerdings schon vor A</w:t>
      </w:r>
      <w:r w:rsidRPr="00762252">
        <w:rPr>
          <w:rFonts w:cs="Georgia"/>
          <w:szCs w:val="22"/>
        </w:rPr>
        <w:t>b</w:t>
      </w:r>
      <w:r w:rsidRPr="00762252">
        <w:rPr>
          <w:rFonts w:cs="Georgia"/>
          <w:szCs w:val="22"/>
        </w:rPr>
        <w:t>lauf von zwei Stunden gefahren sind, 60</w:t>
      </w:r>
      <w:r w:rsidR="00FE78E0">
        <w:rPr>
          <w:rFonts w:cs="Georgia"/>
          <w:szCs w:val="22"/>
        </w:rPr>
        <w:t xml:space="preserve"> % glaubten, dass ihr Marihuana-K</w:t>
      </w:r>
      <w:r w:rsidRPr="00762252">
        <w:rPr>
          <w:rFonts w:cs="Georgia"/>
          <w:szCs w:val="22"/>
        </w:rPr>
        <w:t>onsum ihre Fahrtüc</w:t>
      </w:r>
      <w:r w:rsidRPr="00762252">
        <w:rPr>
          <w:rFonts w:cs="Georgia"/>
          <w:szCs w:val="22"/>
        </w:rPr>
        <w:t>h</w:t>
      </w:r>
      <w:r w:rsidRPr="00762252">
        <w:rPr>
          <w:rFonts w:cs="Georgia"/>
          <w:szCs w:val="22"/>
        </w:rPr>
        <w:t xml:space="preserve">tigkeit nicht beeinflussen würde und nur 3 % </w:t>
      </w:r>
      <w:r w:rsidR="009E093A">
        <w:rPr>
          <w:rFonts w:cs="Georgia"/>
          <w:szCs w:val="22"/>
        </w:rPr>
        <w:t>räumten ein</w:t>
      </w:r>
      <w:r w:rsidRPr="00762252">
        <w:rPr>
          <w:rFonts w:cs="Georgia"/>
          <w:szCs w:val="22"/>
        </w:rPr>
        <w:t>, dass ihr aktueller Konsum ihre Fah</w:t>
      </w:r>
      <w:r w:rsidRPr="00762252">
        <w:rPr>
          <w:rFonts w:cs="Georgia"/>
          <w:szCs w:val="22"/>
        </w:rPr>
        <w:t>r</w:t>
      </w:r>
      <w:r w:rsidRPr="00762252">
        <w:rPr>
          <w:rFonts w:cs="Georgia"/>
          <w:szCs w:val="22"/>
        </w:rPr>
        <w:t>tauglichkeit verschlechtere (vgl.</w:t>
      </w:r>
      <w:r w:rsidR="00A55FEA">
        <w:rPr>
          <w:rFonts w:cs="Georgia"/>
          <w:szCs w:val="22"/>
        </w:rPr>
        <w:t xml:space="preserve"> </w:t>
      </w:r>
      <w:r w:rsidR="00A55FEA" w:rsidRPr="00762252">
        <w:rPr>
          <w:rFonts w:cs="Arial"/>
          <w:bCs/>
          <w:szCs w:val="22"/>
        </w:rPr>
        <w:t>Northwest high intensity drug traffic</w:t>
      </w:r>
      <w:r w:rsidR="00A55FEA">
        <w:rPr>
          <w:rFonts w:cs="Arial"/>
          <w:bCs/>
          <w:szCs w:val="22"/>
        </w:rPr>
        <w:t>k</w:t>
      </w:r>
      <w:r w:rsidR="00A55FEA" w:rsidRPr="00762252">
        <w:rPr>
          <w:rFonts w:cs="Arial"/>
          <w:bCs/>
          <w:szCs w:val="22"/>
        </w:rPr>
        <w:t>ing area</w:t>
      </w:r>
      <w:r w:rsidR="00A55FEA">
        <w:rPr>
          <w:rFonts w:cs="Arial"/>
          <w:bCs/>
          <w:szCs w:val="22"/>
        </w:rPr>
        <w:t xml:space="preserve"> 2016</w:t>
      </w:r>
      <w:r w:rsidRPr="00762252">
        <w:rPr>
          <w:rFonts w:cs="Calibri"/>
          <w:szCs w:val="22"/>
        </w:rPr>
        <w:t xml:space="preserve">, </w:t>
      </w:r>
      <w:r w:rsidRPr="00762252">
        <w:rPr>
          <w:rFonts w:cs="Georgia"/>
          <w:szCs w:val="22"/>
        </w:rPr>
        <w:t xml:space="preserve">S. 87). </w:t>
      </w:r>
      <w:r w:rsidR="009E093A">
        <w:rPr>
          <w:rFonts w:cs="Georgia"/>
          <w:szCs w:val="22"/>
        </w:rPr>
        <w:t>I</w:t>
      </w:r>
      <w:r w:rsidR="009E093A">
        <w:rPr>
          <w:rFonts w:cs="Georgia"/>
          <w:szCs w:val="22"/>
        </w:rPr>
        <w:t>n</w:t>
      </w:r>
      <w:r w:rsidR="009E093A">
        <w:rPr>
          <w:rFonts w:cs="Georgia"/>
          <w:szCs w:val="22"/>
        </w:rPr>
        <w:t>sofern</w:t>
      </w:r>
      <w:r w:rsidRPr="00762252">
        <w:rPr>
          <w:rFonts w:cs="Georgia"/>
          <w:szCs w:val="22"/>
        </w:rPr>
        <w:t xml:space="preserve"> schält sich als </w:t>
      </w:r>
      <w:r w:rsidRPr="00762252">
        <w:rPr>
          <w:rFonts w:cs="Calibri"/>
          <w:iCs/>
          <w:szCs w:val="22"/>
        </w:rPr>
        <w:t>bedeutsame Erfahrung heraus, dass die notwendigen Lernprozesse nicht allein durch eine verstärkte Kontroll- und Sanktionspraxis der Exekutive begleitet werden dü</w:t>
      </w:r>
      <w:r w:rsidRPr="00762252">
        <w:rPr>
          <w:rFonts w:cs="Calibri"/>
          <w:iCs/>
          <w:szCs w:val="22"/>
        </w:rPr>
        <w:t>r</w:t>
      </w:r>
      <w:r w:rsidRPr="00762252">
        <w:rPr>
          <w:rFonts w:cs="Calibri"/>
          <w:iCs/>
          <w:szCs w:val="22"/>
        </w:rPr>
        <w:t>fen. Vielmehr gilt es, über diverse Medien und mit entsprechenden Kampagnen zu den Zusa</w:t>
      </w:r>
      <w:r w:rsidRPr="00762252">
        <w:rPr>
          <w:rFonts w:cs="Calibri"/>
          <w:iCs/>
          <w:szCs w:val="22"/>
        </w:rPr>
        <w:t>m</w:t>
      </w:r>
      <w:r w:rsidRPr="00762252">
        <w:rPr>
          <w:rFonts w:cs="Calibri"/>
          <w:iCs/>
          <w:szCs w:val="22"/>
        </w:rPr>
        <w:t xml:space="preserve">menhängen von Marihuana-Konsum und Verkehrssicherheit alltagsbezogen aufzuklären. Dies würde allerdings weit über </w:t>
      </w:r>
      <w:r w:rsidR="009E093A">
        <w:rPr>
          <w:rFonts w:cs="Calibri"/>
          <w:iCs/>
          <w:szCs w:val="22"/>
        </w:rPr>
        <w:t>eine</w:t>
      </w:r>
      <w:r w:rsidRPr="00762252">
        <w:rPr>
          <w:rFonts w:cs="Calibri"/>
          <w:iCs/>
          <w:szCs w:val="22"/>
        </w:rPr>
        <w:t xml:space="preserve"> </w:t>
      </w:r>
      <w:r w:rsidR="009E093A" w:rsidRPr="00762252">
        <w:rPr>
          <w:rFonts w:cs="Calibri"/>
          <w:iCs/>
          <w:szCs w:val="22"/>
        </w:rPr>
        <w:t>Kampagne</w:t>
      </w:r>
      <w:r w:rsidR="009E093A">
        <w:rPr>
          <w:rFonts w:cs="Calibri"/>
          <w:iCs/>
          <w:szCs w:val="22"/>
        </w:rPr>
        <w:t xml:space="preserve">, wie sie </w:t>
      </w:r>
      <w:r w:rsidRPr="00762252">
        <w:rPr>
          <w:rFonts w:cs="Calibri"/>
          <w:iCs/>
          <w:szCs w:val="22"/>
        </w:rPr>
        <w:t>beispielsweise in Colorado praktiziert</w:t>
      </w:r>
      <w:r w:rsidR="009E093A">
        <w:rPr>
          <w:rFonts w:cs="Calibri"/>
          <w:iCs/>
          <w:szCs w:val="22"/>
        </w:rPr>
        <w:t xml:space="preserve"> wird,</w:t>
      </w:r>
      <w:r w:rsidR="009E093A" w:rsidRPr="009E093A">
        <w:rPr>
          <w:rFonts w:cs="Calibri"/>
          <w:iCs/>
          <w:szCs w:val="22"/>
        </w:rPr>
        <w:t xml:space="preserve"> </w:t>
      </w:r>
      <w:r w:rsidR="009E093A" w:rsidRPr="00762252">
        <w:rPr>
          <w:rFonts w:cs="Calibri"/>
          <w:iCs/>
          <w:szCs w:val="22"/>
        </w:rPr>
        <w:t>„</w:t>
      </w:r>
      <w:r w:rsidR="009E093A" w:rsidRPr="00762252">
        <w:rPr>
          <w:rFonts w:cs="Helvetica Neue"/>
          <w:szCs w:val="22"/>
        </w:rPr>
        <w:t>Drive High, Get a DUI"</w:t>
      </w:r>
      <w:r w:rsidR="009E093A" w:rsidRPr="009E093A">
        <w:rPr>
          <w:rFonts w:cs="Helvetica Neue"/>
          <w:szCs w:val="22"/>
        </w:rPr>
        <w:t xml:space="preserve"> </w:t>
      </w:r>
      <w:r w:rsidR="009E093A" w:rsidRPr="00762252">
        <w:rPr>
          <w:rFonts w:cs="Helvetica Neue"/>
          <w:szCs w:val="22"/>
        </w:rPr>
        <w:t>hinausgehen</w:t>
      </w:r>
      <w:r w:rsidR="009E093A">
        <w:rPr>
          <w:rFonts w:cs="Helvetica Neue"/>
          <w:szCs w:val="22"/>
        </w:rPr>
        <w:t>.</w:t>
      </w:r>
    </w:p>
    <w:p w14:paraId="68DE972F" w14:textId="4228B85C" w:rsidR="00285DA9" w:rsidRPr="00762252" w:rsidRDefault="00FE78E0" w:rsidP="00FE78E0">
      <w:pPr>
        <w:pStyle w:val="berschrift2"/>
        <w:numPr>
          <w:ilvl w:val="0"/>
          <w:numId w:val="0"/>
        </w:numPr>
      </w:pPr>
      <w:bookmarkStart w:id="46" w:name="_Toc349300375"/>
      <w:r>
        <w:t>Literatur</w:t>
      </w:r>
      <w:bookmarkEnd w:id="46"/>
    </w:p>
    <w:p w14:paraId="6BFCC3B3" w14:textId="77777777" w:rsidR="00082C7F" w:rsidRPr="00905B60" w:rsidRDefault="00082C7F" w:rsidP="00082C7F">
      <w:pPr>
        <w:pStyle w:val="KeinLeerraum"/>
        <w:ind w:left="284" w:hanging="284"/>
        <w:rPr>
          <w:szCs w:val="22"/>
        </w:rPr>
      </w:pPr>
      <w:r w:rsidRPr="00905B60">
        <w:rPr>
          <w:szCs w:val="22"/>
        </w:rPr>
        <w:t xml:space="preserve">AAA Foundation for Traffic Safety (2016) : Cannabis Use among Drivers Suspected of Driving Under the Influence or Involved in Collisions: Analysis of Washington State Patrol Data. In: </w:t>
      </w:r>
      <w:hyperlink r:id="rId98" w:history="1">
        <w:r w:rsidRPr="00905B60">
          <w:rPr>
            <w:rStyle w:val="Link"/>
            <w:color w:val="auto"/>
            <w:szCs w:val="22"/>
          </w:rPr>
          <w:t>https://www.aaafoundation.org/sites/default/files/CannabisUseAmongDriversInWashingtonFS.pdf</w:t>
        </w:r>
      </w:hyperlink>
      <w:r w:rsidRPr="00905B60">
        <w:rPr>
          <w:szCs w:val="22"/>
        </w:rPr>
        <w:t xml:space="preserve"> vom 17. Oktober 2016</w:t>
      </w:r>
    </w:p>
    <w:p w14:paraId="5AECA06A" w14:textId="2A458803" w:rsidR="00082C7F" w:rsidRPr="00905B60" w:rsidRDefault="00082C7F" w:rsidP="00082C7F">
      <w:pPr>
        <w:pStyle w:val="KeinLeerraum"/>
        <w:ind w:left="284" w:hanging="284"/>
        <w:rPr>
          <w:rFonts w:cs="Arial"/>
          <w:szCs w:val="22"/>
        </w:rPr>
      </w:pPr>
      <w:r w:rsidRPr="00905B60">
        <w:rPr>
          <w:rFonts w:cs="Arial"/>
          <w:szCs w:val="22"/>
        </w:rPr>
        <w:t>Armentano, Paul (2013):</w:t>
      </w:r>
      <w:r w:rsidRPr="00905B60">
        <w:rPr>
          <w:rFonts w:cs="Georgia"/>
          <w:szCs w:val="22"/>
        </w:rPr>
        <w:t xml:space="preserve"> Should Per Se Limits Be Imposed For Cannabis? Equating Cannabinoid Blood Concentrations with Actual Driver Impairment: Practical Limitations and Concerns. In: </w:t>
      </w:r>
      <w:r w:rsidRPr="00905B60">
        <w:rPr>
          <w:rFonts w:cs="Arial"/>
          <w:iCs/>
          <w:szCs w:val="22"/>
        </w:rPr>
        <w:t xml:space="preserve">Humboldt Journal of Social Relations, </w:t>
      </w:r>
      <w:r w:rsidRPr="00905B60">
        <w:rPr>
          <w:rFonts w:cs="Arial"/>
          <w:szCs w:val="22"/>
        </w:rPr>
        <w:t>Vol. 35, Current Perspectives on Ma</w:t>
      </w:r>
      <w:r>
        <w:rPr>
          <w:rFonts w:cs="Arial"/>
          <w:szCs w:val="22"/>
        </w:rPr>
        <w:t xml:space="preserve">rijuana and Society (2013), S. </w:t>
      </w:r>
      <w:r w:rsidRPr="00905B60">
        <w:rPr>
          <w:rFonts w:cs="Arial"/>
          <w:szCs w:val="22"/>
        </w:rPr>
        <w:t>41-51</w:t>
      </w:r>
    </w:p>
    <w:p w14:paraId="42D2DC0C" w14:textId="18885768" w:rsidR="00082C7F" w:rsidRPr="00905B60" w:rsidRDefault="00082C7F" w:rsidP="00082C7F">
      <w:pPr>
        <w:pStyle w:val="KeinLeerraum"/>
        <w:ind w:left="284" w:hanging="284"/>
        <w:rPr>
          <w:rFonts w:cs="SourceSansPro-Regular"/>
          <w:szCs w:val="22"/>
        </w:rPr>
      </w:pPr>
      <w:r w:rsidRPr="00905B60">
        <w:rPr>
          <w:rFonts w:cs="SourceSansPro-Regular"/>
          <w:szCs w:val="22"/>
        </w:rPr>
        <w:t xml:space="preserve">Clarke, Chelsey; Harlow, Grwady; Wong, Kevin (2016): </w:t>
      </w:r>
      <w:r w:rsidRPr="00905B60">
        <w:rPr>
          <w:rFonts w:cs="Times"/>
          <w:bCs/>
          <w:szCs w:val="22"/>
        </w:rPr>
        <w:t>The Legalization of Marijuana in Color</w:t>
      </w:r>
      <w:r w:rsidRPr="00905B60">
        <w:rPr>
          <w:rFonts w:cs="Times"/>
          <w:bCs/>
          <w:szCs w:val="22"/>
        </w:rPr>
        <w:t>a</w:t>
      </w:r>
      <w:r w:rsidRPr="00905B60">
        <w:rPr>
          <w:rFonts w:cs="Times"/>
          <w:bCs/>
          <w:szCs w:val="22"/>
        </w:rPr>
        <w:t xml:space="preserve">do: The Impact. Vol. 4/September 2016, </w:t>
      </w:r>
      <w:r w:rsidRPr="00905B60">
        <w:rPr>
          <w:rFonts w:cs="SourceSansPro-Regular"/>
          <w:szCs w:val="22"/>
        </w:rPr>
        <w:t>Rocky Mountain HIDTA, Investigation Support Ce</w:t>
      </w:r>
      <w:r w:rsidRPr="00905B60">
        <w:rPr>
          <w:rFonts w:cs="SourceSansPro-Regular"/>
          <w:szCs w:val="22"/>
        </w:rPr>
        <w:t>n</w:t>
      </w:r>
      <w:r w:rsidRPr="00905B60">
        <w:rPr>
          <w:rFonts w:cs="SourceSansPro-Regular"/>
          <w:szCs w:val="22"/>
        </w:rPr>
        <w:t xml:space="preserve">ter, Strategic Intelligence Unit. </w:t>
      </w:r>
      <w:hyperlink r:id="rId99" w:history="1">
        <w:r w:rsidR="00040120" w:rsidRPr="00040120">
          <w:rPr>
            <w:rStyle w:val="Link"/>
            <w:rFonts w:cs="Arial"/>
            <w:bCs/>
            <w:color w:val="auto"/>
            <w:szCs w:val="22"/>
          </w:rPr>
          <w:t>https://drive.google.com/file/d/0Bxs3xMLjUamANHhRRkluWkRobXM/view</w:t>
        </w:r>
      </w:hyperlink>
      <w:r w:rsidR="00040120" w:rsidRPr="00040120">
        <w:rPr>
          <w:rFonts w:cs="Arial"/>
          <w:bCs/>
          <w:szCs w:val="22"/>
        </w:rPr>
        <w:t xml:space="preserve"> vom</w:t>
      </w:r>
      <w:r w:rsidR="00040120" w:rsidRPr="00AC529F">
        <w:rPr>
          <w:rFonts w:cs="Arial"/>
          <w:bCs/>
          <w:szCs w:val="22"/>
        </w:rPr>
        <w:t xml:space="preserve"> 12.12.2016</w:t>
      </w:r>
    </w:p>
    <w:p w14:paraId="2E509486" w14:textId="77777777" w:rsidR="00082C7F" w:rsidRPr="00905B60" w:rsidRDefault="00082C7F" w:rsidP="00082C7F">
      <w:pPr>
        <w:pStyle w:val="KeinLeerraum"/>
        <w:ind w:left="284" w:hanging="284"/>
        <w:rPr>
          <w:rFonts w:cs="RobotoCondensed-Regular"/>
          <w:szCs w:val="22"/>
        </w:rPr>
      </w:pPr>
      <w:r w:rsidRPr="00905B60">
        <w:rPr>
          <w:rFonts w:cs="Times"/>
          <w:szCs w:val="22"/>
        </w:rPr>
        <w:t xml:space="preserve">Cloos, Kassondra (2015): </w:t>
      </w:r>
      <w:r w:rsidRPr="00905B60">
        <w:rPr>
          <w:rFonts w:cs="RobotoCondensed-Regular"/>
          <w:szCs w:val="22"/>
        </w:rPr>
        <w:t>Colorado State Patrol: Legal marijuana brought 'new era' of DUI a</w:t>
      </w:r>
      <w:r w:rsidRPr="00905B60">
        <w:rPr>
          <w:rFonts w:cs="RobotoCondensed-Regular"/>
          <w:szCs w:val="22"/>
        </w:rPr>
        <w:t>r</w:t>
      </w:r>
      <w:r w:rsidRPr="00905B60">
        <w:rPr>
          <w:rFonts w:cs="RobotoCondensed-Regular"/>
          <w:szCs w:val="22"/>
        </w:rPr>
        <w:t xml:space="preserve">rests in 2014 In: The Gazette vom 30. Januar 2015, </w:t>
      </w:r>
      <w:hyperlink r:id="rId100" w:history="1">
        <w:r w:rsidRPr="00905B60">
          <w:rPr>
            <w:rStyle w:val="Link"/>
            <w:rFonts w:cs="RobotoCondensed-Regular"/>
            <w:color w:val="auto"/>
            <w:szCs w:val="22"/>
          </w:rPr>
          <w:t>http://gazette.com/colorado-state-patrol-legal-marijuana-brought-new-era-of-dui-arrests-in-2014/article/1545452</w:t>
        </w:r>
      </w:hyperlink>
      <w:r w:rsidRPr="00905B60">
        <w:rPr>
          <w:rFonts w:cs="RobotoCondensed-Regular"/>
          <w:szCs w:val="22"/>
        </w:rPr>
        <w:t xml:space="preserve"> vom 24 Oktober 2016</w:t>
      </w:r>
    </w:p>
    <w:p w14:paraId="645E9C30" w14:textId="77777777" w:rsidR="00082C7F" w:rsidRPr="00905B60" w:rsidRDefault="00082C7F" w:rsidP="00082C7F">
      <w:pPr>
        <w:pStyle w:val="KeinLeerraum"/>
        <w:ind w:left="284" w:hanging="284"/>
        <w:rPr>
          <w:rFonts w:cs="Times"/>
          <w:szCs w:val="22"/>
        </w:rPr>
      </w:pPr>
      <w:r w:rsidRPr="00905B60">
        <w:rPr>
          <w:rFonts w:cs="Georgia"/>
          <w:iCs/>
          <w:szCs w:val="22"/>
        </w:rPr>
        <w:t xml:space="preserve">Dills, Angela; Goffard, Sietse; Miron, Jeffrey (2016):  </w:t>
      </w:r>
      <w:r w:rsidRPr="00905B60">
        <w:rPr>
          <w:rFonts w:cs="Times"/>
          <w:szCs w:val="22"/>
        </w:rPr>
        <w:t>Dose of Reality: The Effect of State Mariju</w:t>
      </w:r>
      <w:r w:rsidRPr="00905B60">
        <w:rPr>
          <w:rFonts w:cs="Times"/>
          <w:szCs w:val="22"/>
        </w:rPr>
        <w:t>a</w:t>
      </w:r>
      <w:r w:rsidRPr="00905B60">
        <w:rPr>
          <w:rFonts w:cs="Times"/>
          <w:szCs w:val="22"/>
        </w:rPr>
        <w:t xml:space="preserve">na Legalizations. In:  POLICY ANALYSIS NO. 799, S. Cato Institute, </w:t>
      </w:r>
      <w:r w:rsidRPr="00905B60">
        <w:rPr>
          <w:rFonts w:cs="Georgia"/>
          <w:iCs/>
          <w:szCs w:val="22"/>
        </w:rPr>
        <w:t xml:space="preserve">By September 16, 2016 </w:t>
      </w:r>
    </w:p>
    <w:p w14:paraId="1C9AD088" w14:textId="77777777" w:rsidR="00082C7F" w:rsidRPr="00040120" w:rsidRDefault="00082C7F" w:rsidP="00082C7F">
      <w:pPr>
        <w:pStyle w:val="KeinLeerraum"/>
        <w:ind w:left="142" w:hanging="142"/>
        <w:rPr>
          <w:rFonts w:cs="Times"/>
          <w:b/>
        </w:rPr>
      </w:pPr>
      <w:r w:rsidRPr="00905B60">
        <w:t>Drugged Driving Statistics</w:t>
      </w:r>
      <w:r w:rsidRPr="00905B60">
        <w:rPr>
          <w:rFonts w:cs="Times"/>
        </w:rPr>
        <w:t xml:space="preserve">  Colorado (2016), In: </w:t>
      </w:r>
      <w:hyperlink r:id="rId101" w:history="1">
        <w:r w:rsidRPr="00040120">
          <w:rPr>
            <w:rStyle w:val="Link"/>
            <w:rFonts w:cs="Times"/>
            <w:color w:val="auto"/>
            <w:szCs w:val="22"/>
          </w:rPr>
          <w:t>https://www.codot.gov/safety/alcohol-and-impaired-driving/druggeddriving/drugged-driver-statistics/view</w:t>
        </w:r>
      </w:hyperlink>
      <w:r w:rsidRPr="00040120">
        <w:rPr>
          <w:rFonts w:cs="Times"/>
        </w:rPr>
        <w:t xml:space="preserve"> vom 24. Oktober 2016</w:t>
      </w:r>
    </w:p>
    <w:p w14:paraId="7A3EA4E1" w14:textId="77777777" w:rsidR="00082C7F" w:rsidRPr="00040120" w:rsidRDefault="00082C7F" w:rsidP="00082C7F">
      <w:pPr>
        <w:pStyle w:val="KeinLeerraum"/>
        <w:ind w:left="142" w:hanging="142"/>
        <w:rPr>
          <w:rFonts w:cs="Times"/>
        </w:rPr>
      </w:pPr>
      <w:r w:rsidRPr="00040120">
        <w:t xml:space="preserve">Ingold, John (2014): Colorado marjuana legalization’s impact on stoned driving unknown. In: Denverpost vom 9. Februar 2014, </w:t>
      </w:r>
      <w:hyperlink r:id="rId102" w:history="1">
        <w:r w:rsidRPr="00040120">
          <w:rPr>
            <w:rStyle w:val="Link"/>
            <w:color w:val="auto"/>
            <w:szCs w:val="22"/>
          </w:rPr>
          <w:t>http://www.denverpost.com/2014/02/09/colorado-marijuana-legalizations-impact-on-stoned-driving-unknown/</w:t>
        </w:r>
      </w:hyperlink>
      <w:r w:rsidRPr="00040120">
        <w:t xml:space="preserve"> vom 21.</w:t>
      </w:r>
      <w:r w:rsidRPr="00040120">
        <w:rPr>
          <w:rFonts w:cs="Arial"/>
          <w:bCs/>
        </w:rPr>
        <w:t xml:space="preserve"> Oktober </w:t>
      </w:r>
      <w:r w:rsidRPr="00040120">
        <w:t>2016</w:t>
      </w:r>
    </w:p>
    <w:p w14:paraId="504843C6" w14:textId="501CB476" w:rsidR="00082C7F" w:rsidRPr="00040120" w:rsidRDefault="00082C7F" w:rsidP="00082C7F">
      <w:pPr>
        <w:pStyle w:val="KeinLeerraum"/>
        <w:ind w:left="284" w:hanging="284"/>
        <w:rPr>
          <w:szCs w:val="22"/>
        </w:rPr>
      </w:pPr>
      <w:r w:rsidRPr="00040120">
        <w:rPr>
          <w:szCs w:val="22"/>
        </w:rPr>
        <w:t>Initiative 502, Revised Code of Washington 46.61.502</w:t>
      </w:r>
      <w:r w:rsidR="00040120" w:rsidRPr="00040120">
        <w:rPr>
          <w:szCs w:val="22"/>
        </w:rPr>
        <w:t xml:space="preserve"> In: </w:t>
      </w:r>
      <w:hyperlink r:id="rId103" w:history="1">
        <w:r w:rsidR="00040120" w:rsidRPr="00040120">
          <w:rPr>
            <w:rStyle w:val="Link"/>
            <w:color w:val="auto"/>
            <w:szCs w:val="22"/>
          </w:rPr>
          <w:t>http://apps.leg.wa.gov/RCW/default.aspx?cite=46.61.502</w:t>
        </w:r>
      </w:hyperlink>
      <w:r w:rsidR="00040120" w:rsidRPr="00040120">
        <w:rPr>
          <w:szCs w:val="22"/>
        </w:rPr>
        <w:t xml:space="preserve"> vom 14.12.2016</w:t>
      </w:r>
    </w:p>
    <w:p w14:paraId="7F5CDC77" w14:textId="77777777" w:rsidR="00082C7F" w:rsidRPr="00905B60" w:rsidRDefault="00082C7F" w:rsidP="00082C7F">
      <w:pPr>
        <w:pStyle w:val="KeinLeerraum"/>
        <w:ind w:left="284" w:hanging="284"/>
        <w:rPr>
          <w:rFonts w:cs="font000000001dbab6f8"/>
          <w:szCs w:val="22"/>
        </w:rPr>
      </w:pPr>
      <w:r w:rsidRPr="00905B60">
        <w:rPr>
          <w:rFonts w:cs="font000000001dbab6f8"/>
          <w:szCs w:val="22"/>
        </w:rPr>
        <w:t xml:space="preserve">Linman, D. H. (2016): On the Road With Mary Jane: Is Cannabis Endangering Our Nation's Highways? In: </w:t>
      </w:r>
      <w:hyperlink r:id="rId104" w:history="1">
        <w:r w:rsidRPr="00905B60">
          <w:rPr>
            <w:rStyle w:val="Link"/>
            <w:rFonts w:cs="font000000001dbab6f8"/>
            <w:color w:val="auto"/>
            <w:szCs w:val="22"/>
          </w:rPr>
          <w:t>http://marijuanalegalization.about.com/od/Marijuana-Basics/fl/Is-Buzzed-Driving-Drunk-Driving.htm?utm_term=colorado%20dui%20laws%20marijuana&amp;utm_content=p1-main-1-title&amp;utm_medium=sem-sub&amp;utm_source=&amp;utm_campaign=adid-a05fca22-a78a-4254-be3e-d6f687167814-0-ab_msb_ocode-31648&amp;ad=semD&amp;an=&amp;am=&amp;q=colorado%20dui%20laws%20marijuana&amp;o=31648&amp;qsrc=&amp;l=&amp;askid=a05fca22-a78a-4254-be3e-d6f687167814-0-ab_msb</w:t>
        </w:r>
      </w:hyperlink>
      <w:r w:rsidRPr="00905B60">
        <w:rPr>
          <w:rFonts w:cs="font000000001dbab6f8"/>
          <w:szCs w:val="22"/>
        </w:rPr>
        <w:t xml:space="preserve"> vom 21.</w:t>
      </w:r>
      <w:r w:rsidRPr="00905B60">
        <w:rPr>
          <w:rFonts w:cs="Arial"/>
          <w:bCs/>
          <w:szCs w:val="22"/>
        </w:rPr>
        <w:t xml:space="preserve"> Oktober </w:t>
      </w:r>
      <w:r w:rsidRPr="00905B60">
        <w:rPr>
          <w:rFonts w:cs="font000000001dbab6f8"/>
          <w:szCs w:val="22"/>
        </w:rPr>
        <w:t>2016</w:t>
      </w:r>
    </w:p>
    <w:p w14:paraId="3417DF4D" w14:textId="12DE6E62" w:rsidR="00040120" w:rsidRPr="001E7306" w:rsidRDefault="00082C7F" w:rsidP="00040120">
      <w:pPr>
        <w:pStyle w:val="KeinLeerraum"/>
        <w:ind w:left="142" w:hanging="142"/>
        <w:rPr>
          <w:rFonts w:cs="Arial"/>
          <w:bCs/>
          <w:szCs w:val="22"/>
        </w:rPr>
      </w:pPr>
      <w:r w:rsidRPr="001E7306">
        <w:rPr>
          <w:rFonts w:cs="Arial"/>
          <w:bCs/>
          <w:szCs w:val="22"/>
        </w:rPr>
        <w:t>Northwest high intensity drug trafficking area (</w:t>
      </w:r>
      <w:r w:rsidRPr="001E7306">
        <w:rPr>
          <w:rFonts w:cs="Calibri"/>
          <w:szCs w:val="22"/>
        </w:rPr>
        <w:t xml:space="preserve">NWHIDTA) </w:t>
      </w:r>
      <w:r w:rsidRPr="001E7306">
        <w:rPr>
          <w:rFonts w:cs="Arial"/>
          <w:bCs/>
          <w:szCs w:val="22"/>
        </w:rPr>
        <w:t>(2016): Washington State Marijuana Impact Report, Seattle</w:t>
      </w:r>
      <w:r w:rsidR="00040120" w:rsidRPr="001E7306">
        <w:rPr>
          <w:rFonts w:cs="Arial"/>
          <w:bCs/>
          <w:szCs w:val="22"/>
        </w:rPr>
        <w:t xml:space="preserve"> In: </w:t>
      </w:r>
      <w:hyperlink r:id="rId105" w:history="1">
        <w:r w:rsidR="00040120" w:rsidRPr="001E7306">
          <w:rPr>
            <w:rStyle w:val="Link"/>
            <w:rFonts w:cs="Arial"/>
            <w:bCs/>
            <w:color w:val="auto"/>
            <w:szCs w:val="22"/>
          </w:rPr>
          <w:t>https://drive.google.com/file/d/0Bxs3xMLjUamANHhRRkluWkRobXM/view</w:t>
        </w:r>
      </w:hyperlink>
      <w:r w:rsidR="00040120" w:rsidRPr="001E7306">
        <w:rPr>
          <w:rFonts w:cs="Arial"/>
          <w:bCs/>
          <w:szCs w:val="22"/>
        </w:rPr>
        <w:t xml:space="preserve"> vom 12.12.2016</w:t>
      </w:r>
    </w:p>
    <w:p w14:paraId="3B9CAD23" w14:textId="77777777" w:rsidR="00082C7F" w:rsidRPr="001E7306" w:rsidRDefault="00082C7F" w:rsidP="00082C7F">
      <w:pPr>
        <w:pStyle w:val="KeinLeerraum"/>
        <w:ind w:left="284" w:hanging="284"/>
        <w:rPr>
          <w:rFonts w:cs="Times"/>
          <w:szCs w:val="22"/>
        </w:rPr>
      </w:pPr>
      <w:r w:rsidRPr="001E7306">
        <w:rPr>
          <w:rFonts w:cs="Calibri"/>
          <w:bCs/>
          <w:szCs w:val="22"/>
        </w:rPr>
        <w:t xml:space="preserve">Reed, Jackson K. (2016): Marijuana Legalization in Colorado: Early Findings. </w:t>
      </w:r>
      <w:r w:rsidRPr="001E7306">
        <w:rPr>
          <w:rFonts w:cs="Calibri"/>
          <w:bCs/>
          <w:iCs/>
          <w:szCs w:val="22"/>
        </w:rPr>
        <w:t xml:space="preserve">A Report Pursuant to Senate Bill 13-283. </w:t>
      </w:r>
      <w:r w:rsidRPr="001E7306">
        <w:rPr>
          <w:rFonts w:cs="Arial"/>
          <w:bCs/>
          <w:szCs w:val="22"/>
        </w:rPr>
        <w:t xml:space="preserve">March 2016, Denver </w:t>
      </w:r>
      <w:r w:rsidRPr="001E7306">
        <w:rPr>
          <w:rFonts w:cs="Times"/>
          <w:szCs w:val="22"/>
        </w:rPr>
        <w:t xml:space="preserve">   </w:t>
      </w:r>
    </w:p>
    <w:p w14:paraId="04AAF262" w14:textId="77777777" w:rsidR="00082C7F" w:rsidRPr="001E7306" w:rsidRDefault="00082C7F" w:rsidP="00082C7F">
      <w:pPr>
        <w:pStyle w:val="KeinLeerraum"/>
        <w:ind w:left="284" w:hanging="284"/>
        <w:rPr>
          <w:rFonts w:cs="Times"/>
          <w:szCs w:val="22"/>
        </w:rPr>
      </w:pPr>
      <w:r w:rsidRPr="001E7306">
        <w:rPr>
          <w:rFonts w:cs="Arial"/>
          <w:szCs w:val="22"/>
        </w:rPr>
        <w:t xml:space="preserve">Smith, M.H. 2012. </w:t>
      </w:r>
      <w:r w:rsidRPr="001E7306">
        <w:rPr>
          <w:rFonts w:cs="Arial"/>
          <w:iCs/>
          <w:szCs w:val="22"/>
        </w:rPr>
        <w:t>Heart of Dankness: underground botanists, outlaw farmers, and the race for the cannabis cup</w:t>
      </w:r>
      <w:r w:rsidRPr="001E7306">
        <w:rPr>
          <w:rFonts w:cs="Arial"/>
          <w:szCs w:val="22"/>
        </w:rPr>
        <w:t xml:space="preserve">. New York: Broadway Books, Inc. </w:t>
      </w:r>
    </w:p>
    <w:p w14:paraId="2D2144D6" w14:textId="77777777" w:rsidR="00082C7F" w:rsidRPr="001E7306" w:rsidRDefault="00082C7F" w:rsidP="00082C7F">
      <w:pPr>
        <w:pStyle w:val="KeinLeerraum"/>
        <w:ind w:left="284" w:hanging="284"/>
        <w:rPr>
          <w:szCs w:val="22"/>
        </w:rPr>
      </w:pPr>
      <w:r w:rsidRPr="001E7306">
        <w:rPr>
          <w:szCs w:val="22"/>
        </w:rPr>
        <w:t xml:space="preserve">Statistisches Bundesamt (2012): Verkehrsunfälle. Unfälle unter dem Einfluss von Alkohol oder anderen berauschenden Mitteln im Straßenverkehr, Wiesbaden </w:t>
      </w:r>
    </w:p>
    <w:p w14:paraId="705A9829" w14:textId="77777777" w:rsidR="00082C7F" w:rsidRPr="001E7306" w:rsidRDefault="00082C7F" w:rsidP="00082C7F">
      <w:pPr>
        <w:pStyle w:val="KeinLeerraum"/>
        <w:ind w:left="284" w:hanging="284"/>
        <w:rPr>
          <w:iCs/>
          <w:szCs w:val="22"/>
        </w:rPr>
      </w:pPr>
      <w:r w:rsidRPr="001E7306">
        <w:rPr>
          <w:szCs w:val="22"/>
        </w:rPr>
        <w:t>Tefft, Brian C., Arnold, Lindsay S., Grabowski, Jurek G. (2016): Prevalence of Marijuana Involv</w:t>
      </w:r>
      <w:r w:rsidRPr="001E7306">
        <w:rPr>
          <w:szCs w:val="22"/>
        </w:rPr>
        <w:t>e</w:t>
      </w:r>
      <w:r w:rsidRPr="001E7306">
        <w:rPr>
          <w:szCs w:val="22"/>
        </w:rPr>
        <w:t xml:space="preserve">ment in Fatal Crashes: Washington, 2010 – 2014. </w:t>
      </w:r>
      <w:r w:rsidRPr="001E7306">
        <w:rPr>
          <w:iCs/>
          <w:szCs w:val="22"/>
        </w:rPr>
        <w:t xml:space="preserve">May 2016 </w:t>
      </w:r>
    </w:p>
    <w:p w14:paraId="5E8C559A" w14:textId="2EE14941" w:rsidR="00082C7F" w:rsidRPr="001E7306" w:rsidRDefault="00082C7F" w:rsidP="00082C7F">
      <w:pPr>
        <w:pStyle w:val="KeinLeerraum"/>
        <w:ind w:left="284" w:hanging="284"/>
        <w:rPr>
          <w:szCs w:val="22"/>
        </w:rPr>
      </w:pPr>
      <w:r w:rsidRPr="001E7306">
        <w:rPr>
          <w:rFonts w:cs="Arial"/>
          <w:szCs w:val="22"/>
        </w:rPr>
        <w:t>The General Assembly passed House Bill 13-1325</w:t>
      </w:r>
      <w:r w:rsidR="00EB6A58" w:rsidRPr="001E7306">
        <w:rPr>
          <w:rFonts w:cs="Arial"/>
          <w:szCs w:val="22"/>
        </w:rPr>
        <w:t xml:space="preserve">. In: </w:t>
      </w:r>
      <w:hyperlink r:id="rId106" w:history="1">
        <w:r w:rsidR="00EB6A58" w:rsidRPr="001E7306">
          <w:rPr>
            <w:rStyle w:val="Link"/>
            <w:rFonts w:cs="Arial"/>
            <w:color w:val="auto"/>
            <w:szCs w:val="22"/>
          </w:rPr>
          <w:t>http://cbaclelegalconnection.com/2013/05/hb-13-1325-establishing-thc-blood-levels-for-purposes-of-dui-law/</w:t>
        </w:r>
      </w:hyperlink>
      <w:r w:rsidR="00EB6A58" w:rsidRPr="001E7306">
        <w:rPr>
          <w:rFonts w:cs="Arial"/>
          <w:szCs w:val="22"/>
        </w:rPr>
        <w:t xml:space="preserve"> vom 23.10.2016</w:t>
      </w:r>
    </w:p>
    <w:p w14:paraId="48BCE6C3" w14:textId="06E0B38D" w:rsidR="00082C7F" w:rsidRPr="001E7306" w:rsidRDefault="00082C7F" w:rsidP="00082C7F">
      <w:pPr>
        <w:pStyle w:val="KeinLeerraum"/>
        <w:ind w:left="284" w:hanging="284"/>
        <w:rPr>
          <w:szCs w:val="22"/>
        </w:rPr>
      </w:pPr>
      <w:r w:rsidRPr="001E7306">
        <w:rPr>
          <w:szCs w:val="22"/>
        </w:rPr>
        <w:t>Traffic safety facts Colorado 2011-2015</w:t>
      </w:r>
      <w:r w:rsidR="00EB6A58" w:rsidRPr="001E7306">
        <w:rPr>
          <w:szCs w:val="22"/>
        </w:rPr>
        <w:t xml:space="preserve"> In: </w:t>
      </w:r>
      <w:hyperlink r:id="rId107" w:history="1">
        <w:r w:rsidR="00EB6A58" w:rsidRPr="001E7306">
          <w:rPr>
            <w:rStyle w:val="Link"/>
            <w:color w:val="auto"/>
            <w:szCs w:val="22"/>
          </w:rPr>
          <w:t>http://www.cdacweb.com/Portals/0/TSRP/Prevention/2015%20trafffic%20safety%20facts.pdf</w:t>
        </w:r>
      </w:hyperlink>
      <w:r w:rsidR="00EB6A58" w:rsidRPr="001E7306">
        <w:rPr>
          <w:szCs w:val="22"/>
        </w:rPr>
        <w:t xml:space="preserve"> vom 23.10.2016</w:t>
      </w:r>
    </w:p>
    <w:p w14:paraId="11ED9D4F" w14:textId="77777777" w:rsidR="00082C7F" w:rsidRPr="00905B60" w:rsidRDefault="00082C7F" w:rsidP="00082C7F">
      <w:pPr>
        <w:pStyle w:val="KeinLeerraum"/>
        <w:ind w:left="284" w:hanging="284"/>
        <w:rPr>
          <w:rFonts w:cs="Trebuchet MS"/>
          <w:szCs w:val="22"/>
        </w:rPr>
      </w:pPr>
      <w:r w:rsidRPr="001E7306">
        <w:rPr>
          <w:rFonts w:cs="Trebuchet MS"/>
          <w:szCs w:val="22"/>
        </w:rPr>
        <w:t>U.S. Department of Transportation (2016): Traffic Fatalities Up Sharply in 2015. In:</w:t>
      </w:r>
      <w:r w:rsidRPr="00905B60">
        <w:rPr>
          <w:szCs w:val="22"/>
        </w:rPr>
        <w:t xml:space="preserve"> </w:t>
      </w:r>
      <w:hyperlink r:id="rId108" w:history="1">
        <w:r w:rsidRPr="00905B60">
          <w:rPr>
            <w:rStyle w:val="Link"/>
            <w:rFonts w:cs="Trebuchet MS"/>
            <w:color w:val="auto"/>
            <w:szCs w:val="22"/>
          </w:rPr>
          <w:t>https://www.transportation.gov/briefing-room/traffic-fatalities-sharply-2015</w:t>
        </w:r>
      </w:hyperlink>
      <w:r w:rsidRPr="00905B60">
        <w:rPr>
          <w:rFonts w:cs="Trebuchet MS"/>
          <w:szCs w:val="22"/>
        </w:rPr>
        <w:t xml:space="preserve"> vom 19.10.2016</w:t>
      </w:r>
    </w:p>
    <w:p w14:paraId="63B8AAB3" w14:textId="77777777" w:rsidR="00082C7F" w:rsidRPr="00905B60" w:rsidRDefault="00082C7F" w:rsidP="00082C7F">
      <w:pPr>
        <w:pStyle w:val="KeinLeerraum"/>
        <w:ind w:left="284" w:hanging="284"/>
        <w:rPr>
          <w:rFonts w:cs="OpenSans"/>
          <w:szCs w:val="22"/>
        </w:rPr>
      </w:pPr>
      <w:r w:rsidRPr="00905B60">
        <w:rPr>
          <w:rFonts w:cs="Arial"/>
          <w:bCs/>
          <w:szCs w:val="22"/>
        </w:rPr>
        <w:t>Unger, Thomas; Pschenitza, Michael (2016):Berichte der ADAC Unfallforschung: Unfallgesch</w:t>
      </w:r>
      <w:r w:rsidRPr="00905B60">
        <w:rPr>
          <w:rFonts w:cs="Arial"/>
          <w:bCs/>
          <w:szCs w:val="22"/>
        </w:rPr>
        <w:t>e</w:t>
      </w:r>
      <w:r w:rsidRPr="00905B60">
        <w:rPr>
          <w:rFonts w:cs="Arial"/>
          <w:bCs/>
          <w:szCs w:val="22"/>
        </w:rPr>
        <w:t xml:space="preserve">hen junger Fahrer. In: </w:t>
      </w:r>
      <w:hyperlink r:id="rId109" w:history="1">
        <w:r w:rsidRPr="00905B60">
          <w:rPr>
            <w:rStyle w:val="Link"/>
            <w:rFonts w:cs="OpenSans"/>
            <w:color w:val="auto"/>
            <w:szCs w:val="22"/>
          </w:rPr>
          <w:t>https://www.adac.de/_mmm/pdf/28757_269092.pdf</w:t>
        </w:r>
      </w:hyperlink>
      <w:r w:rsidRPr="00905B60">
        <w:rPr>
          <w:rFonts w:cs="OpenSans"/>
          <w:szCs w:val="22"/>
        </w:rPr>
        <w:t xml:space="preserve"> vom 25. Oktober 2016</w:t>
      </w:r>
    </w:p>
    <w:p w14:paraId="3E798E69" w14:textId="77777777" w:rsidR="00082C7F" w:rsidRPr="00905B60" w:rsidRDefault="00082C7F" w:rsidP="00082C7F">
      <w:pPr>
        <w:pStyle w:val="KeinLeerraum"/>
        <w:ind w:left="284" w:hanging="284"/>
        <w:rPr>
          <w:rFonts w:cs="Arial"/>
          <w:szCs w:val="22"/>
        </w:rPr>
      </w:pPr>
      <w:r w:rsidRPr="00905B60">
        <w:rPr>
          <w:rFonts w:cs="Arial"/>
          <w:szCs w:val="22"/>
        </w:rPr>
        <w:t>United States Census (2013): “QuickFacts Beta”.In:  http://www.census.gov/quickfacts/table/PST045213/00,06023 vom 18. Oktober 2016</w:t>
      </w:r>
    </w:p>
    <w:p w14:paraId="585935DF" w14:textId="28D45893" w:rsidR="00082C7F" w:rsidRPr="00905B60" w:rsidRDefault="00082C7F" w:rsidP="00082C7F">
      <w:pPr>
        <w:pStyle w:val="KeinLeerraum"/>
        <w:ind w:left="284" w:hanging="284"/>
        <w:rPr>
          <w:rFonts w:cs="Arial"/>
          <w:szCs w:val="22"/>
        </w:rPr>
      </w:pPr>
      <w:r w:rsidRPr="00905B60">
        <w:rPr>
          <w:szCs w:val="22"/>
        </w:rPr>
        <w:t>Washington State Patrol – An</w:t>
      </w:r>
      <w:r w:rsidR="00AF03D4">
        <w:rPr>
          <w:szCs w:val="22"/>
        </w:rPr>
        <w:t>n</w:t>
      </w:r>
      <w:r w:rsidRPr="00905B60">
        <w:rPr>
          <w:szCs w:val="22"/>
        </w:rPr>
        <w:t xml:space="preserve">ual Report 2014. In: </w:t>
      </w:r>
      <w:hyperlink r:id="rId110" w:history="1">
        <w:r w:rsidRPr="00905B60">
          <w:rPr>
            <w:rStyle w:val="Link"/>
            <w:rFonts w:cs="Arial"/>
            <w:color w:val="auto"/>
            <w:szCs w:val="22"/>
          </w:rPr>
          <w:t>http://www.wsp.wa.gov/publications/reports/2014_annual_report.pdf</w:t>
        </w:r>
      </w:hyperlink>
      <w:r w:rsidRPr="00905B60">
        <w:rPr>
          <w:rFonts w:cs="Arial"/>
          <w:szCs w:val="22"/>
        </w:rPr>
        <w:t xml:space="preserve"> vom 16. Oktober 2016</w:t>
      </w:r>
    </w:p>
    <w:p w14:paraId="7174A325" w14:textId="119C8E20" w:rsidR="00082C7F" w:rsidRPr="00905B60" w:rsidRDefault="00AF03D4" w:rsidP="00082C7F">
      <w:pPr>
        <w:pStyle w:val="KeinLeerraum"/>
        <w:ind w:left="284" w:hanging="284"/>
        <w:rPr>
          <w:rFonts w:cs="Times New Roman"/>
          <w:szCs w:val="22"/>
        </w:rPr>
      </w:pPr>
      <w:r>
        <w:rPr>
          <w:rFonts w:cs="Times New Roman"/>
          <w:szCs w:val="22"/>
        </w:rPr>
        <w:t>Washington Traffic Safety C</w:t>
      </w:r>
      <w:r w:rsidR="00082C7F" w:rsidRPr="00905B60">
        <w:rPr>
          <w:rFonts w:cs="Times New Roman"/>
          <w:szCs w:val="22"/>
        </w:rPr>
        <w:t xml:space="preserve">ommission (2015): Driver Toxicology Testing and the Involvement of Marijuana in Fatal Crashes, 2010-2014. A Descriptive Report. In: </w:t>
      </w:r>
      <w:hyperlink r:id="rId111" w:history="1">
        <w:r w:rsidR="00082C7F" w:rsidRPr="00905B60">
          <w:rPr>
            <w:rStyle w:val="Link"/>
            <w:rFonts w:cs="Times New Roman"/>
            <w:color w:val="auto"/>
            <w:szCs w:val="22"/>
          </w:rPr>
          <w:t>http://wtsc.wa.gov/wp-content/uploads/dlm_uploads/2015/10/Driver-Toxicology-Testing-and-the-Involvement-of-Marijuana-in-Fatal-Crashes_REVFeb2016-1.pdf</w:t>
        </w:r>
      </w:hyperlink>
      <w:r w:rsidR="00082C7F" w:rsidRPr="00905B60">
        <w:rPr>
          <w:rFonts w:cs="Times New Roman"/>
          <w:szCs w:val="22"/>
        </w:rPr>
        <w:t xml:space="preserve"> vom 25. Oktober 2016</w:t>
      </w:r>
    </w:p>
    <w:p w14:paraId="22A3BB4E" w14:textId="77777777" w:rsidR="00082C7F" w:rsidRPr="00905B60" w:rsidRDefault="00082C7F" w:rsidP="00082C7F">
      <w:pPr>
        <w:pStyle w:val="KeinLeerraum"/>
        <w:ind w:left="284" w:hanging="284"/>
        <w:rPr>
          <w:szCs w:val="22"/>
        </w:rPr>
      </w:pPr>
      <w:r w:rsidRPr="00905B60">
        <w:rPr>
          <w:szCs w:val="22"/>
        </w:rPr>
        <w:t xml:space="preserve">Zobel, Frank; Marthaler, Marc (2016): </w:t>
      </w:r>
      <w:hyperlink r:id="rId112" w:history="1">
        <w:r w:rsidRPr="00905B60">
          <w:rPr>
            <w:bCs/>
            <w:szCs w:val="22"/>
          </w:rPr>
          <w:t>Neue Entwicklungen in der Regulierung des Cannabi</w:t>
        </w:r>
        <w:r w:rsidRPr="00905B60">
          <w:rPr>
            <w:bCs/>
            <w:szCs w:val="22"/>
          </w:rPr>
          <w:t>s</w:t>
        </w:r>
        <w:r w:rsidRPr="00905B60">
          <w:rPr>
            <w:bCs/>
            <w:szCs w:val="22"/>
          </w:rPr>
          <w:t>marktes: Von A (Anchorage) bis Z (Zürich)</w:t>
        </w:r>
      </w:hyperlink>
      <w:r w:rsidRPr="00905B60">
        <w:rPr>
          <w:szCs w:val="22"/>
        </w:rPr>
        <w:t xml:space="preserve"> (3. aktualisierte Auflage des Berichts Von den Rocky Mountains bis zu den Alpen). Lausanne, Sucht Schweiz</w:t>
      </w:r>
    </w:p>
    <w:p w14:paraId="405A1399" w14:textId="77777777" w:rsidR="00A429B2" w:rsidRDefault="00A429B2" w:rsidP="009D7629">
      <w:pPr>
        <w:spacing w:line="276" w:lineRule="auto"/>
        <w:jc w:val="both"/>
        <w:rPr>
          <w:b/>
          <w:szCs w:val="22"/>
        </w:rPr>
      </w:pPr>
    </w:p>
    <w:p w14:paraId="5AAEAD2F" w14:textId="77777777" w:rsidR="00A429B2" w:rsidRDefault="00A429B2" w:rsidP="009D7629">
      <w:pPr>
        <w:spacing w:line="276" w:lineRule="auto"/>
        <w:jc w:val="both"/>
        <w:rPr>
          <w:b/>
          <w:szCs w:val="22"/>
        </w:rPr>
      </w:pPr>
    </w:p>
    <w:p w14:paraId="7A36C913" w14:textId="77777777" w:rsidR="00A429B2" w:rsidRDefault="00A429B2" w:rsidP="009D7629">
      <w:pPr>
        <w:spacing w:line="276" w:lineRule="auto"/>
        <w:jc w:val="both"/>
        <w:rPr>
          <w:b/>
          <w:szCs w:val="22"/>
        </w:rPr>
        <w:sectPr w:rsidR="00A429B2" w:rsidSect="008901F7">
          <w:pgSz w:w="11900" w:h="16840"/>
          <w:pgMar w:top="1417" w:right="1417" w:bottom="1134" w:left="1417" w:header="708" w:footer="708" w:gutter="0"/>
          <w:cols w:space="708"/>
          <w:docGrid w:linePitch="360"/>
        </w:sectPr>
      </w:pPr>
    </w:p>
    <w:p w14:paraId="085A5529" w14:textId="0FC93AE7" w:rsidR="00AF26CF" w:rsidRPr="000E7234" w:rsidRDefault="00C17576" w:rsidP="009D7629">
      <w:pPr>
        <w:pStyle w:val="berschrift1"/>
        <w:spacing w:line="276" w:lineRule="auto"/>
        <w:jc w:val="both"/>
      </w:pPr>
      <w:bookmarkStart w:id="47" w:name="_Toc349300376"/>
      <w:r>
        <w:t xml:space="preserve">Drogenpolitische Neuregelungen und </w:t>
      </w:r>
      <w:r w:rsidR="000E7234" w:rsidRPr="000E7234">
        <w:t>die gesundheitliche Lage der Bevö</w:t>
      </w:r>
      <w:r w:rsidR="000E7234" w:rsidRPr="000E7234">
        <w:t>l</w:t>
      </w:r>
      <w:r w:rsidR="000E7234" w:rsidRPr="000E7234">
        <w:t>kerung</w:t>
      </w:r>
      <w:bookmarkEnd w:id="47"/>
    </w:p>
    <w:p w14:paraId="1FE6B5C5" w14:textId="5AE8B7FC" w:rsidR="00847B30" w:rsidRDefault="00983E8F" w:rsidP="009D7629">
      <w:pPr>
        <w:pStyle w:val="berschrift2"/>
        <w:spacing w:line="276" w:lineRule="auto"/>
        <w:jc w:val="both"/>
      </w:pPr>
      <w:bookmarkStart w:id="48" w:name="_Toc349300377"/>
      <w:r>
        <w:t>Drogenpolitische Grundannahmen</w:t>
      </w:r>
      <w:bookmarkEnd w:id="48"/>
    </w:p>
    <w:p w14:paraId="2269ACFB" w14:textId="781EB25F" w:rsidR="009F365C" w:rsidRDefault="00752582" w:rsidP="003F3D85">
      <w:pPr>
        <w:spacing w:line="276" w:lineRule="auto"/>
        <w:jc w:val="both"/>
        <w:rPr>
          <w:szCs w:val="22"/>
        </w:rPr>
      </w:pPr>
      <w:r>
        <w:rPr>
          <w:szCs w:val="22"/>
        </w:rPr>
        <w:t xml:space="preserve">Wesentliche Auswirkungen einer Regulierung des Marihuana-Konsums werden auch für die gesundheitliche Lage der Bevölkerung </w:t>
      </w:r>
      <w:r w:rsidR="004373A1">
        <w:rPr>
          <w:szCs w:val="22"/>
        </w:rPr>
        <w:t>erwartet</w:t>
      </w:r>
      <w:r>
        <w:rPr>
          <w:szCs w:val="22"/>
        </w:rPr>
        <w:t xml:space="preserve">. </w:t>
      </w:r>
      <w:r w:rsidR="004373A1">
        <w:rPr>
          <w:szCs w:val="22"/>
        </w:rPr>
        <w:t>V</w:t>
      </w:r>
      <w:r>
        <w:rPr>
          <w:szCs w:val="22"/>
        </w:rPr>
        <w:t xml:space="preserve">or dem </w:t>
      </w:r>
      <w:r w:rsidR="009F365C">
        <w:rPr>
          <w:szCs w:val="22"/>
        </w:rPr>
        <w:t xml:space="preserve">Hintergrund </w:t>
      </w:r>
      <w:r w:rsidR="004373A1">
        <w:rPr>
          <w:szCs w:val="22"/>
        </w:rPr>
        <w:t>der Zweifel an der reale Möglichkeit</w:t>
      </w:r>
      <w:r w:rsidR="009F365C">
        <w:rPr>
          <w:szCs w:val="22"/>
        </w:rPr>
        <w:t>, ein</w:t>
      </w:r>
      <w:r w:rsidR="004373A1">
        <w:rPr>
          <w:szCs w:val="22"/>
        </w:rPr>
        <w:t>en</w:t>
      </w:r>
      <w:r w:rsidR="009F365C">
        <w:rPr>
          <w:szCs w:val="22"/>
        </w:rPr>
        <w:t xml:space="preserve"> auto</w:t>
      </w:r>
      <w:r w:rsidR="004373A1">
        <w:rPr>
          <w:szCs w:val="22"/>
        </w:rPr>
        <w:t>nom kontrollierten</w:t>
      </w:r>
      <w:r w:rsidR="009F365C">
        <w:rPr>
          <w:szCs w:val="22"/>
        </w:rPr>
        <w:t xml:space="preserve"> und problemlos in den Lebensstil integrier</w:t>
      </w:r>
      <w:r w:rsidR="004373A1">
        <w:rPr>
          <w:szCs w:val="22"/>
        </w:rPr>
        <w:t>ten</w:t>
      </w:r>
      <w:r w:rsidR="009F365C">
        <w:rPr>
          <w:szCs w:val="22"/>
        </w:rPr>
        <w:t xml:space="preserve"> Ca</w:t>
      </w:r>
      <w:r w:rsidR="009F365C">
        <w:rPr>
          <w:szCs w:val="22"/>
        </w:rPr>
        <w:t>n</w:t>
      </w:r>
      <w:r w:rsidR="009F365C">
        <w:rPr>
          <w:szCs w:val="22"/>
        </w:rPr>
        <w:t xml:space="preserve">nabiskonsum </w:t>
      </w:r>
      <w:r w:rsidR="004373A1">
        <w:rPr>
          <w:szCs w:val="22"/>
        </w:rPr>
        <w:t>entwickeln zu können</w:t>
      </w:r>
      <w:r w:rsidR="009F365C">
        <w:rPr>
          <w:szCs w:val="22"/>
        </w:rPr>
        <w:t xml:space="preserve">, </w:t>
      </w:r>
      <w:r w:rsidR="004373A1">
        <w:rPr>
          <w:szCs w:val="22"/>
        </w:rPr>
        <w:t xml:space="preserve">wird </w:t>
      </w:r>
      <w:r w:rsidR="009F365C">
        <w:rPr>
          <w:szCs w:val="22"/>
        </w:rPr>
        <w:t xml:space="preserve">die </w:t>
      </w:r>
      <w:r w:rsidR="009F365C" w:rsidRPr="00FB288D">
        <w:rPr>
          <w:szCs w:val="22"/>
        </w:rPr>
        <w:t>Besorgnis</w:t>
      </w:r>
      <w:r w:rsidR="004373A1">
        <w:rPr>
          <w:szCs w:val="22"/>
        </w:rPr>
        <w:t xml:space="preserve"> geäußert</w:t>
      </w:r>
      <w:r w:rsidR="009F365C">
        <w:rPr>
          <w:szCs w:val="22"/>
        </w:rPr>
        <w:t>, dass es mit</w:t>
      </w:r>
      <w:r w:rsidR="009F365C" w:rsidRPr="00FB288D">
        <w:rPr>
          <w:szCs w:val="22"/>
        </w:rPr>
        <w:t xml:space="preserve"> einer Regulierung</w:t>
      </w:r>
      <w:r w:rsidR="009F365C">
        <w:rPr>
          <w:szCs w:val="22"/>
        </w:rPr>
        <w:t xml:space="preserve"> umgehend zu einem massiven Anstieg hochproblematischer Konsummuster kommen könnte,</w:t>
      </w:r>
      <w:r w:rsidR="004373A1">
        <w:rPr>
          <w:szCs w:val="22"/>
        </w:rPr>
        <w:t xml:space="preserve"> der einen sprunghaften Anstieg der Nachfragen nach </w:t>
      </w:r>
      <w:r w:rsidR="009F365C">
        <w:rPr>
          <w:szCs w:val="22"/>
        </w:rPr>
        <w:t>umfassende</w:t>
      </w:r>
      <w:r w:rsidR="004373A1">
        <w:rPr>
          <w:szCs w:val="22"/>
        </w:rPr>
        <w:t>r</w:t>
      </w:r>
      <w:r w:rsidR="009F365C">
        <w:rPr>
          <w:szCs w:val="22"/>
        </w:rPr>
        <w:t xml:space="preserve"> und aufwändige</w:t>
      </w:r>
      <w:r w:rsidR="004373A1">
        <w:rPr>
          <w:szCs w:val="22"/>
        </w:rPr>
        <w:t>r</w:t>
      </w:r>
      <w:r w:rsidR="009F365C">
        <w:rPr>
          <w:szCs w:val="22"/>
        </w:rPr>
        <w:t xml:space="preserve"> therapeut</w:t>
      </w:r>
      <w:r w:rsidR="009F365C">
        <w:rPr>
          <w:szCs w:val="22"/>
        </w:rPr>
        <w:t>i</w:t>
      </w:r>
      <w:r w:rsidR="004373A1">
        <w:rPr>
          <w:szCs w:val="22"/>
        </w:rPr>
        <w:t>scher</w:t>
      </w:r>
      <w:r w:rsidR="009F365C">
        <w:rPr>
          <w:szCs w:val="22"/>
        </w:rPr>
        <w:t xml:space="preserve"> Hilfe</w:t>
      </w:r>
      <w:r w:rsidR="004373A1">
        <w:rPr>
          <w:szCs w:val="22"/>
        </w:rPr>
        <w:t xml:space="preserve"> </w:t>
      </w:r>
      <w:r w:rsidR="009F365C">
        <w:rPr>
          <w:szCs w:val="22"/>
        </w:rPr>
        <w:t>be</w:t>
      </w:r>
      <w:r>
        <w:rPr>
          <w:szCs w:val="22"/>
        </w:rPr>
        <w:t>gründen und sich in einer rasch steigenden Inanspruchnahme von Suchtkranke</w:t>
      </w:r>
      <w:r>
        <w:rPr>
          <w:szCs w:val="22"/>
        </w:rPr>
        <w:t>n</w:t>
      </w:r>
      <w:r>
        <w:rPr>
          <w:szCs w:val="22"/>
        </w:rPr>
        <w:t>behandlung</w:t>
      </w:r>
      <w:r w:rsidR="004373A1">
        <w:rPr>
          <w:szCs w:val="22"/>
        </w:rPr>
        <w:t>en</w:t>
      </w:r>
      <w:r>
        <w:rPr>
          <w:szCs w:val="22"/>
        </w:rPr>
        <w:t xml:space="preserve"> bemerkbar machen. Dem stehen Hypothesen </w:t>
      </w:r>
      <w:r w:rsidR="004373A1">
        <w:rPr>
          <w:szCs w:val="22"/>
        </w:rPr>
        <w:t>gegenüber</w:t>
      </w:r>
      <w:r>
        <w:rPr>
          <w:szCs w:val="22"/>
        </w:rPr>
        <w:t xml:space="preserve">, </w:t>
      </w:r>
      <w:r w:rsidR="004373A1">
        <w:rPr>
          <w:szCs w:val="22"/>
        </w:rPr>
        <w:t>nach denen</w:t>
      </w:r>
      <w:r>
        <w:rPr>
          <w:szCs w:val="22"/>
        </w:rPr>
        <w:t xml:space="preserve"> </w:t>
      </w:r>
      <w:r w:rsidR="004373A1">
        <w:rPr>
          <w:szCs w:val="22"/>
        </w:rPr>
        <w:t xml:space="preserve">es </w:t>
      </w:r>
      <w:r>
        <w:rPr>
          <w:szCs w:val="22"/>
        </w:rPr>
        <w:t>der B</w:t>
      </w:r>
      <w:r>
        <w:rPr>
          <w:szCs w:val="22"/>
        </w:rPr>
        <w:t>e</w:t>
      </w:r>
      <w:r>
        <w:rPr>
          <w:szCs w:val="22"/>
        </w:rPr>
        <w:t>völkerung mehrheitlich gelingen wird, autonom kontrollierte Konsummuster für Marihuana zu entwickeln</w:t>
      </w:r>
      <w:r w:rsidR="004373A1">
        <w:rPr>
          <w:szCs w:val="22"/>
        </w:rPr>
        <w:t xml:space="preserve"> u</w:t>
      </w:r>
      <w:r w:rsidR="00EC769C">
        <w:rPr>
          <w:szCs w:val="22"/>
        </w:rPr>
        <w:t xml:space="preserve">nd diese Lernprozesse schneller, ungehindert, </w:t>
      </w:r>
      <w:r w:rsidR="004373A1">
        <w:rPr>
          <w:szCs w:val="22"/>
        </w:rPr>
        <w:t>mit mehr Unterstützung</w:t>
      </w:r>
      <w:r w:rsidR="00EC769C">
        <w:rPr>
          <w:szCs w:val="22"/>
        </w:rPr>
        <w:t xml:space="preserve"> und für alle Konsumentengruppen und kulturelle Milieus zugänglich sind</w:t>
      </w:r>
      <w:r>
        <w:rPr>
          <w:szCs w:val="22"/>
        </w:rPr>
        <w:t xml:space="preserve">. Allerdings gehen </w:t>
      </w:r>
      <w:r w:rsidR="004373A1">
        <w:rPr>
          <w:szCs w:val="22"/>
        </w:rPr>
        <w:t>auch diese</w:t>
      </w:r>
      <w:r>
        <w:rPr>
          <w:szCs w:val="22"/>
        </w:rPr>
        <w:t xml:space="preserve"> Hyp</w:t>
      </w:r>
      <w:r>
        <w:rPr>
          <w:szCs w:val="22"/>
        </w:rPr>
        <w:t>o</w:t>
      </w:r>
      <w:r>
        <w:rPr>
          <w:szCs w:val="22"/>
        </w:rPr>
        <w:t>thesen davon aus, dass es weiterhin Personen geben wird, die in ihrem Leben phasenweise oder gar nicht mit dieser Substanz autonom kontrol</w:t>
      </w:r>
      <w:r w:rsidR="004373A1">
        <w:rPr>
          <w:szCs w:val="22"/>
        </w:rPr>
        <w:t>liert umgehen kö</w:t>
      </w:r>
      <w:r>
        <w:rPr>
          <w:szCs w:val="22"/>
        </w:rPr>
        <w:t>nn</w:t>
      </w:r>
      <w:r w:rsidR="004373A1">
        <w:rPr>
          <w:szCs w:val="22"/>
        </w:rPr>
        <w:t>en</w:t>
      </w:r>
      <w:r>
        <w:rPr>
          <w:szCs w:val="22"/>
        </w:rPr>
        <w:t xml:space="preserve"> und sich in drogenbezog</w:t>
      </w:r>
      <w:r>
        <w:rPr>
          <w:szCs w:val="22"/>
        </w:rPr>
        <w:t>e</w:t>
      </w:r>
      <w:r>
        <w:rPr>
          <w:szCs w:val="22"/>
        </w:rPr>
        <w:t xml:space="preserve">ne Probleme manövrieren </w:t>
      </w:r>
      <w:r w:rsidR="004373A1">
        <w:rPr>
          <w:szCs w:val="22"/>
        </w:rPr>
        <w:t>werden</w:t>
      </w:r>
      <w:r>
        <w:rPr>
          <w:szCs w:val="22"/>
        </w:rPr>
        <w:t>. Für diese Personen wird allerdings angenommen, dass der durch den Regulierungsprozess vorangetriebene Prozess der Entstigmatisierung dafür sorg</w:t>
      </w:r>
      <w:r w:rsidR="004373A1">
        <w:rPr>
          <w:szCs w:val="22"/>
        </w:rPr>
        <w:t>t</w:t>
      </w:r>
      <w:r>
        <w:rPr>
          <w:szCs w:val="22"/>
        </w:rPr>
        <w:t>, dass die Betroffenen schneller und früher Hilfe und Unterstützung nachfragen</w:t>
      </w:r>
      <w:r w:rsidR="00E01DEF">
        <w:rPr>
          <w:szCs w:val="22"/>
        </w:rPr>
        <w:t xml:space="preserve">, </w:t>
      </w:r>
      <w:r w:rsidR="004373A1">
        <w:rPr>
          <w:szCs w:val="22"/>
        </w:rPr>
        <w:t>so dass die</w:t>
      </w:r>
      <w:r>
        <w:rPr>
          <w:szCs w:val="22"/>
        </w:rPr>
        <w:t xml:space="preserve"> </w:t>
      </w:r>
      <w:r w:rsidR="00E01DEF">
        <w:rPr>
          <w:szCs w:val="22"/>
        </w:rPr>
        <w:t>Pro</w:t>
      </w:r>
      <w:r w:rsidR="00E01DEF">
        <w:rPr>
          <w:szCs w:val="22"/>
        </w:rPr>
        <w:t>b</w:t>
      </w:r>
      <w:r w:rsidR="00E01DEF">
        <w:rPr>
          <w:szCs w:val="22"/>
        </w:rPr>
        <w:t xml:space="preserve">lemlagen </w:t>
      </w:r>
      <w:r>
        <w:rPr>
          <w:szCs w:val="22"/>
        </w:rPr>
        <w:t xml:space="preserve">weniger </w:t>
      </w:r>
      <w:r w:rsidR="00E01DEF">
        <w:rPr>
          <w:szCs w:val="22"/>
        </w:rPr>
        <w:t xml:space="preserve">komplex und divers verstrickt sind und die Lebenssituation weniger </w:t>
      </w:r>
      <w:r w:rsidR="004373A1">
        <w:rPr>
          <w:szCs w:val="22"/>
        </w:rPr>
        <w:t>prekär</w:t>
      </w:r>
      <w:r w:rsidR="00E01DEF">
        <w:rPr>
          <w:szCs w:val="22"/>
        </w:rPr>
        <w:t xml:space="preserve"> ist. </w:t>
      </w:r>
    </w:p>
    <w:p w14:paraId="6A376A93" w14:textId="5590AD08" w:rsidR="00E01DEF" w:rsidRDefault="00E01DEF" w:rsidP="003F3D85">
      <w:pPr>
        <w:spacing w:line="276" w:lineRule="auto"/>
        <w:jc w:val="both"/>
        <w:rPr>
          <w:szCs w:val="22"/>
        </w:rPr>
      </w:pPr>
      <w:r>
        <w:rPr>
          <w:szCs w:val="22"/>
        </w:rPr>
        <w:t xml:space="preserve">Als weitere Marksteine zu den Auswirkungen einer Regulierung werden drogenbedingte Unfälle und Krisen in Betracht gezogen, die durch falsche Dosierungen und durch den Konsum </w:t>
      </w:r>
      <w:r w:rsidR="00EC769C">
        <w:rPr>
          <w:szCs w:val="22"/>
        </w:rPr>
        <w:t>von</w:t>
      </w:r>
      <w:r>
        <w:rPr>
          <w:szCs w:val="22"/>
        </w:rPr>
        <w:t xml:space="preserve"> Pe</w:t>
      </w:r>
      <w:r>
        <w:rPr>
          <w:szCs w:val="22"/>
        </w:rPr>
        <w:t>r</w:t>
      </w:r>
      <w:r>
        <w:rPr>
          <w:szCs w:val="22"/>
        </w:rPr>
        <w:t xml:space="preserve">sonen </w:t>
      </w:r>
      <w:r w:rsidR="00EC769C">
        <w:rPr>
          <w:szCs w:val="22"/>
        </w:rPr>
        <w:t xml:space="preserve">entstehen können, die </w:t>
      </w:r>
      <w:r>
        <w:rPr>
          <w:szCs w:val="22"/>
        </w:rPr>
        <w:t xml:space="preserve">für psychische Störungen </w:t>
      </w:r>
      <w:r w:rsidR="00EC769C">
        <w:rPr>
          <w:szCs w:val="22"/>
        </w:rPr>
        <w:t>prädisponiert sind</w:t>
      </w:r>
      <w:r>
        <w:rPr>
          <w:szCs w:val="22"/>
        </w:rPr>
        <w:t>. Während auf der e</w:t>
      </w:r>
      <w:r>
        <w:rPr>
          <w:szCs w:val="22"/>
        </w:rPr>
        <w:t>i</w:t>
      </w:r>
      <w:r>
        <w:rPr>
          <w:szCs w:val="22"/>
        </w:rPr>
        <w:t xml:space="preserve">nen Seite auch dazu rasante Steigerungsraten </w:t>
      </w:r>
      <w:r w:rsidR="00EC769C">
        <w:rPr>
          <w:szCs w:val="22"/>
        </w:rPr>
        <w:t xml:space="preserve">entsprechender Krisen und Unfällen </w:t>
      </w:r>
      <w:r>
        <w:rPr>
          <w:szCs w:val="22"/>
        </w:rPr>
        <w:t>prognost</w:t>
      </w:r>
      <w:r>
        <w:rPr>
          <w:szCs w:val="22"/>
        </w:rPr>
        <w:t>i</w:t>
      </w:r>
      <w:r>
        <w:rPr>
          <w:szCs w:val="22"/>
        </w:rPr>
        <w:t xml:space="preserve">ziert werden, gehen andere Hypothesen davon aus, dass </w:t>
      </w:r>
      <w:r w:rsidR="00333746">
        <w:rPr>
          <w:szCs w:val="22"/>
        </w:rPr>
        <w:t xml:space="preserve">sich </w:t>
      </w:r>
      <w:r w:rsidR="00EC769C">
        <w:rPr>
          <w:szCs w:val="22"/>
        </w:rPr>
        <w:t>die gesundheitliche Lage der B</w:t>
      </w:r>
      <w:r w:rsidR="00EC769C">
        <w:rPr>
          <w:szCs w:val="22"/>
        </w:rPr>
        <w:t>e</w:t>
      </w:r>
      <w:r w:rsidR="00EC769C">
        <w:rPr>
          <w:szCs w:val="22"/>
        </w:rPr>
        <w:t xml:space="preserve">völkerung verbessert, weil </w:t>
      </w:r>
      <w:r w:rsidR="00EC769C" w:rsidRPr="00EC769C">
        <w:rPr>
          <w:i/>
          <w:szCs w:val="22"/>
        </w:rPr>
        <w:t>erstens</w:t>
      </w:r>
      <w:r w:rsidR="00EC769C">
        <w:rPr>
          <w:szCs w:val="22"/>
        </w:rPr>
        <w:t xml:space="preserve"> die Risiken eines Schwarzmarktes mit unbekannten Wir</w:t>
      </w:r>
      <w:r w:rsidR="00EC769C">
        <w:rPr>
          <w:szCs w:val="22"/>
        </w:rPr>
        <w:t>k</w:t>
      </w:r>
      <w:r w:rsidR="00EC769C">
        <w:rPr>
          <w:szCs w:val="22"/>
        </w:rPr>
        <w:t xml:space="preserve">stoff-  und Beimengungen weitgehend beseitigt werden, </w:t>
      </w:r>
      <w:r w:rsidR="00EC769C" w:rsidRPr="00EC769C">
        <w:rPr>
          <w:i/>
          <w:szCs w:val="22"/>
        </w:rPr>
        <w:t>zweitens</w:t>
      </w:r>
      <w:r w:rsidR="00EC769C">
        <w:rPr>
          <w:szCs w:val="22"/>
        </w:rPr>
        <w:t xml:space="preserve"> Lernprozesse dazu führen werden, dass sich die Konsumenten die positiven Effekte für ihre physische und psychische G</w:t>
      </w:r>
      <w:r w:rsidR="00EC769C">
        <w:rPr>
          <w:szCs w:val="22"/>
        </w:rPr>
        <w:t>e</w:t>
      </w:r>
      <w:r w:rsidR="00EC769C">
        <w:rPr>
          <w:szCs w:val="22"/>
        </w:rPr>
        <w:t xml:space="preserve">sundheit erschließen lernen und tatsächlich problematische Konsumeffekte </w:t>
      </w:r>
      <w:r>
        <w:rPr>
          <w:szCs w:val="22"/>
        </w:rPr>
        <w:t>nur in einem geri</w:t>
      </w:r>
      <w:r>
        <w:rPr>
          <w:szCs w:val="22"/>
        </w:rPr>
        <w:t>n</w:t>
      </w:r>
      <w:r>
        <w:rPr>
          <w:szCs w:val="22"/>
        </w:rPr>
        <w:t xml:space="preserve">gen Umfang </w:t>
      </w:r>
      <w:r w:rsidR="00EC769C">
        <w:rPr>
          <w:szCs w:val="22"/>
        </w:rPr>
        <w:t xml:space="preserve">haben werden und die sich </w:t>
      </w:r>
      <w:r w:rsidR="00EC769C" w:rsidRPr="00EC769C">
        <w:rPr>
          <w:i/>
          <w:szCs w:val="22"/>
        </w:rPr>
        <w:t>drittens</w:t>
      </w:r>
      <w:r w:rsidR="00EC769C">
        <w:rPr>
          <w:szCs w:val="22"/>
        </w:rPr>
        <w:t xml:space="preserve"> zudem schneller und besser behandeln </w:t>
      </w:r>
      <w:r w:rsidR="00333746">
        <w:rPr>
          <w:szCs w:val="22"/>
        </w:rPr>
        <w:t xml:space="preserve">lassen, weil sie </w:t>
      </w:r>
      <w:r w:rsidR="003E5C25">
        <w:rPr>
          <w:szCs w:val="22"/>
        </w:rPr>
        <w:t xml:space="preserve">durch Wegfall der Strafandrohung </w:t>
      </w:r>
      <w:r w:rsidR="00EC769C">
        <w:rPr>
          <w:szCs w:val="22"/>
        </w:rPr>
        <w:t>rascher und klarer</w:t>
      </w:r>
      <w:r w:rsidR="00333746">
        <w:rPr>
          <w:szCs w:val="22"/>
        </w:rPr>
        <w:t xml:space="preserve"> als drogeninduziert benannt we</w:t>
      </w:r>
      <w:r w:rsidR="00333746">
        <w:rPr>
          <w:szCs w:val="22"/>
        </w:rPr>
        <w:t>r</w:t>
      </w:r>
      <w:r w:rsidR="00333746">
        <w:rPr>
          <w:szCs w:val="22"/>
        </w:rPr>
        <w:t>den</w:t>
      </w:r>
      <w:r w:rsidR="003E5C25">
        <w:rPr>
          <w:szCs w:val="22"/>
        </w:rPr>
        <w:t>.</w:t>
      </w:r>
      <w:r w:rsidR="00333746">
        <w:rPr>
          <w:szCs w:val="22"/>
        </w:rPr>
        <w:t xml:space="preserve"> </w:t>
      </w:r>
      <w:r w:rsidR="003E5C25">
        <w:rPr>
          <w:szCs w:val="22"/>
        </w:rPr>
        <w:t xml:space="preserve">Zudem lässt </w:t>
      </w:r>
      <w:r w:rsidR="00EC769C">
        <w:rPr>
          <w:szCs w:val="22"/>
        </w:rPr>
        <w:t xml:space="preserve">sich hypothetisch </w:t>
      </w:r>
      <w:r w:rsidR="003E5C25">
        <w:rPr>
          <w:szCs w:val="22"/>
        </w:rPr>
        <w:t xml:space="preserve">annehmen, dass </w:t>
      </w:r>
      <w:r w:rsidR="00EC769C">
        <w:rPr>
          <w:szCs w:val="22"/>
        </w:rPr>
        <w:t xml:space="preserve">es Phänomene mit </w:t>
      </w:r>
      <w:r>
        <w:rPr>
          <w:szCs w:val="22"/>
        </w:rPr>
        <w:t xml:space="preserve">Durchgangscharakter </w:t>
      </w:r>
      <w:r w:rsidR="00EC769C">
        <w:rPr>
          <w:szCs w:val="22"/>
        </w:rPr>
        <w:t>geben wird</w:t>
      </w:r>
      <w:r>
        <w:rPr>
          <w:szCs w:val="22"/>
        </w:rPr>
        <w:t xml:space="preserve">, </w:t>
      </w:r>
      <w:r w:rsidR="00EC769C">
        <w:rPr>
          <w:szCs w:val="22"/>
        </w:rPr>
        <w:t>bedingt durch</w:t>
      </w:r>
      <w:r>
        <w:rPr>
          <w:szCs w:val="22"/>
        </w:rPr>
        <w:t xml:space="preserve"> Lern</w:t>
      </w:r>
      <w:r w:rsidR="003E5C25">
        <w:rPr>
          <w:szCs w:val="22"/>
        </w:rPr>
        <w:t>prozesse</w:t>
      </w:r>
      <w:r>
        <w:rPr>
          <w:szCs w:val="22"/>
        </w:rPr>
        <w:t xml:space="preserve"> in </w:t>
      </w:r>
      <w:r w:rsidR="00EC769C">
        <w:rPr>
          <w:szCs w:val="22"/>
        </w:rPr>
        <w:t>der</w:t>
      </w:r>
      <w:r>
        <w:rPr>
          <w:szCs w:val="22"/>
        </w:rPr>
        <w:t xml:space="preserve"> Bevölkerung, die sich mit einer psycho</w:t>
      </w:r>
      <w:r w:rsidR="00EC769C">
        <w:rPr>
          <w:szCs w:val="22"/>
        </w:rPr>
        <w:t>-</w:t>
      </w:r>
      <w:r>
        <w:rPr>
          <w:szCs w:val="22"/>
        </w:rPr>
        <w:t>aktiven Substanz vertraut macht, die bisher illegalisiert war und für die bisher breit zugängliche Ko</w:t>
      </w:r>
      <w:r>
        <w:rPr>
          <w:szCs w:val="22"/>
        </w:rPr>
        <w:t>n</w:t>
      </w:r>
      <w:r>
        <w:rPr>
          <w:szCs w:val="22"/>
        </w:rPr>
        <w:t xml:space="preserve">sumerfahrungen </w:t>
      </w:r>
      <w:r w:rsidR="00EC769C">
        <w:rPr>
          <w:szCs w:val="22"/>
        </w:rPr>
        <w:t xml:space="preserve">und Regulierungen </w:t>
      </w:r>
      <w:r>
        <w:rPr>
          <w:szCs w:val="22"/>
        </w:rPr>
        <w:t>einer Drogenkultur fehlen</w:t>
      </w:r>
      <w:r w:rsidR="00EC769C">
        <w:rPr>
          <w:szCs w:val="22"/>
        </w:rPr>
        <w:t>. Insofern wird geschlussfolgert</w:t>
      </w:r>
      <w:r w:rsidR="003E5C25">
        <w:rPr>
          <w:szCs w:val="22"/>
        </w:rPr>
        <w:t xml:space="preserve">, </w:t>
      </w:r>
      <w:r w:rsidR="00EC769C">
        <w:rPr>
          <w:szCs w:val="22"/>
        </w:rPr>
        <w:t xml:space="preserve">dass es eine Übergangszeit braucht, in der diese Erfahrungen lernend </w:t>
      </w:r>
      <w:r w:rsidR="003E5C25">
        <w:rPr>
          <w:szCs w:val="22"/>
        </w:rPr>
        <w:t>nachgeholt werden</w:t>
      </w:r>
      <w:r w:rsidR="00EC769C">
        <w:rPr>
          <w:szCs w:val="22"/>
        </w:rPr>
        <w:t xml:space="preserve">, wodurch </w:t>
      </w:r>
      <w:r w:rsidR="003E5C25">
        <w:rPr>
          <w:szCs w:val="22"/>
        </w:rPr>
        <w:t xml:space="preserve">im weiteren Verlauf eine gute Basis </w:t>
      </w:r>
      <w:r w:rsidR="00EC769C">
        <w:rPr>
          <w:szCs w:val="22"/>
        </w:rPr>
        <w:t>ge</w:t>
      </w:r>
      <w:r w:rsidR="003E5C25">
        <w:rPr>
          <w:szCs w:val="22"/>
        </w:rPr>
        <w:t>schaffen</w:t>
      </w:r>
      <w:r w:rsidR="00EC769C">
        <w:rPr>
          <w:szCs w:val="22"/>
        </w:rPr>
        <w:t xml:space="preserve"> wird</w:t>
      </w:r>
      <w:r w:rsidR="003E5C25">
        <w:rPr>
          <w:szCs w:val="22"/>
        </w:rPr>
        <w:t xml:space="preserve">, </w:t>
      </w:r>
      <w:r w:rsidR="00EC769C">
        <w:rPr>
          <w:szCs w:val="22"/>
        </w:rPr>
        <w:t xml:space="preserve">um </w:t>
      </w:r>
      <w:r w:rsidR="003E5C25">
        <w:rPr>
          <w:szCs w:val="22"/>
        </w:rPr>
        <w:t>derartigen Krisen mit geeign</w:t>
      </w:r>
      <w:r w:rsidR="003E5C25">
        <w:rPr>
          <w:szCs w:val="22"/>
        </w:rPr>
        <w:t>e</w:t>
      </w:r>
      <w:r w:rsidR="003E5C25">
        <w:rPr>
          <w:szCs w:val="22"/>
        </w:rPr>
        <w:t>ten Risikomanagementstrategien zuvor kommen zu können</w:t>
      </w:r>
      <w:r w:rsidR="00333746">
        <w:rPr>
          <w:szCs w:val="22"/>
        </w:rPr>
        <w:t xml:space="preserve">. </w:t>
      </w:r>
    </w:p>
    <w:p w14:paraId="56FED9CC" w14:textId="6B59DFB0" w:rsidR="00333746" w:rsidRDefault="00333746" w:rsidP="00333746">
      <w:pPr>
        <w:pStyle w:val="berschrift2"/>
      </w:pPr>
      <w:bookmarkStart w:id="49" w:name="_Toc349300378"/>
      <w:r w:rsidRPr="002C6341">
        <w:t xml:space="preserve">Entwicklung der </w:t>
      </w:r>
      <w:r w:rsidR="002678BD">
        <w:t>Behandlungsn</w:t>
      </w:r>
      <w:r w:rsidRPr="002C6341">
        <w:t>achfrage bei problematischem Marihuana-Konsum</w:t>
      </w:r>
      <w:bookmarkEnd w:id="49"/>
    </w:p>
    <w:p w14:paraId="0ACDD0FE" w14:textId="218CD741" w:rsidR="007F599B" w:rsidRDefault="007F599B" w:rsidP="007F599B">
      <w:pPr>
        <w:pStyle w:val="berschrift3"/>
      </w:pPr>
      <w:bookmarkStart w:id="50" w:name="_Toc349300379"/>
      <w:r>
        <w:t>Die allgemeine Situation in Bezug auf Suchtkrankenbehandlungen in den USA</w:t>
      </w:r>
      <w:bookmarkEnd w:id="50"/>
    </w:p>
    <w:p w14:paraId="05D3B76C" w14:textId="5C3DF0DA" w:rsidR="007F599B" w:rsidRDefault="00EC769C" w:rsidP="00557574">
      <w:pPr>
        <w:pStyle w:val="KeinLeerraum"/>
        <w:numPr>
          <w:ilvl w:val="0"/>
          <w:numId w:val="15"/>
        </w:numPr>
        <w:tabs>
          <w:tab w:val="clear" w:pos="720"/>
        </w:tabs>
        <w:spacing w:line="276" w:lineRule="auto"/>
        <w:ind w:left="284" w:hanging="284"/>
        <w:jc w:val="both"/>
      </w:pPr>
      <w:r>
        <w:t>In der US-amerikanischen Bevölkerung ist p</w:t>
      </w:r>
      <w:r w:rsidR="007F599B">
        <w:t xml:space="preserve">roblematischer Alkoholkonsum der mit Abstand häufigste Grund für eine Nachfrage nach einer Behandlung: Im Jahr </w:t>
      </w:r>
      <w:r>
        <w:t>2014</w:t>
      </w:r>
      <w:r w:rsidR="007F599B">
        <w:t xml:space="preserve"> betrug die Rate für alkoholbezogene Behandlungsnachfragen insgesamt 214 pro 100.00 Ein</w:t>
      </w:r>
      <w:r>
        <w:t>wohner,</w:t>
      </w:r>
      <w:r w:rsidR="007F599B">
        <w:t xml:space="preserve"> die Nachfr</w:t>
      </w:r>
      <w:r w:rsidR="007F599B">
        <w:t>a</w:t>
      </w:r>
      <w:r w:rsidR="007F599B">
        <w:t>gerate in Fällen, in denen allein der Alkoholkonsum problematisch war,  120 pro 100.000 Einwohner, die Rate für Nachfragen, bei denen zusätzlich zu Alkohol noch eine weitere Su</w:t>
      </w:r>
      <w:r w:rsidR="007F599B">
        <w:t>b</w:t>
      </w:r>
      <w:r w:rsidR="007F599B">
        <w:t xml:space="preserve">stanz </w:t>
      </w:r>
      <w:r>
        <w:t xml:space="preserve">problematisch konsumiert wurde, </w:t>
      </w:r>
      <w:r w:rsidR="007F599B">
        <w:t xml:space="preserve">94 pro 100.000 Einwohner. </w:t>
      </w:r>
      <w:r>
        <w:t>D</w:t>
      </w:r>
      <w:r w:rsidR="007F599B">
        <w:t xml:space="preserve">emgegenüber </w:t>
      </w:r>
      <w:r>
        <w:t xml:space="preserve">sind </w:t>
      </w:r>
      <w:r w:rsidR="007F599B">
        <w:t>die Raten der Behandlungsnachfrage wegen illegalisierten Drogenkonsums mit 131 pro 100.000 Einwohner bei Heroin und 91 pro 100.000 Einwohner bei Marihuana deutlich niedriger (</w:t>
      </w:r>
      <w:r>
        <w:t xml:space="preserve">für 2014 </w:t>
      </w:r>
      <w:r w:rsidR="007F599B">
        <w:t xml:space="preserve">vgl. </w:t>
      </w:r>
      <w:r w:rsidR="007F599B" w:rsidRPr="00530D18">
        <w:t>Substance Abuse and Mental Health Services Administration, Center for Behavioral Health Statistics and Qua</w:t>
      </w:r>
      <w:r w:rsidR="007F599B">
        <w:t xml:space="preserve">lity, S. 17). </w:t>
      </w:r>
    </w:p>
    <w:p w14:paraId="2630679A" w14:textId="76B902D0" w:rsidR="007F599B" w:rsidRPr="00BF503F" w:rsidRDefault="007F599B" w:rsidP="00557574">
      <w:pPr>
        <w:pStyle w:val="KeinLeerraum"/>
        <w:numPr>
          <w:ilvl w:val="0"/>
          <w:numId w:val="15"/>
        </w:numPr>
        <w:tabs>
          <w:tab w:val="clear" w:pos="720"/>
        </w:tabs>
        <w:spacing w:line="276" w:lineRule="auto"/>
        <w:ind w:left="284" w:hanging="284"/>
        <w:jc w:val="both"/>
      </w:pPr>
      <w:r w:rsidRPr="00BF503F">
        <w:t xml:space="preserve">Die Rate der Behandlungsnachfragen in </w:t>
      </w:r>
      <w:r>
        <w:t>Fällen, in denen Marihuana die p</w:t>
      </w:r>
      <w:r w:rsidRPr="00BF503F">
        <w:t>rimäre problem</w:t>
      </w:r>
      <w:r w:rsidRPr="00BF503F">
        <w:t>a</w:t>
      </w:r>
      <w:r w:rsidRPr="00BF503F">
        <w:t>tisch konsumiert</w:t>
      </w:r>
      <w:r>
        <w:t>e</w:t>
      </w:r>
      <w:r w:rsidRPr="00BF503F">
        <w:t xml:space="preserve"> Substanz war, </w:t>
      </w:r>
      <w:r>
        <w:t xml:space="preserve">war vor mehr als zehn Jahren </w:t>
      </w:r>
      <w:r w:rsidRPr="00BF503F">
        <w:t>(115 pro 100.000 Einwoh</w:t>
      </w:r>
      <w:r>
        <w:t>ner</w:t>
      </w:r>
      <w:r w:rsidRPr="004C0AE8">
        <w:t xml:space="preserve"> </w:t>
      </w:r>
      <w:r>
        <w:t>im Jahr 2004</w:t>
      </w:r>
      <w:r w:rsidRPr="00BF503F">
        <w:t xml:space="preserve">) 21 % höher als </w:t>
      </w:r>
      <w:r w:rsidR="00EC769C">
        <w:t>ein</w:t>
      </w:r>
      <w:r w:rsidRPr="00BF503F">
        <w:t xml:space="preserve"> Jahr </w:t>
      </w:r>
      <w:r>
        <w:t xml:space="preserve">Postregulierung </w:t>
      </w:r>
      <w:r w:rsidRPr="00BF503F">
        <w:t xml:space="preserve"> (91 pro 100.000 Einwohner</w:t>
      </w:r>
      <w:r>
        <w:t xml:space="preserve"> im Jahr </w:t>
      </w:r>
      <w:r w:rsidRPr="00BF503F">
        <w:t>2014)</w:t>
      </w:r>
      <w:r>
        <w:rPr>
          <w:rStyle w:val="Funotenzeichen"/>
          <w:rFonts w:ascii="Times New Roman" w:hAnsi="Times New Roman"/>
          <w:sz w:val="24"/>
        </w:rPr>
        <w:footnoteReference w:id="50"/>
      </w:r>
      <w:r w:rsidR="0018244F">
        <w:t>(ebenda).</w:t>
      </w:r>
      <w:r w:rsidRPr="00BF503F">
        <w:t xml:space="preserve"> </w:t>
      </w:r>
    </w:p>
    <w:p w14:paraId="2A034FB8" w14:textId="5698BB6F" w:rsidR="007F599B" w:rsidRPr="00A11A59" w:rsidRDefault="007F599B" w:rsidP="00557574">
      <w:pPr>
        <w:pStyle w:val="KeinLeerraum"/>
        <w:numPr>
          <w:ilvl w:val="0"/>
          <w:numId w:val="15"/>
        </w:numPr>
        <w:tabs>
          <w:tab w:val="clear" w:pos="720"/>
        </w:tabs>
        <w:spacing w:line="276" w:lineRule="auto"/>
        <w:ind w:left="284" w:hanging="284"/>
        <w:jc w:val="both"/>
        <w:rPr>
          <w:szCs w:val="22"/>
        </w:rPr>
      </w:pPr>
      <w:r>
        <w:t xml:space="preserve">In </w:t>
      </w:r>
      <w:r w:rsidRPr="00A11A59">
        <w:rPr>
          <w:szCs w:val="22"/>
        </w:rPr>
        <w:t xml:space="preserve">den Jahren von 2004 bis 2014 wurden die höchsten Raten bei den Behandlungsnachfragen in Fällen mit problematischem Marihuana-Konsum </w:t>
      </w:r>
      <w:r w:rsidR="00EC769C">
        <w:rPr>
          <w:szCs w:val="22"/>
        </w:rPr>
        <w:t>im</w:t>
      </w:r>
      <w:r w:rsidRPr="00A11A59">
        <w:rPr>
          <w:szCs w:val="22"/>
        </w:rPr>
        <w:t xml:space="preserve"> </w:t>
      </w:r>
      <w:r w:rsidR="00EC769C">
        <w:rPr>
          <w:szCs w:val="22"/>
        </w:rPr>
        <w:t>Nordwesten</w:t>
      </w:r>
      <w:r w:rsidRPr="00A11A59">
        <w:rPr>
          <w:szCs w:val="22"/>
        </w:rPr>
        <w:t xml:space="preserve"> sowie Zentral- und Mit</w:t>
      </w:r>
      <w:r w:rsidRPr="00A11A59">
        <w:rPr>
          <w:szCs w:val="22"/>
        </w:rPr>
        <w:t>t</w:t>
      </w:r>
      <w:r w:rsidRPr="00A11A59">
        <w:rPr>
          <w:szCs w:val="22"/>
        </w:rPr>
        <w:t xml:space="preserve">leren Atlantik </w:t>
      </w:r>
      <w:r w:rsidR="00EC769C">
        <w:rPr>
          <w:szCs w:val="22"/>
        </w:rPr>
        <w:t xml:space="preserve">der USA </w:t>
      </w:r>
      <w:r w:rsidRPr="00A11A59">
        <w:rPr>
          <w:szCs w:val="22"/>
        </w:rPr>
        <w:t xml:space="preserve">ausgewiesen. </w:t>
      </w:r>
      <w:r w:rsidR="00EC769C">
        <w:rPr>
          <w:szCs w:val="22"/>
        </w:rPr>
        <w:t xml:space="preserve">Auch </w:t>
      </w:r>
      <w:r w:rsidR="00EC769C" w:rsidRPr="00A11A59">
        <w:rPr>
          <w:szCs w:val="22"/>
        </w:rPr>
        <w:t>mit dem in Angriff genommenen Radical political Shift</w:t>
      </w:r>
      <w:r w:rsidR="00EC769C">
        <w:rPr>
          <w:szCs w:val="22"/>
        </w:rPr>
        <w:t xml:space="preserve"> </w:t>
      </w:r>
      <w:r w:rsidR="00EC769C" w:rsidRPr="00A11A59">
        <w:rPr>
          <w:szCs w:val="22"/>
        </w:rPr>
        <w:t xml:space="preserve">gehörten </w:t>
      </w:r>
      <w:r w:rsidR="00EC769C">
        <w:rPr>
          <w:szCs w:val="22"/>
        </w:rPr>
        <w:t>weder</w:t>
      </w:r>
      <w:r w:rsidRPr="00A11A59">
        <w:rPr>
          <w:szCs w:val="22"/>
        </w:rPr>
        <w:t xml:space="preserve"> die Colorado noch Washington zu dieser Kategorie (vgl. Substance Ab</w:t>
      </w:r>
      <w:r w:rsidRPr="00A11A59">
        <w:rPr>
          <w:szCs w:val="22"/>
        </w:rPr>
        <w:t>u</w:t>
      </w:r>
      <w:r w:rsidRPr="00A11A59">
        <w:rPr>
          <w:szCs w:val="22"/>
        </w:rPr>
        <w:t xml:space="preserve">se and Mental Health Services Administration, Center for Behavioral Health Statistics and Quality, S. 6). </w:t>
      </w:r>
    </w:p>
    <w:p w14:paraId="5C161857" w14:textId="3E051BFF" w:rsidR="007F599B" w:rsidRPr="00A11A59" w:rsidRDefault="007F599B" w:rsidP="00557574">
      <w:pPr>
        <w:pStyle w:val="KeinLeerraum"/>
        <w:numPr>
          <w:ilvl w:val="0"/>
          <w:numId w:val="15"/>
        </w:numPr>
        <w:tabs>
          <w:tab w:val="clear" w:pos="720"/>
        </w:tabs>
        <w:spacing w:line="276" w:lineRule="auto"/>
        <w:ind w:left="284" w:hanging="284"/>
        <w:jc w:val="both"/>
        <w:rPr>
          <w:szCs w:val="22"/>
        </w:rPr>
      </w:pPr>
      <w:r w:rsidRPr="00A11A59">
        <w:rPr>
          <w:szCs w:val="22"/>
        </w:rPr>
        <w:t>2014 wurden die höchsten Raten von Behandlungsfällen bei pol</w:t>
      </w:r>
      <w:r w:rsidR="00AF03D4">
        <w:rPr>
          <w:szCs w:val="22"/>
        </w:rPr>
        <w:t>y</w:t>
      </w:r>
      <w:r w:rsidRPr="00A11A59">
        <w:rPr>
          <w:szCs w:val="22"/>
        </w:rPr>
        <w:t xml:space="preserve">valentem Konsum, bei dem neben der Hauptsubstanz Alkohol </w:t>
      </w:r>
      <w:r w:rsidR="00EC769C" w:rsidRPr="00A11A59">
        <w:rPr>
          <w:szCs w:val="22"/>
        </w:rPr>
        <w:t xml:space="preserve">Marihuana </w:t>
      </w:r>
      <w:r w:rsidRPr="00A11A59">
        <w:rPr>
          <w:szCs w:val="22"/>
        </w:rPr>
        <w:t>als Zweitsubstanz konsumiert wurde, für die Staaten Alabama, Alaska, Georgia, Indiana, Iowa, Kansas, Mississippi, Missouri, Montana, North Carolina, North Dakota, South Dakota, Texas, Virginia und Wyoming ausgewiesen (vgl. ebenda, S. 18). Damit sind die Bundesstaaten mit einem legalisierten Marihua</w:t>
      </w:r>
      <w:r w:rsidR="00EC769C">
        <w:rPr>
          <w:szCs w:val="22"/>
        </w:rPr>
        <w:t>na-Freizeitk</w:t>
      </w:r>
      <w:r w:rsidRPr="00A11A59">
        <w:rPr>
          <w:szCs w:val="22"/>
        </w:rPr>
        <w:t xml:space="preserve">onsum auch nicht unter denen mit hohen Behandlungszahlen, für die Marihuana zumindest </w:t>
      </w:r>
      <w:r w:rsidR="00EC769C">
        <w:rPr>
          <w:szCs w:val="22"/>
        </w:rPr>
        <w:t>bei polyvalentem</w:t>
      </w:r>
      <w:r w:rsidRPr="00A11A59">
        <w:rPr>
          <w:szCs w:val="22"/>
        </w:rPr>
        <w:t xml:space="preserve"> Konsum eine Rolle spielt.   </w:t>
      </w:r>
    </w:p>
    <w:p w14:paraId="36F72C1D" w14:textId="77777777" w:rsidR="004F7C74" w:rsidRDefault="004F7C74" w:rsidP="00AA1A57">
      <w:pPr>
        <w:spacing w:line="276" w:lineRule="auto"/>
      </w:pPr>
    </w:p>
    <w:p w14:paraId="613A172D" w14:textId="77777777" w:rsidR="004F7C74" w:rsidRDefault="00AA1A57" w:rsidP="00AA1A57">
      <w:pPr>
        <w:spacing w:line="276" w:lineRule="auto"/>
        <w:rPr>
          <w:b/>
        </w:rPr>
      </w:pPr>
      <w:r w:rsidRPr="004F7C74">
        <w:rPr>
          <w:b/>
        </w:rPr>
        <w:t>Fazit</w:t>
      </w:r>
    </w:p>
    <w:p w14:paraId="4D935ADF" w14:textId="650FCC38" w:rsidR="00AA1A57" w:rsidRDefault="00AA1A57" w:rsidP="003F3D85">
      <w:pPr>
        <w:spacing w:line="276" w:lineRule="auto"/>
        <w:jc w:val="both"/>
      </w:pPr>
      <w:r>
        <w:t>In den nationalen Übersicht</w:t>
      </w:r>
      <w:r w:rsidR="00AF03D4">
        <w:t>s</w:t>
      </w:r>
      <w:r>
        <w:t>daten finden sich keine Hinweise dafür, dass in den Bundesstaaten, die einen Regulierungsprozess zu Marihuana umsetzen, außergewöhnlich hohe Behandlung</w:t>
      </w:r>
      <w:r>
        <w:t>s</w:t>
      </w:r>
      <w:r>
        <w:t xml:space="preserve">nachfragen zu Suchterkrankungen und drogenbezogenen Problemen </w:t>
      </w:r>
      <w:r w:rsidR="00EC769C">
        <w:t>weder Prä- noch Postreg</w:t>
      </w:r>
      <w:r w:rsidR="00EC769C">
        <w:t>u</w:t>
      </w:r>
      <w:r w:rsidR="00EC769C">
        <w:t xml:space="preserve">lierung </w:t>
      </w:r>
      <w:r>
        <w:t>nachweisbar sind.</w:t>
      </w:r>
    </w:p>
    <w:p w14:paraId="14D7455E" w14:textId="3329A44B" w:rsidR="007F599B" w:rsidRPr="007F599B" w:rsidRDefault="00AA1A57" w:rsidP="00AA1A57">
      <w:pPr>
        <w:spacing w:line="276" w:lineRule="auto"/>
      </w:pPr>
      <w:r>
        <w:t xml:space="preserve"> </w:t>
      </w:r>
    </w:p>
    <w:p w14:paraId="465A6522" w14:textId="3F05AA20" w:rsidR="00333746" w:rsidRDefault="00333746" w:rsidP="00333746">
      <w:pPr>
        <w:pStyle w:val="berschrift3"/>
        <w:spacing w:line="276" w:lineRule="auto"/>
        <w:jc w:val="both"/>
      </w:pPr>
      <w:bookmarkStart w:id="51" w:name="_Toc349300380"/>
      <w:r>
        <w:t>Marihuana als gesundhe</w:t>
      </w:r>
      <w:r w:rsidR="00C17576">
        <w:t>itliches Problem eher nachrangi</w:t>
      </w:r>
      <w:r>
        <w:t>g</w:t>
      </w:r>
      <w:bookmarkEnd w:id="51"/>
    </w:p>
    <w:p w14:paraId="14E6946F" w14:textId="4E70F838" w:rsidR="00333746" w:rsidRDefault="00333746" w:rsidP="00333746">
      <w:pPr>
        <w:pStyle w:val="KeinLeerraum"/>
        <w:spacing w:line="276" w:lineRule="auto"/>
        <w:jc w:val="both"/>
        <w:rPr>
          <w:rFonts w:cs="Times New Roman"/>
          <w:szCs w:val="22"/>
        </w:rPr>
      </w:pPr>
      <w:r>
        <w:rPr>
          <w:szCs w:val="22"/>
        </w:rPr>
        <w:t xml:space="preserve">Hinweise auf die Entwicklung gesundheitlicher Probleme, die mit dem Marihuana-Konsum in Zusammenhang stehen, lassen sich am ehesten aus den Daten zur Aufnahme von Beratungen und Behandlungen ableiten. Dazu kann auf Daten des </w:t>
      </w:r>
      <w:r w:rsidRPr="00F27FC2">
        <w:rPr>
          <w:rFonts w:cs="Times New Roman"/>
          <w:iCs/>
          <w:szCs w:val="22"/>
        </w:rPr>
        <w:t>Treatment Episode Data Set (TEDS)</w:t>
      </w:r>
      <w:r>
        <w:rPr>
          <w:rFonts w:cs="Times New Roman"/>
          <w:iCs/>
          <w:szCs w:val="22"/>
        </w:rPr>
        <w:t xml:space="preserve"> z</w:t>
      </w:r>
      <w:r>
        <w:rPr>
          <w:rFonts w:cs="Times New Roman"/>
          <w:iCs/>
          <w:szCs w:val="22"/>
        </w:rPr>
        <w:t>u</w:t>
      </w:r>
      <w:r>
        <w:rPr>
          <w:rFonts w:cs="Times New Roman"/>
          <w:iCs/>
          <w:szCs w:val="22"/>
        </w:rPr>
        <w:t>rückgegriffen werden, die von der U. S</w:t>
      </w:r>
      <w:r>
        <w:rPr>
          <w:szCs w:val="22"/>
        </w:rPr>
        <w:t xml:space="preserve"> </w:t>
      </w:r>
      <w:r w:rsidRPr="00F27FC2">
        <w:rPr>
          <w:rFonts w:cs="Times New Roman"/>
          <w:szCs w:val="22"/>
        </w:rPr>
        <w:t>Substance Abuse and Mental Health Services Administr</w:t>
      </w:r>
      <w:r w:rsidRPr="00F27FC2">
        <w:rPr>
          <w:rFonts w:cs="Times New Roman"/>
          <w:szCs w:val="22"/>
        </w:rPr>
        <w:t>a</w:t>
      </w:r>
      <w:r w:rsidRPr="00F27FC2">
        <w:rPr>
          <w:rFonts w:cs="Times New Roman"/>
          <w:szCs w:val="22"/>
        </w:rPr>
        <w:t>tion</w:t>
      </w:r>
      <w:r>
        <w:rPr>
          <w:rFonts w:cs="Times New Roman"/>
          <w:szCs w:val="22"/>
        </w:rPr>
        <w:t xml:space="preserve"> und dem </w:t>
      </w:r>
      <w:r w:rsidRPr="00F27FC2">
        <w:rPr>
          <w:rFonts w:cs="Times New Roman"/>
          <w:szCs w:val="22"/>
        </w:rPr>
        <w:t>Center for Behavioral Health Statistics and Quality</w:t>
      </w:r>
      <w:r>
        <w:rPr>
          <w:rFonts w:cs="Times New Roman"/>
          <w:szCs w:val="22"/>
        </w:rPr>
        <w:t xml:space="preserve"> gesammelt werden</w:t>
      </w:r>
      <w:r>
        <w:rPr>
          <w:rStyle w:val="Funotenzeichen"/>
          <w:rFonts w:cs="Times New Roman"/>
          <w:szCs w:val="22"/>
        </w:rPr>
        <w:footnoteReference w:id="51"/>
      </w:r>
      <w:r w:rsidRPr="00F27FC2">
        <w:rPr>
          <w:rFonts w:cs="Times New Roman"/>
          <w:szCs w:val="22"/>
        </w:rPr>
        <w:t xml:space="preserve">. </w:t>
      </w:r>
      <w:r>
        <w:rPr>
          <w:rFonts w:cs="Times New Roman"/>
          <w:szCs w:val="22"/>
        </w:rPr>
        <w:t>In diesen werden allerdings ausschließlich Aufnahmen in Th</w:t>
      </w:r>
      <w:r w:rsidR="00EC769C">
        <w:rPr>
          <w:rFonts w:cs="Times New Roman"/>
          <w:szCs w:val="22"/>
        </w:rPr>
        <w:t>erapieangebote zusammen</w:t>
      </w:r>
      <w:r>
        <w:rPr>
          <w:rFonts w:cs="Times New Roman"/>
          <w:szCs w:val="22"/>
        </w:rPr>
        <w:t>getragen, weshalb zu Nachfragen im Drogenhilfesystem (u. a. niedri</w:t>
      </w:r>
      <w:r w:rsidR="00EC769C">
        <w:rPr>
          <w:rFonts w:cs="Times New Roman"/>
          <w:szCs w:val="22"/>
        </w:rPr>
        <w:t>gschwellige Kontakten, Come-in-</w:t>
      </w:r>
      <w:r>
        <w:rPr>
          <w:rFonts w:cs="Times New Roman"/>
          <w:szCs w:val="22"/>
        </w:rPr>
        <w:t>Beratungen) keine Daten vorliegen.</w:t>
      </w:r>
    </w:p>
    <w:p w14:paraId="782E1A26" w14:textId="49C16099" w:rsidR="00333746" w:rsidRPr="00344326" w:rsidRDefault="00333746" w:rsidP="00333746">
      <w:pPr>
        <w:pStyle w:val="KeinLeerraum"/>
        <w:spacing w:line="276" w:lineRule="auto"/>
        <w:jc w:val="both"/>
        <w:rPr>
          <w:szCs w:val="22"/>
        </w:rPr>
      </w:pPr>
      <w:r w:rsidRPr="00344326">
        <w:rPr>
          <w:szCs w:val="22"/>
        </w:rPr>
        <w:t>In den TEDS-Daten zeigt sich</w:t>
      </w:r>
      <w:r w:rsidR="001D3CBA">
        <w:rPr>
          <w:szCs w:val="22"/>
        </w:rPr>
        <w:t>, dass</w:t>
      </w:r>
      <w:r w:rsidRPr="00344326">
        <w:rPr>
          <w:szCs w:val="22"/>
        </w:rPr>
        <w:t>:</w:t>
      </w:r>
    </w:p>
    <w:p w14:paraId="5A0B4732" w14:textId="755A795F" w:rsidR="00333746" w:rsidRDefault="001D3CBA" w:rsidP="00333746">
      <w:pPr>
        <w:pStyle w:val="KeinLeerraum"/>
        <w:numPr>
          <w:ilvl w:val="0"/>
          <w:numId w:val="16"/>
        </w:numPr>
        <w:spacing w:line="276" w:lineRule="auto"/>
        <w:ind w:left="284" w:hanging="284"/>
        <w:jc w:val="both"/>
        <w:rPr>
          <w:szCs w:val="22"/>
        </w:rPr>
      </w:pPr>
      <w:r>
        <w:rPr>
          <w:szCs w:val="22"/>
        </w:rPr>
        <w:t>U</w:t>
      </w:r>
      <w:r w:rsidR="00333746" w:rsidRPr="00333746">
        <w:rPr>
          <w:szCs w:val="22"/>
        </w:rPr>
        <w:t>nter der Gesa</w:t>
      </w:r>
      <w:r w:rsidR="00EC769C">
        <w:rPr>
          <w:szCs w:val="22"/>
        </w:rPr>
        <w:t>mtzahl der Behandlungen (B</w:t>
      </w:r>
      <w:r w:rsidR="00333746" w:rsidRPr="00333746">
        <w:rPr>
          <w:szCs w:val="22"/>
        </w:rPr>
        <w:t>evölkerung 12 Jahre und älter) Therapien wegen eines problematischen Marihuana-Konsums schon immer einen geringen Anteil hatten (</w:t>
      </w:r>
      <w:r w:rsidR="003F3D85">
        <w:rPr>
          <w:szCs w:val="22"/>
        </w:rPr>
        <w:t xml:space="preserve">2012 = </w:t>
      </w:r>
      <w:r w:rsidR="00333746" w:rsidRPr="00333746">
        <w:rPr>
          <w:szCs w:val="22"/>
        </w:rPr>
        <w:t>17 %), der in den letzten Jahren (seit 2011) weiter gesunken ist (</w:t>
      </w:r>
      <w:r w:rsidR="003F3D85">
        <w:rPr>
          <w:szCs w:val="22"/>
        </w:rPr>
        <w:t xml:space="preserve">2014 = </w:t>
      </w:r>
      <w:r w:rsidR="00333746" w:rsidRPr="00333746">
        <w:rPr>
          <w:szCs w:val="22"/>
        </w:rPr>
        <w:t>15 %)</w:t>
      </w:r>
      <w:r w:rsidR="00333746" w:rsidRPr="00333746">
        <w:rPr>
          <w:rFonts w:cs="Times New Roman"/>
          <w:iCs/>
          <w:szCs w:val="22"/>
        </w:rPr>
        <w:t xml:space="preserve"> (vgl. TEDS 2016, S. 8 u. TEDS 2014, S. 3)</w:t>
      </w:r>
      <w:r w:rsidR="00333746">
        <w:rPr>
          <w:rStyle w:val="Funotenzeichen"/>
          <w:rFonts w:cs="Times New Roman"/>
          <w:iCs/>
          <w:szCs w:val="22"/>
        </w:rPr>
        <w:footnoteReference w:id="52"/>
      </w:r>
      <w:r w:rsidR="00333746" w:rsidRPr="00333746">
        <w:rPr>
          <w:szCs w:val="22"/>
        </w:rPr>
        <w:t>.</w:t>
      </w:r>
    </w:p>
    <w:p w14:paraId="7A3065A5" w14:textId="7889DBD2" w:rsidR="00333746" w:rsidRPr="00333746" w:rsidRDefault="001D3CBA" w:rsidP="00333746">
      <w:pPr>
        <w:pStyle w:val="KeinLeerraum"/>
        <w:numPr>
          <w:ilvl w:val="0"/>
          <w:numId w:val="16"/>
        </w:numPr>
        <w:spacing w:line="276" w:lineRule="auto"/>
        <w:ind w:left="284" w:hanging="284"/>
        <w:jc w:val="both"/>
        <w:rPr>
          <w:szCs w:val="22"/>
        </w:rPr>
      </w:pPr>
      <w:r>
        <w:rPr>
          <w:szCs w:val="22"/>
        </w:rPr>
        <w:t>A</w:t>
      </w:r>
      <w:r w:rsidR="00EC769C" w:rsidRPr="00333746">
        <w:rPr>
          <w:szCs w:val="22"/>
        </w:rPr>
        <w:t xml:space="preserve">ls Besonderheit </w:t>
      </w:r>
      <w:r w:rsidR="00A95E23">
        <w:rPr>
          <w:szCs w:val="22"/>
        </w:rPr>
        <w:t>bei</w:t>
      </w:r>
      <w:r w:rsidR="00333746" w:rsidRPr="00333746">
        <w:rPr>
          <w:szCs w:val="22"/>
        </w:rPr>
        <w:t xml:space="preserve"> Behandlungen problematischer Marihuana-Konsumformen die Dom</w:t>
      </w:r>
      <w:r w:rsidR="00333746" w:rsidRPr="00333746">
        <w:rPr>
          <w:szCs w:val="22"/>
        </w:rPr>
        <w:t>i</w:t>
      </w:r>
      <w:r w:rsidR="00333746" w:rsidRPr="00333746">
        <w:rPr>
          <w:szCs w:val="22"/>
        </w:rPr>
        <w:t xml:space="preserve">nanz ambulanter Angebote gelten kann: Im Jahr 2014 fanden 86 % aller Behandlungen in normalen ambulanten Settings statt, </w:t>
      </w:r>
      <w:r w:rsidR="00333746">
        <w:rPr>
          <w:szCs w:val="22"/>
        </w:rPr>
        <w:t xml:space="preserve">davon </w:t>
      </w:r>
      <w:r w:rsidR="00333746" w:rsidRPr="00333746">
        <w:rPr>
          <w:szCs w:val="22"/>
        </w:rPr>
        <w:t>62 % in ambulanten Intensiv-Settings, die eine Anwesenheit von mindestens zwei Stunden pro Tag erfordern (vgl. TEDS 2016, S. 43)</w:t>
      </w:r>
      <w:r w:rsidR="00333746">
        <w:rPr>
          <w:rStyle w:val="Funotenzeichen"/>
          <w:szCs w:val="22"/>
        </w:rPr>
        <w:footnoteReference w:id="53"/>
      </w:r>
      <w:r w:rsidR="00333746" w:rsidRPr="00333746">
        <w:rPr>
          <w:szCs w:val="22"/>
        </w:rPr>
        <w:t>.</w:t>
      </w:r>
    </w:p>
    <w:p w14:paraId="27E5DBA4" w14:textId="03E4F563" w:rsidR="00333746" w:rsidRPr="001D3CBA" w:rsidRDefault="001D3CBA" w:rsidP="00333746">
      <w:pPr>
        <w:pStyle w:val="KeinLeerraum"/>
        <w:numPr>
          <w:ilvl w:val="0"/>
          <w:numId w:val="16"/>
        </w:numPr>
        <w:spacing w:line="276" w:lineRule="auto"/>
        <w:ind w:left="284" w:hanging="284"/>
        <w:jc w:val="both"/>
        <w:rPr>
          <w:szCs w:val="22"/>
        </w:rPr>
      </w:pPr>
      <w:r>
        <w:rPr>
          <w:iCs/>
          <w:szCs w:val="22"/>
        </w:rPr>
        <w:t>E</w:t>
      </w:r>
      <w:r w:rsidR="00333746" w:rsidRPr="001D3CBA">
        <w:rPr>
          <w:iCs/>
          <w:szCs w:val="22"/>
        </w:rPr>
        <w:t xml:space="preserve">s in den USA </w:t>
      </w:r>
      <w:r w:rsidR="00333746" w:rsidRPr="001D3CBA">
        <w:rPr>
          <w:szCs w:val="22"/>
        </w:rPr>
        <w:t>eher die Heranwachsenden und jungen Erwachsenen</w:t>
      </w:r>
      <w:r w:rsidR="00333746" w:rsidRPr="001D3CBA">
        <w:rPr>
          <w:iCs/>
          <w:szCs w:val="22"/>
        </w:rPr>
        <w:t xml:space="preserve"> sind</w:t>
      </w:r>
      <w:r w:rsidR="00333746" w:rsidRPr="001D3CBA">
        <w:rPr>
          <w:szCs w:val="22"/>
        </w:rPr>
        <w:t xml:space="preserve">, die wegen ihres Marihuana-Konsums eine Behandlung aufnehmen: 2012 wurden 34 % aller Behandlungen wegen problematischen Cannabiskonsums von Personen unter 20 Jahre begonnen (2014 </w:t>
      </w:r>
      <w:r w:rsidR="003F3D85">
        <w:rPr>
          <w:szCs w:val="22"/>
        </w:rPr>
        <w:t>=</w:t>
      </w:r>
      <w:r w:rsidR="00333746" w:rsidRPr="001D3CBA">
        <w:rPr>
          <w:szCs w:val="22"/>
        </w:rPr>
        <w:t xml:space="preserve"> 32 %). Für diese Zahlen ist zu beachten, dass diese Altersgruppe nur 8 % aller Behandelten </w:t>
      </w:r>
      <w:r w:rsidR="00EC769C" w:rsidRPr="001D3CBA">
        <w:rPr>
          <w:szCs w:val="22"/>
        </w:rPr>
        <w:t xml:space="preserve">insgesamt </w:t>
      </w:r>
      <w:r w:rsidR="00333746" w:rsidRPr="001D3CBA">
        <w:rPr>
          <w:szCs w:val="22"/>
        </w:rPr>
        <w:t>ausmacht</w:t>
      </w:r>
      <w:r w:rsidR="0018244F" w:rsidRPr="001D3CBA">
        <w:rPr>
          <w:szCs w:val="22"/>
        </w:rPr>
        <w:t xml:space="preserve"> (ebenda)</w:t>
      </w:r>
      <w:r>
        <w:rPr>
          <w:szCs w:val="22"/>
        </w:rPr>
        <w:t>, d. h. wenn diese Gruppe überhaupt nach Behandlungen nac</w:t>
      </w:r>
      <w:r>
        <w:rPr>
          <w:szCs w:val="22"/>
        </w:rPr>
        <w:t>h</w:t>
      </w:r>
      <w:r>
        <w:rPr>
          <w:szCs w:val="22"/>
        </w:rPr>
        <w:t>fragt, dann in Zusammenhang mit Marihuana</w:t>
      </w:r>
      <w:r w:rsidR="00333746" w:rsidRPr="001D3CBA">
        <w:rPr>
          <w:szCs w:val="22"/>
        </w:rPr>
        <w:t xml:space="preserve">. </w:t>
      </w:r>
    </w:p>
    <w:p w14:paraId="093274D2" w14:textId="224DA0FD" w:rsidR="00333746" w:rsidRDefault="001D3CBA" w:rsidP="00333746">
      <w:pPr>
        <w:pStyle w:val="KeinLeerraum"/>
        <w:numPr>
          <w:ilvl w:val="0"/>
          <w:numId w:val="16"/>
        </w:numPr>
        <w:spacing w:line="276" w:lineRule="auto"/>
        <w:ind w:left="284" w:hanging="284"/>
        <w:jc w:val="both"/>
        <w:rPr>
          <w:szCs w:val="22"/>
        </w:rPr>
      </w:pPr>
      <w:r>
        <w:rPr>
          <w:szCs w:val="22"/>
        </w:rPr>
        <w:t>D</w:t>
      </w:r>
      <w:r w:rsidR="00333746" w:rsidRPr="00333746">
        <w:rPr>
          <w:szCs w:val="22"/>
        </w:rPr>
        <w:t>er Anteil der Altersgruppe der 18-29</w:t>
      </w:r>
      <w:r w:rsidR="00EC769C">
        <w:rPr>
          <w:szCs w:val="22"/>
        </w:rPr>
        <w:t>-</w:t>
      </w:r>
      <w:r w:rsidR="00333746" w:rsidRPr="00333746">
        <w:rPr>
          <w:szCs w:val="22"/>
        </w:rPr>
        <w:t xml:space="preserve">Jährigen an der Gesamtzahl der Behandlungen von 31 % im Jahr 2004 auf 34 % im Jahr 2014 </w:t>
      </w:r>
      <w:r w:rsidRPr="00333746">
        <w:rPr>
          <w:szCs w:val="22"/>
        </w:rPr>
        <w:t>stieg</w:t>
      </w:r>
      <w:r>
        <w:rPr>
          <w:szCs w:val="22"/>
        </w:rPr>
        <w:t xml:space="preserve">, allerdings </w:t>
      </w:r>
      <w:r w:rsidR="00A95E23">
        <w:rPr>
          <w:szCs w:val="22"/>
        </w:rPr>
        <w:t xml:space="preserve">ohne </w:t>
      </w:r>
      <w:r w:rsidR="00EC769C">
        <w:rPr>
          <w:szCs w:val="22"/>
        </w:rPr>
        <w:t xml:space="preserve">Einschnitte oder </w:t>
      </w:r>
      <w:r>
        <w:rPr>
          <w:szCs w:val="22"/>
        </w:rPr>
        <w:t>Pi</w:t>
      </w:r>
      <w:r w:rsidR="00A95E23">
        <w:rPr>
          <w:szCs w:val="22"/>
        </w:rPr>
        <w:t>k</w:t>
      </w:r>
      <w:r>
        <w:rPr>
          <w:szCs w:val="22"/>
        </w:rPr>
        <w:t>e</w:t>
      </w:r>
      <w:r w:rsidR="00EC769C">
        <w:rPr>
          <w:szCs w:val="22"/>
        </w:rPr>
        <w:t xml:space="preserve">s, </w:t>
      </w:r>
      <w:r w:rsidR="00A95E23">
        <w:rPr>
          <w:szCs w:val="22"/>
        </w:rPr>
        <w:t>für</w:t>
      </w:r>
      <w:r w:rsidR="00EC769C">
        <w:rPr>
          <w:szCs w:val="22"/>
        </w:rPr>
        <w:t xml:space="preserve"> die ein Bezug zu den drogenpolitischen Neuregelungen</w:t>
      </w:r>
      <w:r>
        <w:rPr>
          <w:szCs w:val="22"/>
        </w:rPr>
        <w:t xml:space="preserve"> herstellbar ist</w:t>
      </w:r>
      <w:r w:rsidR="00A95E23">
        <w:rPr>
          <w:szCs w:val="22"/>
        </w:rPr>
        <w:t xml:space="preserve"> </w:t>
      </w:r>
      <w:r w:rsidR="00333746" w:rsidRPr="00333746">
        <w:rPr>
          <w:szCs w:val="22"/>
        </w:rPr>
        <w:t>(vgl. TEDS 2016, S. 9)</w:t>
      </w:r>
      <w:r w:rsidR="00C31F52">
        <w:rPr>
          <w:szCs w:val="22"/>
        </w:rPr>
        <w:t>. Dies ist auch die Altersgruppe, die von den Reguli</w:t>
      </w:r>
      <w:r>
        <w:rPr>
          <w:szCs w:val="22"/>
        </w:rPr>
        <w:t>erungen des Marihuana-K</w:t>
      </w:r>
      <w:r w:rsidR="00C31F52">
        <w:rPr>
          <w:szCs w:val="22"/>
        </w:rPr>
        <w:t>onsums profitieren kann, weshalb die Hintergründe dieser Entwicklung genauer auszuloten</w:t>
      </w:r>
      <w:r>
        <w:rPr>
          <w:szCs w:val="22"/>
        </w:rPr>
        <w:t xml:space="preserve"> sind</w:t>
      </w:r>
      <w:r w:rsidR="00C31F52">
        <w:rPr>
          <w:szCs w:val="22"/>
        </w:rPr>
        <w:t>.</w:t>
      </w:r>
    </w:p>
    <w:p w14:paraId="0FEAF082" w14:textId="793E1349" w:rsidR="00A95E23" w:rsidRPr="00070EF6" w:rsidRDefault="001D3CBA" w:rsidP="00A95E23">
      <w:pPr>
        <w:pStyle w:val="KeinLeerraum"/>
        <w:numPr>
          <w:ilvl w:val="0"/>
          <w:numId w:val="16"/>
        </w:numPr>
        <w:tabs>
          <w:tab w:val="clear" w:pos="720"/>
          <w:tab w:val="num" w:pos="284"/>
        </w:tabs>
        <w:spacing w:line="276" w:lineRule="auto"/>
        <w:ind w:left="284" w:hanging="284"/>
        <w:jc w:val="both"/>
        <w:rPr>
          <w:szCs w:val="22"/>
        </w:rPr>
      </w:pPr>
      <w:r>
        <w:rPr>
          <w:szCs w:val="22"/>
        </w:rPr>
        <w:t>D</w:t>
      </w:r>
      <w:r w:rsidR="00A95E23">
        <w:rPr>
          <w:szCs w:val="22"/>
        </w:rPr>
        <w:t>as Durchschnittsalter der wegen Marihuana-Konsums Behandelten Postregulierung auf 26 Ja</w:t>
      </w:r>
      <w:r>
        <w:rPr>
          <w:szCs w:val="22"/>
        </w:rPr>
        <w:t>hre (2014) g</w:t>
      </w:r>
      <w:r w:rsidR="00A95E23">
        <w:rPr>
          <w:szCs w:val="22"/>
        </w:rPr>
        <w:t xml:space="preserve">estiegen </w:t>
      </w:r>
      <w:r>
        <w:rPr>
          <w:szCs w:val="22"/>
        </w:rPr>
        <w:t xml:space="preserve">ist </w:t>
      </w:r>
      <w:r w:rsidR="00A95E23">
        <w:rPr>
          <w:szCs w:val="22"/>
        </w:rPr>
        <w:t>(2012</w:t>
      </w:r>
      <w:r w:rsidR="003F3D85">
        <w:rPr>
          <w:szCs w:val="22"/>
        </w:rPr>
        <w:t xml:space="preserve"> </w:t>
      </w:r>
      <w:r w:rsidR="00A95E23">
        <w:rPr>
          <w:szCs w:val="22"/>
        </w:rPr>
        <w:t>=</w:t>
      </w:r>
      <w:r w:rsidR="003F3D85">
        <w:rPr>
          <w:szCs w:val="22"/>
        </w:rPr>
        <w:t xml:space="preserve"> </w:t>
      </w:r>
      <w:r w:rsidR="00A95E23">
        <w:rPr>
          <w:szCs w:val="22"/>
        </w:rPr>
        <w:t xml:space="preserve">25 Jahre) (vgl. TEDS 2016, S. 21). </w:t>
      </w:r>
    </w:p>
    <w:p w14:paraId="02B4DE0B" w14:textId="1B96071A" w:rsidR="00A95E23" w:rsidRPr="00070EF6" w:rsidRDefault="00A95E23" w:rsidP="00A95E23">
      <w:pPr>
        <w:pStyle w:val="KeinLeerraum"/>
        <w:numPr>
          <w:ilvl w:val="0"/>
          <w:numId w:val="16"/>
        </w:numPr>
        <w:tabs>
          <w:tab w:val="clear" w:pos="720"/>
          <w:tab w:val="num" w:pos="284"/>
        </w:tabs>
        <w:spacing w:line="276" w:lineRule="auto"/>
        <w:ind w:left="284" w:hanging="284"/>
        <w:jc w:val="both"/>
        <w:rPr>
          <w:rFonts w:cs="Times"/>
          <w:color w:val="000000"/>
          <w:szCs w:val="22"/>
        </w:rPr>
      </w:pPr>
      <w:r w:rsidRPr="00070EF6">
        <w:rPr>
          <w:szCs w:val="22"/>
        </w:rPr>
        <w:t>Jugend</w:t>
      </w:r>
      <w:r>
        <w:rPr>
          <w:szCs w:val="22"/>
        </w:rPr>
        <w:t>liche zwischen 12-17Jahren s</w:t>
      </w:r>
      <w:r w:rsidRPr="00070EF6">
        <w:rPr>
          <w:szCs w:val="22"/>
        </w:rPr>
        <w:t xml:space="preserve">owohl </w:t>
      </w:r>
      <w:r>
        <w:rPr>
          <w:szCs w:val="22"/>
        </w:rPr>
        <w:t>Prä- (2012</w:t>
      </w:r>
      <w:r w:rsidR="001D3CBA">
        <w:rPr>
          <w:szCs w:val="22"/>
        </w:rPr>
        <w:t xml:space="preserve"> </w:t>
      </w:r>
      <w:r>
        <w:rPr>
          <w:szCs w:val="22"/>
        </w:rPr>
        <w:t>=</w:t>
      </w:r>
      <w:r w:rsidR="001D3CBA">
        <w:rPr>
          <w:szCs w:val="22"/>
        </w:rPr>
        <w:t xml:space="preserve"> </w:t>
      </w:r>
      <w:r w:rsidRPr="00070EF6">
        <w:rPr>
          <w:szCs w:val="22"/>
        </w:rPr>
        <w:t xml:space="preserve">7 %) als </w:t>
      </w:r>
      <w:r w:rsidR="001D3CBA">
        <w:rPr>
          <w:szCs w:val="22"/>
        </w:rPr>
        <w:t xml:space="preserve">auch </w:t>
      </w:r>
      <w:r>
        <w:rPr>
          <w:szCs w:val="22"/>
        </w:rPr>
        <w:t>Post-Regulierung (2014</w:t>
      </w:r>
      <w:r w:rsidR="001D3CBA">
        <w:rPr>
          <w:szCs w:val="22"/>
        </w:rPr>
        <w:t xml:space="preserve"> </w:t>
      </w:r>
      <w:r>
        <w:rPr>
          <w:szCs w:val="22"/>
        </w:rPr>
        <w:t>=</w:t>
      </w:r>
      <w:r w:rsidR="001D3CBA">
        <w:rPr>
          <w:szCs w:val="22"/>
        </w:rPr>
        <w:t xml:space="preserve"> </w:t>
      </w:r>
      <w:r w:rsidRPr="00070EF6">
        <w:rPr>
          <w:szCs w:val="22"/>
        </w:rPr>
        <w:t>5 %) in der deutlichen Minderheit waren (vgl. TEDS 2016, S. 9)</w:t>
      </w:r>
      <w:r w:rsidRPr="00070EF6">
        <w:rPr>
          <w:rStyle w:val="Funotenzeichen"/>
          <w:szCs w:val="22"/>
        </w:rPr>
        <w:footnoteReference w:id="54"/>
      </w:r>
      <w:r>
        <w:rPr>
          <w:szCs w:val="22"/>
        </w:rPr>
        <w:t>.</w:t>
      </w:r>
      <w:r w:rsidRPr="00070EF6">
        <w:rPr>
          <w:szCs w:val="22"/>
        </w:rPr>
        <w:t xml:space="preserve"> </w:t>
      </w:r>
      <w:r>
        <w:rPr>
          <w:szCs w:val="22"/>
        </w:rPr>
        <w:t xml:space="preserve">Dieser </w:t>
      </w:r>
      <w:r w:rsidRPr="00070EF6">
        <w:rPr>
          <w:szCs w:val="22"/>
        </w:rPr>
        <w:t xml:space="preserve">Trend </w:t>
      </w:r>
      <w:r>
        <w:rPr>
          <w:szCs w:val="22"/>
        </w:rPr>
        <w:t>zeigt</w:t>
      </w:r>
      <w:r w:rsidRPr="00070EF6">
        <w:rPr>
          <w:szCs w:val="22"/>
        </w:rPr>
        <w:t xml:space="preserve"> sich </w:t>
      </w:r>
      <w:r>
        <w:rPr>
          <w:szCs w:val="22"/>
        </w:rPr>
        <w:t>eindrücklich auch im</w:t>
      </w:r>
      <w:r w:rsidRPr="00070EF6">
        <w:rPr>
          <w:szCs w:val="22"/>
        </w:rPr>
        <w:t xml:space="preserve"> Rückgang </w:t>
      </w:r>
      <w:r>
        <w:rPr>
          <w:szCs w:val="22"/>
        </w:rPr>
        <w:t>der</w:t>
      </w:r>
      <w:r w:rsidRPr="00070EF6">
        <w:rPr>
          <w:szCs w:val="22"/>
        </w:rPr>
        <w:t xml:space="preserve"> </w:t>
      </w:r>
      <w:r>
        <w:rPr>
          <w:szCs w:val="22"/>
        </w:rPr>
        <w:t xml:space="preserve">absoluten Zahlen, die sich quasi halbiert haben </w:t>
      </w:r>
      <w:r w:rsidRPr="00070EF6">
        <w:rPr>
          <w:szCs w:val="22"/>
        </w:rPr>
        <w:t>(</w:t>
      </w:r>
      <w:r w:rsidR="001D3CBA">
        <w:rPr>
          <w:rFonts w:cs="Times New Roman"/>
          <w:color w:val="000000"/>
          <w:szCs w:val="22"/>
        </w:rPr>
        <w:t>von 146.423 auf 78.</w:t>
      </w:r>
      <w:r w:rsidRPr="00070EF6">
        <w:rPr>
          <w:rFonts w:cs="Times New Roman"/>
          <w:color w:val="000000"/>
          <w:szCs w:val="22"/>
        </w:rPr>
        <w:t>018 Personen in den Jahren 2004 bis 2014)(vgl. TEDS 2016, S. 29)</w:t>
      </w:r>
      <w:r>
        <w:rPr>
          <w:rFonts w:cs="Times New Roman"/>
          <w:color w:val="000000"/>
          <w:szCs w:val="22"/>
        </w:rPr>
        <w:t>.</w:t>
      </w:r>
    </w:p>
    <w:p w14:paraId="2C1AE65E" w14:textId="77777777" w:rsidR="001D3CBA" w:rsidRDefault="00A95E23" w:rsidP="001D3CBA">
      <w:pPr>
        <w:pStyle w:val="KeinLeerraum"/>
        <w:numPr>
          <w:ilvl w:val="0"/>
          <w:numId w:val="16"/>
        </w:numPr>
        <w:spacing w:line="276" w:lineRule="auto"/>
        <w:ind w:left="284" w:hanging="284"/>
        <w:jc w:val="both"/>
        <w:rPr>
          <w:szCs w:val="22"/>
        </w:rPr>
      </w:pPr>
      <w:r>
        <w:rPr>
          <w:szCs w:val="22"/>
        </w:rPr>
        <w:t>Dem widerspricht nicht, dass d</w:t>
      </w:r>
      <w:r w:rsidRPr="00F27FC2">
        <w:rPr>
          <w:szCs w:val="22"/>
        </w:rPr>
        <w:t xml:space="preserve">er prozentuale Anteil der </w:t>
      </w:r>
      <w:r>
        <w:rPr>
          <w:szCs w:val="22"/>
        </w:rPr>
        <w:t>12-17</w:t>
      </w:r>
      <w:r w:rsidR="001D3CBA">
        <w:rPr>
          <w:szCs w:val="22"/>
        </w:rPr>
        <w:t>-</w:t>
      </w:r>
      <w:r>
        <w:rPr>
          <w:szCs w:val="22"/>
        </w:rPr>
        <w:t>Jährigen</w:t>
      </w:r>
      <w:r w:rsidRPr="00F27FC2">
        <w:rPr>
          <w:szCs w:val="22"/>
        </w:rPr>
        <w:t>, die sich wegen Pro</w:t>
      </w:r>
      <w:r w:rsidRPr="00F27FC2">
        <w:rPr>
          <w:szCs w:val="22"/>
        </w:rPr>
        <w:t>b</w:t>
      </w:r>
      <w:r w:rsidRPr="00F27FC2">
        <w:rPr>
          <w:szCs w:val="22"/>
        </w:rPr>
        <w:t>lemen mit Marihuana-Konsum in Behandl</w:t>
      </w:r>
      <w:r>
        <w:rPr>
          <w:szCs w:val="22"/>
        </w:rPr>
        <w:t>ung begeben haben, zwischen 2004 (64 %) und 2014</w:t>
      </w:r>
      <w:r w:rsidRPr="00F27FC2">
        <w:rPr>
          <w:szCs w:val="22"/>
        </w:rPr>
        <w:t xml:space="preserve"> (76 %) kontinuierlich </w:t>
      </w:r>
      <w:r w:rsidR="001D3CBA">
        <w:rPr>
          <w:szCs w:val="22"/>
        </w:rPr>
        <w:t xml:space="preserve">und ohne Pike </w:t>
      </w:r>
      <w:r w:rsidRPr="00F27FC2">
        <w:rPr>
          <w:szCs w:val="22"/>
        </w:rPr>
        <w:t>gestiegen</w:t>
      </w:r>
      <w:r w:rsidRPr="00A95E23">
        <w:rPr>
          <w:szCs w:val="22"/>
        </w:rPr>
        <w:t xml:space="preserve"> </w:t>
      </w:r>
      <w:r w:rsidRPr="00F27FC2">
        <w:rPr>
          <w:szCs w:val="22"/>
        </w:rPr>
        <w:t>ist</w:t>
      </w:r>
      <w:r>
        <w:rPr>
          <w:szCs w:val="22"/>
        </w:rPr>
        <w:t xml:space="preserve">. Zu beachten ist dabei, dass </w:t>
      </w:r>
      <w:r w:rsidRPr="00F27FC2">
        <w:rPr>
          <w:szCs w:val="22"/>
        </w:rPr>
        <w:t>die abs</w:t>
      </w:r>
      <w:r w:rsidRPr="00F27FC2">
        <w:rPr>
          <w:szCs w:val="22"/>
        </w:rPr>
        <w:t>o</w:t>
      </w:r>
      <w:r w:rsidRPr="00F27FC2">
        <w:rPr>
          <w:szCs w:val="22"/>
        </w:rPr>
        <w:t>lute Zahl der Behandlungsfälle in die</w:t>
      </w:r>
      <w:r>
        <w:rPr>
          <w:szCs w:val="22"/>
        </w:rPr>
        <w:t>sem Zeitraum um 36</w:t>
      </w:r>
      <w:r w:rsidRPr="00F27FC2">
        <w:rPr>
          <w:szCs w:val="22"/>
        </w:rPr>
        <w:t xml:space="preserve"> % gesunken </w:t>
      </w:r>
      <w:r>
        <w:rPr>
          <w:szCs w:val="22"/>
        </w:rPr>
        <w:t xml:space="preserve">ist </w:t>
      </w:r>
      <w:r w:rsidRPr="00F27FC2">
        <w:rPr>
          <w:szCs w:val="22"/>
        </w:rPr>
        <w:t xml:space="preserve">(von </w:t>
      </w:r>
      <w:r w:rsidR="001D3CBA">
        <w:rPr>
          <w:rFonts w:ascii="Times New Roman" w:hAnsi="Times New Roman"/>
          <w:sz w:val="24"/>
        </w:rPr>
        <w:t>93.</w:t>
      </w:r>
      <w:r>
        <w:rPr>
          <w:rFonts w:ascii="Times New Roman" w:hAnsi="Times New Roman"/>
          <w:sz w:val="24"/>
        </w:rPr>
        <w:t xml:space="preserve">474 auf </w:t>
      </w:r>
      <w:r w:rsidR="001D3CBA">
        <w:rPr>
          <w:rFonts w:ascii="Times New Roman" w:hAnsi="Times New Roman"/>
          <w:sz w:val="24"/>
        </w:rPr>
        <w:t>59.</w:t>
      </w:r>
      <w:r>
        <w:rPr>
          <w:rFonts w:ascii="Times New Roman" w:hAnsi="Times New Roman"/>
          <w:sz w:val="24"/>
        </w:rPr>
        <w:t xml:space="preserve">549 </w:t>
      </w:r>
      <w:r>
        <w:rPr>
          <w:szCs w:val="22"/>
        </w:rPr>
        <w:t>von 2004 bis 2014</w:t>
      </w:r>
      <w:r w:rsidRPr="00F27FC2">
        <w:rPr>
          <w:szCs w:val="22"/>
        </w:rPr>
        <w:t>)(</w:t>
      </w:r>
      <w:r>
        <w:rPr>
          <w:rFonts w:cs="Times New Roman"/>
          <w:iCs/>
          <w:szCs w:val="22"/>
        </w:rPr>
        <w:t>TEDS 2016</w:t>
      </w:r>
      <w:r w:rsidRPr="00F27FC2">
        <w:rPr>
          <w:rFonts w:cs="Times New Roman"/>
          <w:iCs/>
          <w:szCs w:val="22"/>
        </w:rPr>
        <w:t xml:space="preserve">, </w:t>
      </w:r>
      <w:r>
        <w:rPr>
          <w:szCs w:val="22"/>
        </w:rPr>
        <w:t>S. 30</w:t>
      </w:r>
      <w:r w:rsidRPr="00F27FC2">
        <w:rPr>
          <w:szCs w:val="22"/>
        </w:rPr>
        <w:t>)</w:t>
      </w:r>
      <w:r>
        <w:rPr>
          <w:szCs w:val="22"/>
        </w:rPr>
        <w:t>!</w:t>
      </w:r>
      <w:r w:rsidRPr="007F2F38">
        <w:rPr>
          <w:rStyle w:val="Funotenzeichen"/>
          <w:szCs w:val="22"/>
        </w:rPr>
        <w:footnoteReference w:id="55"/>
      </w:r>
      <w:r>
        <w:rPr>
          <w:szCs w:val="22"/>
        </w:rPr>
        <w:t xml:space="preserve"> Das </w:t>
      </w:r>
      <w:r w:rsidR="00712C92">
        <w:rPr>
          <w:szCs w:val="22"/>
        </w:rPr>
        <w:t>verweist darauf</w:t>
      </w:r>
      <w:r>
        <w:rPr>
          <w:szCs w:val="22"/>
        </w:rPr>
        <w:t>, dass bei den</w:t>
      </w:r>
      <w:r w:rsidRPr="00532BD9">
        <w:rPr>
          <w:szCs w:val="22"/>
        </w:rPr>
        <w:t xml:space="preserve"> 12-17</w:t>
      </w:r>
      <w:r w:rsidR="001D3CBA">
        <w:rPr>
          <w:szCs w:val="22"/>
        </w:rPr>
        <w:t>-</w:t>
      </w:r>
      <w:r w:rsidRPr="00532BD9">
        <w:rPr>
          <w:szCs w:val="22"/>
        </w:rPr>
        <w:t xml:space="preserve">Jährigen </w:t>
      </w:r>
      <w:r>
        <w:rPr>
          <w:szCs w:val="22"/>
        </w:rPr>
        <w:t>zwar die</w:t>
      </w:r>
      <w:r w:rsidRPr="00532BD9">
        <w:rPr>
          <w:szCs w:val="22"/>
        </w:rPr>
        <w:t xml:space="preserve"> Inanspruchna</w:t>
      </w:r>
      <w:r w:rsidR="00712C92">
        <w:rPr>
          <w:szCs w:val="22"/>
        </w:rPr>
        <w:t xml:space="preserve">hme </w:t>
      </w:r>
      <w:r w:rsidR="001D3CBA">
        <w:rPr>
          <w:szCs w:val="22"/>
        </w:rPr>
        <w:t xml:space="preserve">von </w:t>
      </w:r>
      <w:r w:rsidR="00712C92">
        <w:rPr>
          <w:szCs w:val="22"/>
        </w:rPr>
        <w:t>Behandlungen bei Marihuana-Konsum</w:t>
      </w:r>
      <w:r w:rsidR="001D3CBA">
        <w:rPr>
          <w:szCs w:val="22"/>
        </w:rPr>
        <w:t>problemen</w:t>
      </w:r>
      <w:r w:rsidR="00712C92">
        <w:rPr>
          <w:szCs w:val="22"/>
        </w:rPr>
        <w:t xml:space="preserve"> </w:t>
      </w:r>
      <w:r w:rsidRPr="00532BD9">
        <w:rPr>
          <w:szCs w:val="22"/>
        </w:rPr>
        <w:t>dominiert</w:t>
      </w:r>
      <w:r>
        <w:rPr>
          <w:szCs w:val="22"/>
        </w:rPr>
        <w:t xml:space="preserve">, diese aber am Zustandekommen </w:t>
      </w:r>
      <w:r w:rsidR="001D3CBA">
        <w:rPr>
          <w:szCs w:val="22"/>
        </w:rPr>
        <w:t>anderer</w:t>
      </w:r>
      <w:r>
        <w:rPr>
          <w:szCs w:val="22"/>
        </w:rPr>
        <w:t xml:space="preserve"> Behandlungszahlen nur wenig beteiligt sind (vgl. ebenda)</w:t>
      </w:r>
      <w:r w:rsidR="001D3CBA">
        <w:rPr>
          <w:szCs w:val="22"/>
        </w:rPr>
        <w:t>. Insofern haben</w:t>
      </w:r>
      <w:r>
        <w:rPr>
          <w:szCs w:val="22"/>
        </w:rPr>
        <w:t xml:space="preserve"> sich also im Vergleich zu den Jahren Prä-Regulierung in dieser Altersgruppe Probleme mit </w:t>
      </w:r>
      <w:r w:rsidRPr="00712C92">
        <w:rPr>
          <w:szCs w:val="22"/>
        </w:rPr>
        <w:t>anderen psycho</w:t>
      </w:r>
      <w:r w:rsidR="001D3CBA">
        <w:rPr>
          <w:szCs w:val="22"/>
        </w:rPr>
        <w:t>-</w:t>
      </w:r>
      <w:r w:rsidRPr="00712C92">
        <w:rPr>
          <w:szCs w:val="22"/>
        </w:rPr>
        <w:t>aktiven Substanzen (Alkohol, Kokain, M</w:t>
      </w:r>
      <w:r w:rsidRPr="00712C92">
        <w:rPr>
          <w:szCs w:val="22"/>
        </w:rPr>
        <w:t>e</w:t>
      </w:r>
      <w:r w:rsidRPr="00712C92">
        <w:rPr>
          <w:szCs w:val="22"/>
        </w:rPr>
        <w:t xml:space="preserve">thamphetamine) </w:t>
      </w:r>
      <w:r w:rsidR="001D3CBA">
        <w:rPr>
          <w:szCs w:val="22"/>
        </w:rPr>
        <w:t xml:space="preserve">offenkundig </w:t>
      </w:r>
      <w:r w:rsidRPr="00712C92">
        <w:rPr>
          <w:szCs w:val="22"/>
        </w:rPr>
        <w:t xml:space="preserve">relativiert </w:t>
      </w:r>
      <w:r w:rsidR="00333746" w:rsidRPr="00712C92">
        <w:rPr>
          <w:szCs w:val="22"/>
        </w:rPr>
        <w:t>(vgl. Abbildung</w:t>
      </w:r>
      <w:r w:rsidR="00712C92" w:rsidRPr="00712C92">
        <w:rPr>
          <w:szCs w:val="22"/>
        </w:rPr>
        <w:t xml:space="preserve"> 34</w:t>
      </w:r>
      <w:r w:rsidR="00333746" w:rsidRPr="00712C92">
        <w:rPr>
          <w:szCs w:val="22"/>
        </w:rPr>
        <w:t>).</w:t>
      </w:r>
      <w:r w:rsidR="00A11A59">
        <w:rPr>
          <w:szCs w:val="22"/>
        </w:rPr>
        <w:t xml:space="preserve"> </w:t>
      </w:r>
    </w:p>
    <w:p w14:paraId="3288C63A" w14:textId="09896041" w:rsidR="00A11A59" w:rsidRDefault="00A11A59" w:rsidP="001D3CBA">
      <w:pPr>
        <w:pStyle w:val="KeinLeerraum"/>
        <w:numPr>
          <w:ilvl w:val="0"/>
          <w:numId w:val="16"/>
        </w:numPr>
        <w:spacing w:line="276" w:lineRule="auto"/>
        <w:ind w:left="284" w:hanging="284"/>
        <w:jc w:val="both"/>
        <w:rPr>
          <w:szCs w:val="22"/>
        </w:rPr>
      </w:pPr>
      <w:r>
        <w:rPr>
          <w:iCs/>
          <w:szCs w:val="22"/>
        </w:rPr>
        <w:t>Während</w:t>
      </w:r>
      <w:r w:rsidRPr="004C072E">
        <w:rPr>
          <w:szCs w:val="22"/>
        </w:rPr>
        <w:t xml:space="preserve"> sich</w:t>
      </w:r>
      <w:r>
        <w:rPr>
          <w:szCs w:val="22"/>
        </w:rPr>
        <w:t xml:space="preserve"> also</w:t>
      </w:r>
      <w:r w:rsidRPr="004C072E">
        <w:rPr>
          <w:szCs w:val="22"/>
        </w:rPr>
        <w:t xml:space="preserve"> die Behandlungszahlen </w:t>
      </w:r>
      <w:r>
        <w:rPr>
          <w:szCs w:val="22"/>
        </w:rPr>
        <w:t xml:space="preserve">in </w:t>
      </w:r>
      <w:r w:rsidRPr="004C072E">
        <w:rPr>
          <w:szCs w:val="22"/>
        </w:rPr>
        <w:t>andere</w:t>
      </w:r>
      <w:r>
        <w:rPr>
          <w:szCs w:val="22"/>
        </w:rPr>
        <w:t>n</w:t>
      </w:r>
      <w:r w:rsidRPr="004C072E">
        <w:rPr>
          <w:szCs w:val="22"/>
        </w:rPr>
        <w:t xml:space="preserve"> Altersgruppen auf weitere problemat</w:t>
      </w:r>
      <w:r w:rsidRPr="004C072E">
        <w:rPr>
          <w:szCs w:val="22"/>
        </w:rPr>
        <w:t>i</w:t>
      </w:r>
      <w:r w:rsidRPr="004C072E">
        <w:rPr>
          <w:szCs w:val="22"/>
        </w:rPr>
        <w:t xml:space="preserve">sche Konsumformen (Alkohol, Heroin, Kokain u. a. Substanzen) verteilen, </w:t>
      </w:r>
      <w:r>
        <w:rPr>
          <w:szCs w:val="22"/>
        </w:rPr>
        <w:t>ist</w:t>
      </w:r>
      <w:r w:rsidRPr="004C072E">
        <w:rPr>
          <w:szCs w:val="22"/>
        </w:rPr>
        <w:t xml:space="preserve"> </w:t>
      </w:r>
      <w:r w:rsidR="001D3CBA">
        <w:rPr>
          <w:szCs w:val="22"/>
        </w:rPr>
        <w:t xml:space="preserve">es </w:t>
      </w:r>
      <w:r w:rsidRPr="004C072E">
        <w:rPr>
          <w:szCs w:val="22"/>
        </w:rPr>
        <w:t>in der Alter</w:t>
      </w:r>
      <w:r w:rsidRPr="004C072E">
        <w:rPr>
          <w:szCs w:val="22"/>
        </w:rPr>
        <w:t>s</w:t>
      </w:r>
      <w:r w:rsidRPr="004C072E">
        <w:rPr>
          <w:szCs w:val="22"/>
        </w:rPr>
        <w:t>gruppe der 12-17</w:t>
      </w:r>
      <w:r w:rsidR="001D3CBA">
        <w:rPr>
          <w:szCs w:val="22"/>
        </w:rPr>
        <w:t>-</w:t>
      </w:r>
      <w:r w:rsidRPr="004C072E">
        <w:rPr>
          <w:szCs w:val="22"/>
        </w:rPr>
        <w:t>Jährige</w:t>
      </w:r>
      <w:r w:rsidR="001D3CBA">
        <w:rPr>
          <w:rStyle w:val="Funotenzeichen"/>
          <w:szCs w:val="22"/>
        </w:rPr>
        <w:footnoteReference w:id="56"/>
      </w:r>
      <w:r w:rsidRPr="004C072E">
        <w:rPr>
          <w:szCs w:val="22"/>
        </w:rPr>
        <w:t xml:space="preserve"> </w:t>
      </w:r>
      <w:r w:rsidR="001D3CBA">
        <w:rPr>
          <w:szCs w:val="22"/>
        </w:rPr>
        <w:t>der</w:t>
      </w:r>
      <w:r w:rsidRPr="004C072E">
        <w:rPr>
          <w:szCs w:val="22"/>
        </w:rPr>
        <w:t xml:space="preserve"> </w:t>
      </w:r>
      <w:r w:rsidR="001D3CBA">
        <w:rPr>
          <w:szCs w:val="22"/>
        </w:rPr>
        <w:t xml:space="preserve">problematische </w:t>
      </w:r>
      <w:r w:rsidR="001D3CBA" w:rsidRPr="004C072E">
        <w:rPr>
          <w:szCs w:val="22"/>
        </w:rPr>
        <w:t>Mari</w:t>
      </w:r>
      <w:r w:rsidR="001D3CBA">
        <w:rPr>
          <w:szCs w:val="22"/>
        </w:rPr>
        <w:t>huana-</w:t>
      </w:r>
      <w:r w:rsidRPr="004C072E">
        <w:rPr>
          <w:szCs w:val="22"/>
        </w:rPr>
        <w:t xml:space="preserve">Konsum, der in allen Geschlechts- und ethischen Gruppen </w:t>
      </w:r>
      <w:r w:rsidR="001D3CBA">
        <w:rPr>
          <w:szCs w:val="22"/>
        </w:rPr>
        <w:t>m</w:t>
      </w:r>
      <w:r>
        <w:rPr>
          <w:szCs w:val="22"/>
        </w:rPr>
        <w:t>ehrheit</w:t>
      </w:r>
      <w:r w:rsidR="001D3CBA">
        <w:rPr>
          <w:szCs w:val="22"/>
        </w:rPr>
        <w:t xml:space="preserve">lich </w:t>
      </w:r>
      <w:r w:rsidRPr="004C072E">
        <w:rPr>
          <w:szCs w:val="22"/>
        </w:rPr>
        <w:t>Therapien</w:t>
      </w:r>
      <w:r>
        <w:rPr>
          <w:szCs w:val="22"/>
        </w:rPr>
        <w:t xml:space="preserve"> begründet: Postregulierung (2014)</w:t>
      </w:r>
      <w:r w:rsidRPr="004C072E">
        <w:rPr>
          <w:szCs w:val="22"/>
        </w:rPr>
        <w:t xml:space="preserve"> wurden 89 % aller Jugendlichen wegen Marihuana</w:t>
      </w:r>
      <w:r w:rsidR="001D3CBA">
        <w:rPr>
          <w:szCs w:val="22"/>
        </w:rPr>
        <w:t>-Konsumproblemen</w:t>
      </w:r>
      <w:r w:rsidRPr="004C072E">
        <w:rPr>
          <w:szCs w:val="22"/>
        </w:rPr>
        <w:t xml:space="preserve"> behandelt (</w:t>
      </w:r>
      <w:r w:rsidR="001D3CBA">
        <w:rPr>
          <w:szCs w:val="22"/>
        </w:rPr>
        <w:t xml:space="preserve">= </w:t>
      </w:r>
      <w:r w:rsidRPr="004C072E">
        <w:rPr>
          <w:szCs w:val="22"/>
        </w:rPr>
        <w:t>Gesamtsumme bezogen auf Hauptproblem oder in Kombination als Zweitsubstanz)</w:t>
      </w:r>
      <w:r>
        <w:rPr>
          <w:szCs w:val="22"/>
        </w:rPr>
        <w:t>(TEDS 2016, S. 29)</w:t>
      </w:r>
      <w:r w:rsidRPr="004C072E">
        <w:rPr>
          <w:rStyle w:val="Funotenzeichen"/>
          <w:szCs w:val="22"/>
        </w:rPr>
        <w:footnoteReference w:id="57"/>
      </w:r>
      <w:r>
        <w:rPr>
          <w:szCs w:val="22"/>
        </w:rPr>
        <w:t xml:space="preserve"> </w:t>
      </w:r>
      <w:r>
        <w:rPr>
          <w:rFonts w:cs="Times New Roman"/>
          <w:iCs/>
          <w:szCs w:val="22"/>
        </w:rPr>
        <w:t>(TEDS</w:t>
      </w:r>
      <w:r w:rsidRPr="00F27FC2">
        <w:rPr>
          <w:rFonts w:cs="Times New Roman"/>
          <w:iCs/>
          <w:szCs w:val="22"/>
        </w:rPr>
        <w:t xml:space="preserve"> 2015, S. </w:t>
      </w:r>
      <w:r>
        <w:rPr>
          <w:rFonts w:cs="Times New Roman"/>
          <w:iCs/>
          <w:szCs w:val="22"/>
        </w:rPr>
        <w:t>19</w:t>
      </w:r>
      <w:r w:rsidRPr="00F27FC2">
        <w:rPr>
          <w:rFonts w:cs="Times New Roman"/>
          <w:iCs/>
          <w:szCs w:val="22"/>
        </w:rPr>
        <w:t>)</w:t>
      </w:r>
      <w:r>
        <w:rPr>
          <w:rFonts w:cs="Times New Roman"/>
          <w:iCs/>
          <w:szCs w:val="22"/>
        </w:rPr>
        <w:t>.</w:t>
      </w:r>
      <w:r>
        <w:rPr>
          <w:szCs w:val="22"/>
        </w:rPr>
        <w:t xml:space="preserve"> D</w:t>
      </w:r>
      <w:r w:rsidR="001D3CBA">
        <w:rPr>
          <w:szCs w:val="22"/>
        </w:rPr>
        <w:t>iese leicht  gestiegenen relativen Zahlen</w:t>
      </w:r>
      <w:r>
        <w:rPr>
          <w:szCs w:val="22"/>
        </w:rPr>
        <w:t xml:space="preserve"> </w:t>
      </w:r>
      <w:r w:rsidR="001D3CBA">
        <w:rPr>
          <w:szCs w:val="22"/>
        </w:rPr>
        <w:t>verweisen darauf</w:t>
      </w:r>
      <w:r>
        <w:rPr>
          <w:szCs w:val="22"/>
        </w:rPr>
        <w:t xml:space="preserve">, dass </w:t>
      </w:r>
      <w:r w:rsidRPr="00532BD9">
        <w:rPr>
          <w:szCs w:val="22"/>
        </w:rPr>
        <w:t>die A</w:t>
      </w:r>
      <w:r w:rsidRPr="00532BD9">
        <w:rPr>
          <w:szCs w:val="22"/>
        </w:rPr>
        <w:t>l</w:t>
      </w:r>
      <w:r w:rsidRPr="00532BD9">
        <w:rPr>
          <w:szCs w:val="22"/>
        </w:rPr>
        <w:t>tersgruppe der 12-17</w:t>
      </w:r>
      <w:r w:rsidR="001D3CBA">
        <w:rPr>
          <w:szCs w:val="22"/>
        </w:rPr>
        <w:t>-</w:t>
      </w:r>
      <w:r w:rsidRPr="00532BD9">
        <w:rPr>
          <w:szCs w:val="22"/>
        </w:rPr>
        <w:t>Jährigen diejenige</w:t>
      </w:r>
      <w:r>
        <w:rPr>
          <w:szCs w:val="22"/>
        </w:rPr>
        <w:t xml:space="preserve"> ist</w:t>
      </w:r>
      <w:r w:rsidRPr="00532BD9">
        <w:rPr>
          <w:szCs w:val="22"/>
        </w:rPr>
        <w:t>, die bei der Inanspruchnahme entsprechender Behandlungen dominiert</w:t>
      </w:r>
      <w:r>
        <w:rPr>
          <w:szCs w:val="22"/>
        </w:rPr>
        <w:t>, im Gegenzug dazu aber am Zustandekommen der Behandlungsza</w:t>
      </w:r>
      <w:r>
        <w:rPr>
          <w:szCs w:val="22"/>
        </w:rPr>
        <w:t>h</w:t>
      </w:r>
      <w:r>
        <w:rPr>
          <w:szCs w:val="22"/>
        </w:rPr>
        <w:t>len bei Problemen mit anderen Substanzen nur wenig beteiligt ist (vgl. ebenda).</w:t>
      </w:r>
    </w:p>
    <w:p w14:paraId="248ABF87" w14:textId="07751A90" w:rsidR="00333746" w:rsidRPr="00712C92" w:rsidRDefault="00333746" w:rsidP="00A11A59">
      <w:pPr>
        <w:pStyle w:val="KeinLeerraum"/>
        <w:spacing w:line="276" w:lineRule="auto"/>
        <w:ind w:left="284"/>
        <w:jc w:val="both"/>
        <w:rPr>
          <w:szCs w:val="22"/>
        </w:rPr>
      </w:pPr>
    </w:p>
    <w:p w14:paraId="12934995" w14:textId="77777777" w:rsidR="00712C92" w:rsidRDefault="00712C92" w:rsidP="00712C92">
      <w:pPr>
        <w:pStyle w:val="KeinLeerraum"/>
        <w:keepNext/>
        <w:spacing w:line="276" w:lineRule="auto"/>
        <w:jc w:val="both"/>
      </w:pPr>
      <w:r>
        <w:rPr>
          <w:noProof/>
          <w:szCs w:val="22"/>
        </w:rPr>
        <w:drawing>
          <wp:inline distT="0" distB="0" distL="0" distR="0" wp14:anchorId="74E0D76C" wp14:editId="70B55393">
            <wp:extent cx="5756910" cy="3524885"/>
            <wp:effectExtent l="25400" t="25400" r="34290" b="3111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21 um 17.13.00.png"/>
                    <pic:cNvPicPr/>
                  </pic:nvPicPr>
                  <pic:blipFill>
                    <a:blip r:embed="rId113">
                      <a:extLst>
                        <a:ext uri="{28A0092B-C50C-407E-A947-70E740481C1C}">
                          <a14:useLocalDpi xmlns:a14="http://schemas.microsoft.com/office/drawing/2010/main" val="0"/>
                        </a:ext>
                      </a:extLst>
                    </a:blip>
                    <a:stretch>
                      <a:fillRect/>
                    </a:stretch>
                  </pic:blipFill>
                  <pic:spPr>
                    <a:xfrm>
                      <a:off x="0" y="0"/>
                      <a:ext cx="5756910" cy="3524885"/>
                    </a:xfrm>
                    <a:prstGeom prst="rect">
                      <a:avLst/>
                    </a:prstGeom>
                    <a:ln>
                      <a:solidFill>
                        <a:srgbClr val="000000"/>
                      </a:solidFill>
                    </a:ln>
                  </pic:spPr>
                </pic:pic>
              </a:graphicData>
            </a:graphic>
          </wp:inline>
        </w:drawing>
      </w:r>
    </w:p>
    <w:p w14:paraId="377A9632" w14:textId="77777777" w:rsidR="00712C92" w:rsidRDefault="00712C92" w:rsidP="00712C92">
      <w:pPr>
        <w:pStyle w:val="Beschriftung"/>
        <w:spacing w:line="276" w:lineRule="auto"/>
        <w:jc w:val="both"/>
      </w:pPr>
      <w:r>
        <w:t xml:space="preserve">Abbildung </w:t>
      </w:r>
      <w:fldSimple w:instr=" SEQ Abbildung \* ARABIC ">
        <w:r w:rsidR="00B86830">
          <w:rPr>
            <w:noProof/>
          </w:rPr>
          <w:t>34</w:t>
        </w:r>
      </w:fldSimple>
      <w:r>
        <w:t>: Entwicklung der Behandlungszahlen in der Altersgruppe der 12-17Jährigen nach Art des Ko</w:t>
      </w:r>
      <w:r>
        <w:t>n</w:t>
      </w:r>
      <w:r>
        <w:t>sums (vgl. TEDS 2016, S. 30)</w:t>
      </w:r>
    </w:p>
    <w:p w14:paraId="5FCFFE08" w14:textId="2CBCCC74" w:rsidR="00333746" w:rsidRPr="001D3CBA" w:rsidRDefault="001D3CBA" w:rsidP="001D3CBA">
      <w:pPr>
        <w:pStyle w:val="KeinLeerraum"/>
        <w:numPr>
          <w:ilvl w:val="0"/>
          <w:numId w:val="16"/>
        </w:numPr>
        <w:tabs>
          <w:tab w:val="clear" w:pos="720"/>
          <w:tab w:val="num" w:pos="284"/>
        </w:tabs>
        <w:spacing w:line="276" w:lineRule="auto"/>
        <w:ind w:left="284" w:hanging="284"/>
        <w:jc w:val="both"/>
        <w:rPr>
          <w:szCs w:val="22"/>
        </w:rPr>
      </w:pPr>
      <w:r>
        <w:rPr>
          <w:iCs/>
          <w:szCs w:val="22"/>
        </w:rPr>
        <w:t>H</w:t>
      </w:r>
      <w:r w:rsidR="00C31F52">
        <w:rPr>
          <w:iCs/>
          <w:szCs w:val="22"/>
        </w:rPr>
        <w:t xml:space="preserve">erauszustellen ist, </w:t>
      </w:r>
      <w:r w:rsidR="00C31F52" w:rsidRPr="00344326">
        <w:rPr>
          <w:iCs/>
          <w:szCs w:val="22"/>
        </w:rPr>
        <w:t>dass</w:t>
      </w:r>
      <w:r w:rsidR="00C31F52" w:rsidRPr="00B37E29">
        <w:rPr>
          <w:szCs w:val="22"/>
        </w:rPr>
        <w:t xml:space="preserve"> </w:t>
      </w:r>
      <w:r w:rsidR="00C31F52">
        <w:rPr>
          <w:szCs w:val="22"/>
        </w:rPr>
        <w:t>sowohl Prä- als auch Postregulierung</w:t>
      </w:r>
      <w:r w:rsidR="00C31F52" w:rsidRPr="00B37E29">
        <w:rPr>
          <w:szCs w:val="22"/>
        </w:rPr>
        <w:t xml:space="preserve"> </w:t>
      </w:r>
      <w:r>
        <w:rPr>
          <w:szCs w:val="22"/>
        </w:rPr>
        <w:t xml:space="preserve">nur wenige </w:t>
      </w:r>
      <w:r w:rsidR="00C31F52">
        <w:rPr>
          <w:szCs w:val="22"/>
        </w:rPr>
        <w:t>12-17</w:t>
      </w:r>
      <w:r>
        <w:rPr>
          <w:szCs w:val="22"/>
        </w:rPr>
        <w:t>-</w:t>
      </w:r>
      <w:r w:rsidR="00C31F52">
        <w:rPr>
          <w:szCs w:val="22"/>
        </w:rPr>
        <w:t>Jährige freiwillig eine B</w:t>
      </w:r>
      <w:r w:rsidR="00A11A59">
        <w:rPr>
          <w:szCs w:val="22"/>
        </w:rPr>
        <w:t>ehandlung wegen ihren Marihuana-K</w:t>
      </w:r>
      <w:r w:rsidR="00C31F52">
        <w:rPr>
          <w:szCs w:val="22"/>
        </w:rPr>
        <w:t>onsums aufnehmen (</w:t>
      </w:r>
      <w:r w:rsidR="00C31F52" w:rsidRPr="00B37E29">
        <w:rPr>
          <w:szCs w:val="22"/>
        </w:rPr>
        <w:t>20 %</w:t>
      </w:r>
      <w:r w:rsidR="00C31F52" w:rsidRPr="000C4D79">
        <w:rPr>
          <w:szCs w:val="22"/>
        </w:rPr>
        <w:t xml:space="preserve"> </w:t>
      </w:r>
      <w:r w:rsidR="00C31F52" w:rsidRPr="00B37E29">
        <w:rPr>
          <w:szCs w:val="22"/>
        </w:rPr>
        <w:t xml:space="preserve">auf eigene Initiative oder </w:t>
      </w:r>
      <w:r w:rsidR="00C31F52">
        <w:rPr>
          <w:szCs w:val="22"/>
        </w:rPr>
        <w:t>auf</w:t>
      </w:r>
      <w:r w:rsidR="00C31F52" w:rsidRPr="00B37E29">
        <w:rPr>
          <w:szCs w:val="22"/>
        </w:rPr>
        <w:t xml:space="preserve"> Initiative vo</w:t>
      </w:r>
      <w:r w:rsidR="00C31F52">
        <w:rPr>
          <w:szCs w:val="22"/>
        </w:rPr>
        <w:t>n Einzelpersonen z. B. Eltern): 4</w:t>
      </w:r>
      <w:r w:rsidR="00C31F52" w:rsidRPr="00B37E29">
        <w:rPr>
          <w:szCs w:val="22"/>
        </w:rPr>
        <w:t>4 % aller Behandlungsau</w:t>
      </w:r>
      <w:r w:rsidR="00C31F52" w:rsidRPr="00B37E29">
        <w:rPr>
          <w:szCs w:val="22"/>
        </w:rPr>
        <w:t>f</w:t>
      </w:r>
      <w:r w:rsidR="00C31F52" w:rsidRPr="00B37E29">
        <w:rPr>
          <w:szCs w:val="22"/>
        </w:rPr>
        <w:t xml:space="preserve">nahmen kamen auf Anordnung durch ein Gericht oder Strafvollzugsinstitutionen zustande, 13 % </w:t>
      </w:r>
      <w:r w:rsidR="00C31F52">
        <w:rPr>
          <w:szCs w:val="22"/>
        </w:rPr>
        <w:t>durch</w:t>
      </w:r>
      <w:r w:rsidR="00C31F52" w:rsidRPr="00B37E29">
        <w:rPr>
          <w:szCs w:val="22"/>
        </w:rPr>
        <w:t xml:space="preserve"> </w:t>
      </w:r>
      <w:r w:rsidR="00C31F52">
        <w:rPr>
          <w:szCs w:val="22"/>
        </w:rPr>
        <w:t>die</w:t>
      </w:r>
      <w:r w:rsidR="00C31F52" w:rsidRPr="00B37E29">
        <w:rPr>
          <w:szCs w:val="22"/>
        </w:rPr>
        <w:t xml:space="preserve"> Schule</w:t>
      </w:r>
      <w:r w:rsidR="00C31F52">
        <w:rPr>
          <w:szCs w:val="22"/>
        </w:rPr>
        <w:t>, der Rest durch andere Institutionen</w:t>
      </w:r>
      <w:r w:rsidR="00C31F52" w:rsidRPr="00B37E29">
        <w:rPr>
          <w:szCs w:val="22"/>
        </w:rPr>
        <w:t xml:space="preserve"> (vgl. TEDS 2016, S. 30)</w:t>
      </w:r>
      <w:r w:rsidR="00C31F52">
        <w:rPr>
          <w:rStyle w:val="Funotenzeichen"/>
          <w:szCs w:val="22"/>
        </w:rPr>
        <w:footnoteReference w:id="58"/>
      </w:r>
      <w:r w:rsidR="00C31F52">
        <w:rPr>
          <w:szCs w:val="22"/>
        </w:rPr>
        <w:t xml:space="preserve">. </w:t>
      </w:r>
      <w:r>
        <w:rPr>
          <w:szCs w:val="22"/>
        </w:rPr>
        <w:t>Hing</w:t>
      </w:r>
      <w:r>
        <w:rPr>
          <w:szCs w:val="22"/>
        </w:rPr>
        <w:t>e</w:t>
      </w:r>
      <w:r>
        <w:rPr>
          <w:szCs w:val="22"/>
        </w:rPr>
        <w:t xml:space="preserve">wiesen wird darauf, </w:t>
      </w:r>
      <w:r w:rsidR="00C31F52">
        <w:rPr>
          <w:szCs w:val="22"/>
        </w:rPr>
        <w:t>insbesondere bei 12-17</w:t>
      </w:r>
      <w:r>
        <w:rPr>
          <w:szCs w:val="22"/>
        </w:rPr>
        <w:t>-J</w:t>
      </w:r>
      <w:r w:rsidR="00C31F52">
        <w:rPr>
          <w:szCs w:val="22"/>
        </w:rPr>
        <w:t xml:space="preserve">ährigen </w:t>
      </w:r>
      <w:r>
        <w:rPr>
          <w:szCs w:val="22"/>
        </w:rPr>
        <w:t xml:space="preserve">relativ rasch </w:t>
      </w:r>
      <w:r w:rsidR="00C31F52">
        <w:rPr>
          <w:szCs w:val="22"/>
        </w:rPr>
        <w:t>eine</w:t>
      </w:r>
      <w:r w:rsidR="00C31F52" w:rsidRPr="00B37E29">
        <w:rPr>
          <w:szCs w:val="22"/>
        </w:rPr>
        <w:t xml:space="preserve"> </w:t>
      </w:r>
      <w:r w:rsidR="00C31F52">
        <w:rPr>
          <w:szCs w:val="22"/>
        </w:rPr>
        <w:t>Behandlungsaufna</w:t>
      </w:r>
      <w:r w:rsidR="00C31F52">
        <w:rPr>
          <w:szCs w:val="22"/>
        </w:rPr>
        <w:t>h</w:t>
      </w:r>
      <w:r w:rsidR="00C31F52">
        <w:rPr>
          <w:szCs w:val="22"/>
        </w:rPr>
        <w:t>me</w:t>
      </w:r>
      <w:r w:rsidR="00C31F52" w:rsidRPr="00B37E29">
        <w:rPr>
          <w:szCs w:val="22"/>
        </w:rPr>
        <w:t xml:space="preserve"> </w:t>
      </w:r>
      <w:r w:rsidR="00C31F52">
        <w:rPr>
          <w:szCs w:val="22"/>
        </w:rPr>
        <w:t>angeordnet</w:t>
      </w:r>
      <w:r>
        <w:rPr>
          <w:szCs w:val="22"/>
        </w:rPr>
        <w:t xml:space="preserve"> wird</w:t>
      </w:r>
      <w:r w:rsidR="00C31F52">
        <w:rPr>
          <w:szCs w:val="22"/>
        </w:rPr>
        <w:t xml:space="preserve">, wenn bei einem Delikt </w:t>
      </w:r>
      <w:r>
        <w:rPr>
          <w:szCs w:val="22"/>
        </w:rPr>
        <w:t xml:space="preserve">auch </w:t>
      </w:r>
      <w:r w:rsidR="00C31F52">
        <w:rPr>
          <w:szCs w:val="22"/>
        </w:rPr>
        <w:t>Marihuana als Erst-, Zweit- oder Dritt-Substanz eine Rolle spiel</w:t>
      </w:r>
      <w:r>
        <w:rPr>
          <w:szCs w:val="22"/>
        </w:rPr>
        <w:t>t</w:t>
      </w:r>
      <w:r w:rsidR="00C31F52">
        <w:rPr>
          <w:szCs w:val="22"/>
        </w:rPr>
        <w:t xml:space="preserve">. </w:t>
      </w:r>
      <w:r>
        <w:rPr>
          <w:szCs w:val="22"/>
        </w:rPr>
        <w:t>Diese Besonderheit</w:t>
      </w:r>
      <w:r w:rsidRPr="0073612A">
        <w:rPr>
          <w:szCs w:val="22"/>
        </w:rPr>
        <w:t xml:space="preserve"> </w:t>
      </w:r>
      <w:r>
        <w:rPr>
          <w:szCs w:val="22"/>
        </w:rPr>
        <w:t xml:space="preserve">lässt sich bereits seit 2004 aufzeigen. </w:t>
      </w:r>
      <w:r w:rsidR="00C31F52">
        <w:rPr>
          <w:szCs w:val="22"/>
        </w:rPr>
        <w:t>Im Ve</w:t>
      </w:r>
      <w:r w:rsidR="00C31F52">
        <w:rPr>
          <w:szCs w:val="22"/>
        </w:rPr>
        <w:t>r</w:t>
      </w:r>
      <w:r w:rsidR="00C31F52">
        <w:rPr>
          <w:szCs w:val="22"/>
        </w:rPr>
        <w:t xml:space="preserve">gleich zu den Vorjahren </w:t>
      </w:r>
      <w:r>
        <w:rPr>
          <w:szCs w:val="22"/>
        </w:rPr>
        <w:t>ist</w:t>
      </w:r>
      <w:r w:rsidR="00C31F52">
        <w:rPr>
          <w:szCs w:val="22"/>
        </w:rPr>
        <w:t xml:space="preserve"> allerdings seit </w:t>
      </w:r>
      <w:r>
        <w:rPr>
          <w:szCs w:val="22"/>
        </w:rPr>
        <w:t>2014</w:t>
      </w:r>
      <w:r w:rsidR="00C31F52">
        <w:rPr>
          <w:szCs w:val="22"/>
        </w:rPr>
        <w:t xml:space="preserve"> die Tendenz erkennbar, dass die Zahl der Therapieauflagen durch Gerichte/Strafverfolgungsinstitutionen langsam zurückgeht (41 %) und statt dessen die </w:t>
      </w:r>
      <w:r w:rsidR="00C31F52" w:rsidRPr="000C4D79">
        <w:rPr>
          <w:szCs w:val="22"/>
        </w:rPr>
        <w:t>Jugendlichen durch andere Institutionen zu einer Thera</w:t>
      </w:r>
      <w:r w:rsidR="00C31F52">
        <w:rPr>
          <w:szCs w:val="22"/>
        </w:rPr>
        <w:t>pieaufnahme g</w:t>
      </w:r>
      <w:r w:rsidR="00C31F52">
        <w:rPr>
          <w:szCs w:val="22"/>
        </w:rPr>
        <w:t>e</w:t>
      </w:r>
      <w:r w:rsidR="00C31F52">
        <w:rPr>
          <w:szCs w:val="22"/>
        </w:rPr>
        <w:t xml:space="preserve">drängt werden (49 </w:t>
      </w:r>
      <w:r>
        <w:rPr>
          <w:szCs w:val="22"/>
        </w:rPr>
        <w:t>%)(vgl. ebenda)(</w:t>
      </w:r>
      <w:r w:rsidRPr="001D3CBA">
        <w:rPr>
          <w:szCs w:val="22"/>
        </w:rPr>
        <w:t>vgl. Abbildung 35)</w:t>
      </w:r>
      <w:r>
        <w:rPr>
          <w:szCs w:val="22"/>
        </w:rPr>
        <w:t xml:space="preserve">. </w:t>
      </w:r>
      <w:r w:rsidR="00C31F52" w:rsidRPr="000C4D79">
        <w:rPr>
          <w:szCs w:val="22"/>
        </w:rPr>
        <w:t>Die Hintergründe dieser veränderten Strafpraxis müssen hier offen blieben.</w:t>
      </w:r>
      <w:r w:rsidR="00333746" w:rsidRPr="001D3CBA">
        <w:rPr>
          <w:szCs w:val="22"/>
        </w:rPr>
        <w:t>.</w:t>
      </w:r>
    </w:p>
    <w:p w14:paraId="0DBEB68C" w14:textId="77777777" w:rsidR="00C31F52" w:rsidRDefault="00C31F52" w:rsidP="00C31F52"/>
    <w:p w14:paraId="686DCB0F" w14:textId="41F5FEC5" w:rsidR="00C31F52" w:rsidRPr="00505029" w:rsidRDefault="00C31F52" w:rsidP="00C31F52">
      <w:r>
        <w:rPr>
          <w:noProof/>
          <w:szCs w:val="22"/>
        </w:rPr>
        <w:drawing>
          <wp:inline distT="0" distB="0" distL="0" distR="0" wp14:anchorId="153B93F3" wp14:editId="42A99116">
            <wp:extent cx="5755640" cy="3987555"/>
            <wp:effectExtent l="25400" t="25400" r="35560" b="2603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21 um 17.19.02.png"/>
                    <pic:cNvPicPr/>
                  </pic:nvPicPr>
                  <pic:blipFill>
                    <a:blip r:embed="rId114">
                      <a:extLst>
                        <a:ext uri="{28A0092B-C50C-407E-A947-70E740481C1C}">
                          <a14:useLocalDpi xmlns:a14="http://schemas.microsoft.com/office/drawing/2010/main" val="0"/>
                        </a:ext>
                      </a:extLst>
                    </a:blip>
                    <a:stretch>
                      <a:fillRect/>
                    </a:stretch>
                  </pic:blipFill>
                  <pic:spPr>
                    <a:xfrm>
                      <a:off x="0" y="0"/>
                      <a:ext cx="5755640" cy="3987555"/>
                    </a:xfrm>
                    <a:prstGeom prst="rect">
                      <a:avLst/>
                    </a:prstGeom>
                    <a:ln>
                      <a:solidFill>
                        <a:schemeClr val="tx1"/>
                      </a:solidFill>
                    </a:ln>
                  </pic:spPr>
                </pic:pic>
              </a:graphicData>
            </a:graphic>
          </wp:inline>
        </w:drawing>
      </w:r>
    </w:p>
    <w:p w14:paraId="399D588A" w14:textId="34BC5463" w:rsidR="00FC0C0F" w:rsidRDefault="00FC0C0F" w:rsidP="00FC0C0F">
      <w:pPr>
        <w:pStyle w:val="Beschriftung"/>
        <w:spacing w:line="276" w:lineRule="auto"/>
        <w:jc w:val="both"/>
        <w:rPr>
          <w:szCs w:val="22"/>
        </w:rPr>
      </w:pPr>
      <w:r>
        <w:t xml:space="preserve">Abbildung </w:t>
      </w:r>
      <w:fldSimple w:instr=" SEQ Abbildung \* ARABIC ">
        <w:r w:rsidR="00B86830">
          <w:rPr>
            <w:noProof/>
          </w:rPr>
          <w:t>35</w:t>
        </w:r>
      </w:fldSimple>
      <w:r>
        <w:t>: Entwicklung der Anordnungen einer Behandlungsaufnahme bei Marihuana</w:t>
      </w:r>
      <w:r w:rsidR="00A11A59">
        <w:t>-K</w:t>
      </w:r>
      <w:r>
        <w:t>onsum in der Altersgruppe der 12-17</w:t>
      </w:r>
      <w:r w:rsidR="001D3CBA">
        <w:t>-</w:t>
      </w:r>
      <w:r>
        <w:t>Jährigen (TEDS 2016, S. 30)</w:t>
      </w:r>
    </w:p>
    <w:p w14:paraId="7C1E8609" w14:textId="7C9C8A51" w:rsidR="00FC0C0F" w:rsidRPr="00D55E74" w:rsidRDefault="001D3CBA" w:rsidP="00FC0C0F">
      <w:pPr>
        <w:pStyle w:val="KeinLeerraum"/>
        <w:numPr>
          <w:ilvl w:val="0"/>
          <w:numId w:val="16"/>
        </w:numPr>
        <w:spacing w:line="276" w:lineRule="auto"/>
        <w:ind w:left="284" w:hanging="284"/>
        <w:jc w:val="both"/>
      </w:pPr>
      <w:r>
        <w:t>Z</w:t>
      </w:r>
      <w:r w:rsidR="00FC0C0F">
        <w:t xml:space="preserve">ur Kenntnis genommen werden muss, dass </w:t>
      </w:r>
      <w:r w:rsidR="00333746" w:rsidRPr="00505029">
        <w:t>24 % derjenigen, die sich wegen problemat</w:t>
      </w:r>
      <w:r w:rsidR="00333746" w:rsidRPr="00505029">
        <w:t>i</w:t>
      </w:r>
      <w:r w:rsidR="00333746" w:rsidRPr="00505029">
        <w:t xml:space="preserve">schen Marihuana-Konsums in Behandlungen begaben, damit </w:t>
      </w:r>
      <w:r>
        <w:t xml:space="preserve">bereits </w:t>
      </w:r>
      <w:r w:rsidR="00333746" w:rsidRPr="00505029">
        <w:t>im 12. Lebensjahr</w:t>
      </w:r>
      <w:r>
        <w:t xml:space="preserve"> und</w:t>
      </w:r>
      <w:r w:rsidR="00333746" w:rsidRPr="00505029">
        <w:t xml:space="preserve"> 30 % im 14. Lebensjahr </w:t>
      </w:r>
      <w:r w:rsidR="00333746">
        <w:t>bego</w:t>
      </w:r>
      <w:r w:rsidR="00333746" w:rsidRPr="00505029">
        <w:t>nnen</w:t>
      </w:r>
      <w:r w:rsidR="00333746">
        <w:t xml:space="preserve"> haben</w:t>
      </w:r>
      <w:r w:rsidR="00333746" w:rsidRPr="00505029">
        <w:t xml:space="preserve"> (vgl. TEDS 2016, S. 22). </w:t>
      </w:r>
      <w:r w:rsidR="00FC0C0F" w:rsidRPr="00505029">
        <w:t xml:space="preserve">Damit deutet sich an, dass ein frühzeitiger Konsumbeginn zu einem Prädiktor wird, </w:t>
      </w:r>
      <w:r w:rsidR="00FC0C0F">
        <w:t xml:space="preserve">um später </w:t>
      </w:r>
      <w:r w:rsidR="00FC0C0F" w:rsidRPr="00505029">
        <w:t xml:space="preserve">als Konsument auffällig zu werden und eine Behandlung </w:t>
      </w:r>
      <w:r w:rsidR="00FC0C0F">
        <w:t>zu benötigen</w:t>
      </w:r>
      <w:r w:rsidR="00FC0C0F" w:rsidRPr="00505029">
        <w:t xml:space="preserve">. </w:t>
      </w:r>
      <w:r w:rsidR="00FC0C0F">
        <w:t xml:space="preserve">Allerdings kann auch wegen der hohen Zahl der disziplinarisch angeordneten Behandlungen </w:t>
      </w:r>
      <w:r w:rsidR="00FC0C0F" w:rsidRPr="00505029">
        <w:t>aus diesen Daten nicht abgeleitet wer</w:t>
      </w:r>
      <w:r w:rsidR="00FC0C0F">
        <w:t>den, wieweit</w:t>
      </w:r>
      <w:r w:rsidR="00FC0C0F" w:rsidRPr="00505029">
        <w:t xml:space="preserve"> dies zugleich für eine besondere Problematik der entwickelten Konsummuster spricht</w:t>
      </w:r>
      <w:r w:rsidR="00FC0C0F">
        <w:t>.</w:t>
      </w:r>
      <w:r w:rsidR="00FC0C0F" w:rsidRPr="00505029">
        <w:t xml:space="preserve"> </w:t>
      </w:r>
      <w:r w:rsidR="00FC0C0F">
        <w:rPr>
          <w:iCs/>
          <w:szCs w:val="22"/>
        </w:rPr>
        <w:t>Die Tatsache, dass für problematische Marihuana-Konsumformen mehrheitlich a</w:t>
      </w:r>
      <w:r w:rsidR="00FC0C0F">
        <w:rPr>
          <w:iCs/>
          <w:szCs w:val="22"/>
        </w:rPr>
        <w:t>m</w:t>
      </w:r>
      <w:r w:rsidR="00FC0C0F">
        <w:rPr>
          <w:iCs/>
          <w:szCs w:val="22"/>
        </w:rPr>
        <w:t>bulante Behandlungssettings genutzt werden, lässt eher den Schluss zu, dass zu den Behan</w:t>
      </w:r>
      <w:r w:rsidR="00FC0C0F">
        <w:rPr>
          <w:iCs/>
          <w:szCs w:val="22"/>
        </w:rPr>
        <w:t>d</w:t>
      </w:r>
      <w:r w:rsidR="00FC0C0F">
        <w:rPr>
          <w:iCs/>
          <w:szCs w:val="22"/>
        </w:rPr>
        <w:t xml:space="preserve">lungsaufträgen vergleichsweise leicht behandelbare Probleme zählen und damit eher </w:t>
      </w:r>
      <w:r>
        <w:rPr>
          <w:iCs/>
          <w:szCs w:val="22"/>
        </w:rPr>
        <w:t>dem</w:t>
      </w:r>
      <w:r w:rsidR="00FC0C0F">
        <w:rPr>
          <w:iCs/>
          <w:szCs w:val="22"/>
        </w:rPr>
        <w:t xml:space="preserve"> Prinzip „Therapie statt Strafe“ entsprochen wird. Dieses wird auch in Deutschland prakt</w:t>
      </w:r>
      <w:r w:rsidR="00FC0C0F">
        <w:rPr>
          <w:iCs/>
          <w:szCs w:val="22"/>
        </w:rPr>
        <w:t>i</w:t>
      </w:r>
      <w:r w:rsidR="00FC0C0F">
        <w:rPr>
          <w:iCs/>
          <w:szCs w:val="22"/>
        </w:rPr>
        <w:t>ziert, hat allerdings in den USA in Anbetracht hoher Gefängnisstrafen auch schon für Jugen</w:t>
      </w:r>
      <w:r w:rsidR="00FC0C0F">
        <w:rPr>
          <w:iCs/>
          <w:szCs w:val="22"/>
        </w:rPr>
        <w:t>d</w:t>
      </w:r>
      <w:r w:rsidR="00FC0C0F">
        <w:rPr>
          <w:iCs/>
          <w:szCs w:val="22"/>
        </w:rPr>
        <w:t xml:space="preserve">liche eine besondere Bedeutung. </w:t>
      </w:r>
    </w:p>
    <w:p w14:paraId="542489EA" w14:textId="0AEE8986" w:rsidR="00333746" w:rsidRPr="00FC0C0F" w:rsidRDefault="00333746" w:rsidP="00FC0C0F">
      <w:pPr>
        <w:pStyle w:val="KeinLeerraum"/>
        <w:spacing w:line="276" w:lineRule="auto"/>
        <w:jc w:val="both"/>
        <w:rPr>
          <w:szCs w:val="22"/>
        </w:rPr>
      </w:pPr>
    </w:p>
    <w:p w14:paraId="2A2365DA" w14:textId="77777777" w:rsidR="00333746" w:rsidRPr="00D55E74" w:rsidRDefault="00333746" w:rsidP="00333746">
      <w:pPr>
        <w:pStyle w:val="KeinLeerraum"/>
        <w:spacing w:line="276" w:lineRule="auto"/>
        <w:jc w:val="both"/>
        <w:rPr>
          <w:b/>
          <w:iCs/>
          <w:szCs w:val="22"/>
        </w:rPr>
      </w:pPr>
      <w:r w:rsidRPr="00D55E74">
        <w:rPr>
          <w:b/>
          <w:iCs/>
          <w:szCs w:val="22"/>
        </w:rPr>
        <w:t>Fazit</w:t>
      </w:r>
    </w:p>
    <w:p w14:paraId="2B072447" w14:textId="44925200" w:rsidR="00333746" w:rsidRDefault="00333746" w:rsidP="00333746">
      <w:pPr>
        <w:pStyle w:val="KeinLeerraum"/>
        <w:spacing w:line="276" w:lineRule="auto"/>
        <w:jc w:val="both"/>
        <w:rPr>
          <w:iCs/>
          <w:szCs w:val="22"/>
        </w:rPr>
      </w:pPr>
      <w:r>
        <w:rPr>
          <w:iCs/>
          <w:szCs w:val="22"/>
        </w:rPr>
        <w:t xml:space="preserve">Diese nationalen Daten verdeutlichen, dass die vielfältigen Schritte einer Entkriminalisierung und </w:t>
      </w:r>
      <w:r w:rsidR="00D01097">
        <w:rPr>
          <w:iCs/>
          <w:szCs w:val="22"/>
        </w:rPr>
        <w:t>Regulierung</w:t>
      </w:r>
      <w:r>
        <w:rPr>
          <w:iCs/>
          <w:szCs w:val="22"/>
        </w:rPr>
        <w:t xml:space="preserve"> in den USA nicht zu dem oft angenommenen rasanten Anstieg von Therapiefä</w:t>
      </w:r>
      <w:r>
        <w:rPr>
          <w:iCs/>
          <w:szCs w:val="22"/>
        </w:rPr>
        <w:t>l</w:t>
      </w:r>
      <w:r>
        <w:rPr>
          <w:iCs/>
          <w:szCs w:val="22"/>
        </w:rPr>
        <w:t>len unter Jugendlichen geführt haben. Unüberseh</w:t>
      </w:r>
      <w:r w:rsidR="001D3CBA">
        <w:rPr>
          <w:iCs/>
          <w:szCs w:val="22"/>
        </w:rPr>
        <w:t>bar ist allerdings, dass die 12-25-J</w:t>
      </w:r>
      <w:r>
        <w:rPr>
          <w:iCs/>
          <w:szCs w:val="22"/>
        </w:rPr>
        <w:t xml:space="preserve">ährigen überproportional </w:t>
      </w:r>
      <w:r w:rsidR="001D3CBA">
        <w:rPr>
          <w:iCs/>
          <w:szCs w:val="22"/>
        </w:rPr>
        <w:t xml:space="preserve">bei den Nachfragen </w:t>
      </w:r>
      <w:r>
        <w:rPr>
          <w:iCs/>
          <w:szCs w:val="22"/>
        </w:rPr>
        <w:t xml:space="preserve">nach Therapien </w:t>
      </w:r>
      <w:r w:rsidR="001D3CBA">
        <w:rPr>
          <w:iCs/>
          <w:szCs w:val="22"/>
        </w:rPr>
        <w:t>in Zusammenhang mit</w:t>
      </w:r>
      <w:r>
        <w:rPr>
          <w:iCs/>
          <w:szCs w:val="22"/>
        </w:rPr>
        <w:t xml:space="preserve"> problematischem Marihuana-Konsum </w:t>
      </w:r>
      <w:r w:rsidR="001D3CBA">
        <w:rPr>
          <w:iCs/>
          <w:szCs w:val="22"/>
        </w:rPr>
        <w:t>vertreten sind</w:t>
      </w:r>
      <w:r>
        <w:rPr>
          <w:iCs/>
          <w:szCs w:val="22"/>
        </w:rPr>
        <w:t>. Dies erklärt sich aber vor allem daraus, dass diese Alter</w:t>
      </w:r>
      <w:r>
        <w:rPr>
          <w:iCs/>
          <w:szCs w:val="22"/>
        </w:rPr>
        <w:t>s</w:t>
      </w:r>
      <w:r>
        <w:rPr>
          <w:iCs/>
          <w:szCs w:val="22"/>
        </w:rPr>
        <w:t xml:space="preserve">gruppe auch diejenigen ist, für die epidemiologisch auch die höchsten Konsumraten </w:t>
      </w:r>
      <w:r w:rsidR="001D3CBA">
        <w:rPr>
          <w:iCs/>
          <w:szCs w:val="22"/>
        </w:rPr>
        <w:t>gefunden werden</w:t>
      </w:r>
      <w:r>
        <w:rPr>
          <w:iCs/>
          <w:szCs w:val="22"/>
        </w:rPr>
        <w:t xml:space="preserve">. </w:t>
      </w:r>
    </w:p>
    <w:p w14:paraId="31A72231" w14:textId="4A7BA057" w:rsidR="00FC0C0F" w:rsidRDefault="00333746" w:rsidP="00FC0C0F">
      <w:pPr>
        <w:pStyle w:val="KeinLeerraum"/>
        <w:spacing w:line="276" w:lineRule="auto"/>
        <w:jc w:val="both"/>
        <w:rPr>
          <w:iCs/>
          <w:szCs w:val="22"/>
        </w:rPr>
      </w:pPr>
      <w:r w:rsidRPr="001872B3">
        <w:rPr>
          <w:rFonts w:cs="Times"/>
          <w:szCs w:val="22"/>
        </w:rPr>
        <w:t>Interessant is</w:t>
      </w:r>
      <w:r>
        <w:rPr>
          <w:rFonts w:cs="Times"/>
          <w:szCs w:val="22"/>
        </w:rPr>
        <w:t xml:space="preserve">t </w:t>
      </w:r>
      <w:r w:rsidR="00FC0C0F">
        <w:rPr>
          <w:rFonts w:cs="Times"/>
          <w:szCs w:val="22"/>
        </w:rPr>
        <w:t xml:space="preserve">für die Bewertung des </w:t>
      </w:r>
      <w:r>
        <w:rPr>
          <w:rFonts w:cs="Times"/>
          <w:szCs w:val="22"/>
        </w:rPr>
        <w:t>Zusammenhang</w:t>
      </w:r>
      <w:r w:rsidR="00FC0C0F">
        <w:rPr>
          <w:rFonts w:cs="Times"/>
          <w:szCs w:val="22"/>
        </w:rPr>
        <w:t xml:space="preserve">s zwischen Regulierungsmaßnahmen und </w:t>
      </w:r>
      <w:r w:rsidR="00605F8E">
        <w:rPr>
          <w:rFonts w:cs="Times"/>
          <w:szCs w:val="22"/>
        </w:rPr>
        <w:t>psychischer</w:t>
      </w:r>
      <w:r w:rsidR="00FC0C0F">
        <w:rPr>
          <w:rFonts w:cs="Times"/>
          <w:szCs w:val="22"/>
        </w:rPr>
        <w:t xml:space="preserve"> Gesundheit der Bevölkerung </w:t>
      </w:r>
      <w:r w:rsidR="00605F8E">
        <w:rPr>
          <w:rFonts w:cs="Times"/>
          <w:szCs w:val="22"/>
        </w:rPr>
        <w:t xml:space="preserve">ist </w:t>
      </w:r>
      <w:r w:rsidR="00242950">
        <w:rPr>
          <w:rFonts w:cs="Times"/>
          <w:szCs w:val="22"/>
        </w:rPr>
        <w:t xml:space="preserve">der </w:t>
      </w:r>
      <w:r>
        <w:rPr>
          <w:rFonts w:cs="Times"/>
          <w:szCs w:val="22"/>
        </w:rPr>
        <w:t>Bericht zur Nationalen Lage</w:t>
      </w:r>
      <w:r w:rsidR="00242950">
        <w:rPr>
          <w:rFonts w:cs="Times"/>
          <w:szCs w:val="22"/>
        </w:rPr>
        <w:t xml:space="preserve">, in dem </w:t>
      </w:r>
      <w:r>
        <w:rPr>
          <w:rFonts w:cs="Times"/>
          <w:szCs w:val="22"/>
        </w:rPr>
        <w:t>in Bezug auf Drogenkonsum und psychische Störungen herausstellt</w:t>
      </w:r>
      <w:r w:rsidR="00FC0C0F">
        <w:rPr>
          <w:rFonts w:cs="Times"/>
          <w:szCs w:val="22"/>
        </w:rPr>
        <w:t xml:space="preserve"> wurde</w:t>
      </w:r>
      <w:r>
        <w:rPr>
          <w:rFonts w:cs="Times"/>
          <w:szCs w:val="22"/>
        </w:rPr>
        <w:t xml:space="preserve">, dass </w:t>
      </w:r>
      <w:r w:rsidR="00605F8E">
        <w:rPr>
          <w:rFonts w:cs="Times"/>
          <w:szCs w:val="22"/>
        </w:rPr>
        <w:t>2014 (ein</w:t>
      </w:r>
      <w:r w:rsidR="00FC0C0F">
        <w:rPr>
          <w:rFonts w:cs="Times"/>
          <w:szCs w:val="22"/>
        </w:rPr>
        <w:t xml:space="preserve"> Jahr Postreg</w:t>
      </w:r>
      <w:r w:rsidR="00FC0C0F">
        <w:rPr>
          <w:rFonts w:cs="Times"/>
          <w:szCs w:val="22"/>
        </w:rPr>
        <w:t>u</w:t>
      </w:r>
      <w:r w:rsidR="00FC0C0F">
        <w:rPr>
          <w:rFonts w:cs="Times"/>
          <w:szCs w:val="22"/>
        </w:rPr>
        <w:t>lierung)</w:t>
      </w:r>
      <w:r w:rsidRPr="001872B3">
        <w:rPr>
          <w:rFonts w:cs="Times"/>
          <w:szCs w:val="22"/>
        </w:rPr>
        <w:t xml:space="preserve"> </w:t>
      </w:r>
      <w:r>
        <w:rPr>
          <w:rFonts w:cs="Times"/>
          <w:szCs w:val="22"/>
        </w:rPr>
        <w:t>d</w:t>
      </w:r>
      <w:r w:rsidRPr="001872B3">
        <w:rPr>
          <w:rFonts w:cs="Times"/>
          <w:szCs w:val="22"/>
        </w:rPr>
        <w:t xml:space="preserve">er Anteil der </w:t>
      </w:r>
      <w:r>
        <w:rPr>
          <w:rFonts w:cs="Times"/>
          <w:szCs w:val="22"/>
        </w:rPr>
        <w:t>18-25</w:t>
      </w:r>
      <w:r w:rsidR="00605F8E">
        <w:rPr>
          <w:rFonts w:cs="Times"/>
          <w:szCs w:val="22"/>
        </w:rPr>
        <w:t>-</w:t>
      </w:r>
      <w:r w:rsidRPr="001872B3">
        <w:rPr>
          <w:rFonts w:cs="Times"/>
          <w:szCs w:val="22"/>
        </w:rPr>
        <w:t>Jährigen mit eine</w:t>
      </w:r>
      <w:r>
        <w:rPr>
          <w:rFonts w:cs="Times"/>
          <w:szCs w:val="22"/>
        </w:rPr>
        <w:t>r substanzbezogenen Störung</w:t>
      </w:r>
      <w:r>
        <w:rPr>
          <w:rStyle w:val="Funotenzeichen"/>
          <w:rFonts w:cs="Times"/>
          <w:szCs w:val="22"/>
        </w:rPr>
        <w:footnoteReference w:id="59"/>
      </w:r>
      <w:r>
        <w:rPr>
          <w:rFonts w:cs="Times"/>
          <w:szCs w:val="22"/>
        </w:rPr>
        <w:t xml:space="preserve"> mit  </w:t>
      </w:r>
      <w:r w:rsidRPr="001872B3">
        <w:rPr>
          <w:rFonts w:cs="Times"/>
          <w:szCs w:val="22"/>
        </w:rPr>
        <w:t xml:space="preserve">8,1 </w:t>
      </w:r>
      <w:r>
        <w:rPr>
          <w:rFonts w:cs="Times"/>
          <w:szCs w:val="22"/>
        </w:rPr>
        <w:t>%</w:t>
      </w:r>
      <w:r w:rsidRPr="001872B3">
        <w:rPr>
          <w:rFonts w:cs="Times"/>
          <w:szCs w:val="22"/>
        </w:rPr>
        <w:t xml:space="preserve"> ähnlich</w:t>
      </w:r>
      <w:r>
        <w:rPr>
          <w:rFonts w:cs="Times"/>
          <w:szCs w:val="22"/>
        </w:rPr>
        <w:t xml:space="preserve"> hoch war, </w:t>
      </w:r>
      <w:r w:rsidRPr="001872B3">
        <w:rPr>
          <w:rFonts w:cs="Times"/>
          <w:szCs w:val="22"/>
        </w:rPr>
        <w:t xml:space="preserve">wie in den </w:t>
      </w:r>
      <w:r w:rsidR="00242950">
        <w:rPr>
          <w:rFonts w:cs="Times"/>
          <w:szCs w:val="22"/>
        </w:rPr>
        <w:t xml:space="preserve">Jahren vor Präregulierung </w:t>
      </w:r>
      <w:r w:rsidR="00FC0C0F">
        <w:rPr>
          <w:rFonts w:cs="Times"/>
          <w:szCs w:val="22"/>
        </w:rPr>
        <w:t>(</w:t>
      </w:r>
      <w:r>
        <w:rPr>
          <w:rFonts w:cs="Times"/>
          <w:szCs w:val="22"/>
        </w:rPr>
        <w:t>2011 bis 2013</w:t>
      </w:r>
      <w:r w:rsidR="00FC0C0F">
        <w:rPr>
          <w:rFonts w:cs="Times"/>
          <w:szCs w:val="22"/>
        </w:rPr>
        <w:t>)</w:t>
      </w:r>
      <w:r>
        <w:rPr>
          <w:rFonts w:cs="Times"/>
          <w:szCs w:val="22"/>
        </w:rPr>
        <w:t xml:space="preserve"> und sogar </w:t>
      </w:r>
      <w:r w:rsidRPr="001872B3">
        <w:rPr>
          <w:rFonts w:cs="Times"/>
          <w:szCs w:val="22"/>
        </w:rPr>
        <w:t xml:space="preserve">niedriger als </w:t>
      </w:r>
      <w:r w:rsidR="00605F8E">
        <w:rPr>
          <w:rFonts w:cs="Times"/>
          <w:szCs w:val="22"/>
        </w:rPr>
        <w:t>der</w:t>
      </w:r>
      <w:r>
        <w:rPr>
          <w:rFonts w:cs="Times"/>
          <w:szCs w:val="22"/>
        </w:rPr>
        <w:t xml:space="preserve"> Durchschnitt </w:t>
      </w:r>
      <w:r w:rsidR="00605F8E">
        <w:rPr>
          <w:rFonts w:cs="Times"/>
          <w:szCs w:val="22"/>
        </w:rPr>
        <w:t>der Jahre</w:t>
      </w:r>
      <w:r w:rsidRPr="001872B3">
        <w:rPr>
          <w:rFonts w:cs="Times"/>
          <w:szCs w:val="22"/>
        </w:rPr>
        <w:t xml:space="preserve"> 2002 bis 2010</w:t>
      </w:r>
      <w:r w:rsidR="00FC0C0F" w:rsidRPr="00344326">
        <w:rPr>
          <w:szCs w:val="22"/>
        </w:rPr>
        <w:t xml:space="preserve">(vgl. </w:t>
      </w:r>
      <w:r w:rsidR="00FC0C0F" w:rsidRPr="00344326">
        <w:rPr>
          <w:rFonts w:cs="Times New Roman"/>
          <w:szCs w:val="22"/>
        </w:rPr>
        <w:t>Substance Abuse and Mental Health Services Adm</w:t>
      </w:r>
      <w:r w:rsidR="00FC0C0F" w:rsidRPr="00344326">
        <w:rPr>
          <w:rFonts w:cs="Times New Roman"/>
          <w:szCs w:val="22"/>
        </w:rPr>
        <w:t>i</w:t>
      </w:r>
      <w:r w:rsidR="00FC0C0F" w:rsidRPr="00344326">
        <w:rPr>
          <w:rFonts w:cs="Times New Roman"/>
          <w:szCs w:val="22"/>
        </w:rPr>
        <w:t xml:space="preserve">nistration, Center for Behavioral Health Statistics and Quality. </w:t>
      </w:r>
      <w:r w:rsidR="00FC0C0F" w:rsidRPr="00344326">
        <w:rPr>
          <w:rFonts w:cs="Times New Roman"/>
          <w:iCs/>
          <w:szCs w:val="22"/>
        </w:rPr>
        <w:t>Treatmen</w:t>
      </w:r>
      <w:r w:rsidR="00FC0C0F">
        <w:rPr>
          <w:rFonts w:cs="Times New Roman"/>
          <w:iCs/>
          <w:szCs w:val="22"/>
        </w:rPr>
        <w:t>t Episode Data Set (TEDS) 2014, ebenda 2015, ebenda 2016</w:t>
      </w:r>
      <w:r w:rsidR="00FC0C0F">
        <w:rPr>
          <w:iCs/>
          <w:szCs w:val="22"/>
        </w:rPr>
        <w:t>).</w:t>
      </w:r>
    </w:p>
    <w:p w14:paraId="07E5BA86" w14:textId="75D28012" w:rsidR="00333746" w:rsidRDefault="00242950" w:rsidP="00333746">
      <w:pPr>
        <w:spacing w:line="276" w:lineRule="auto"/>
        <w:jc w:val="both"/>
        <w:rPr>
          <w:rFonts w:cs="Times"/>
          <w:szCs w:val="22"/>
        </w:rPr>
      </w:pPr>
      <w:r>
        <w:rPr>
          <w:rFonts w:cs="Times"/>
          <w:szCs w:val="22"/>
        </w:rPr>
        <w:t>Ä</w:t>
      </w:r>
      <w:r w:rsidR="00333746">
        <w:rPr>
          <w:rFonts w:cs="Times"/>
          <w:szCs w:val="22"/>
        </w:rPr>
        <w:t>hnlich</w:t>
      </w:r>
      <w:r>
        <w:rPr>
          <w:rFonts w:cs="Times"/>
          <w:szCs w:val="22"/>
        </w:rPr>
        <w:t xml:space="preserve"> auch die Feststellung </w:t>
      </w:r>
      <w:r w:rsidR="00333746">
        <w:rPr>
          <w:rFonts w:cs="Times"/>
          <w:szCs w:val="22"/>
        </w:rPr>
        <w:t xml:space="preserve">für die </w:t>
      </w:r>
      <w:r w:rsidR="00605F8E">
        <w:rPr>
          <w:rFonts w:cs="Times"/>
          <w:szCs w:val="22"/>
        </w:rPr>
        <w:t xml:space="preserve">Gruppe der </w:t>
      </w:r>
      <w:r w:rsidR="00333746">
        <w:rPr>
          <w:rFonts w:cs="Times"/>
          <w:szCs w:val="22"/>
        </w:rPr>
        <w:t>12-17</w:t>
      </w:r>
      <w:r w:rsidR="00605F8E">
        <w:rPr>
          <w:rFonts w:cs="Times"/>
          <w:szCs w:val="22"/>
        </w:rPr>
        <w:t>-</w:t>
      </w:r>
      <w:r w:rsidR="00333746">
        <w:rPr>
          <w:rFonts w:cs="Times"/>
          <w:szCs w:val="22"/>
        </w:rPr>
        <w:t xml:space="preserve">Jährigen, in der </w:t>
      </w:r>
      <w:r w:rsidR="00605F8E">
        <w:rPr>
          <w:rFonts w:cs="Times"/>
          <w:szCs w:val="22"/>
        </w:rPr>
        <w:t xml:space="preserve">2014 (ein </w:t>
      </w:r>
      <w:r w:rsidR="00605F8E" w:rsidRPr="001872B3">
        <w:rPr>
          <w:rFonts w:cs="Times"/>
          <w:szCs w:val="22"/>
        </w:rPr>
        <w:t xml:space="preserve">Jahr </w:t>
      </w:r>
      <w:r w:rsidR="00605F8E">
        <w:rPr>
          <w:rFonts w:cs="Times"/>
          <w:szCs w:val="22"/>
        </w:rPr>
        <w:t>Postreg</w:t>
      </w:r>
      <w:r w:rsidR="00605F8E">
        <w:rPr>
          <w:rFonts w:cs="Times"/>
          <w:szCs w:val="22"/>
        </w:rPr>
        <w:t>u</w:t>
      </w:r>
      <w:r w:rsidR="00605F8E">
        <w:rPr>
          <w:rFonts w:cs="Times"/>
          <w:szCs w:val="22"/>
        </w:rPr>
        <w:t xml:space="preserve">lierung) die </w:t>
      </w:r>
      <w:r w:rsidR="00605F8E" w:rsidRPr="001872B3">
        <w:rPr>
          <w:rFonts w:cs="Times"/>
          <w:szCs w:val="22"/>
        </w:rPr>
        <w:t xml:space="preserve">Prozentsätze </w:t>
      </w:r>
      <w:r w:rsidR="00605F8E">
        <w:rPr>
          <w:rFonts w:cs="Times"/>
          <w:szCs w:val="22"/>
        </w:rPr>
        <w:t>für substanzbezogene</w:t>
      </w:r>
      <w:r w:rsidR="00333746">
        <w:rPr>
          <w:rFonts w:cs="Times"/>
          <w:szCs w:val="22"/>
        </w:rPr>
        <w:t xml:space="preserve"> Störung in Zusammenhang mit Alkohol, </w:t>
      </w:r>
      <w:r w:rsidR="00333746" w:rsidRPr="001872B3">
        <w:rPr>
          <w:rFonts w:cs="Times"/>
          <w:szCs w:val="22"/>
        </w:rPr>
        <w:t>Mar</w:t>
      </w:r>
      <w:r w:rsidR="00333746" w:rsidRPr="001872B3">
        <w:rPr>
          <w:rFonts w:cs="Times"/>
          <w:szCs w:val="22"/>
        </w:rPr>
        <w:t>i</w:t>
      </w:r>
      <w:r w:rsidR="00333746" w:rsidRPr="001872B3">
        <w:rPr>
          <w:rFonts w:cs="Times"/>
          <w:szCs w:val="22"/>
        </w:rPr>
        <w:t>huana</w:t>
      </w:r>
      <w:r w:rsidR="00333746">
        <w:rPr>
          <w:rFonts w:cs="Times"/>
          <w:szCs w:val="22"/>
        </w:rPr>
        <w:t xml:space="preserve"> </w:t>
      </w:r>
      <w:r w:rsidR="00333746" w:rsidRPr="001872B3">
        <w:rPr>
          <w:rFonts w:cs="Times"/>
          <w:szCs w:val="22"/>
        </w:rPr>
        <w:t>oder Schmerzmittel</w:t>
      </w:r>
      <w:r w:rsidR="00333746">
        <w:rPr>
          <w:rFonts w:cs="Times"/>
          <w:szCs w:val="22"/>
        </w:rPr>
        <w:t xml:space="preserve">n ebenfalls </w:t>
      </w:r>
      <w:r w:rsidR="00333746" w:rsidRPr="001872B3">
        <w:rPr>
          <w:rFonts w:cs="Times"/>
          <w:szCs w:val="22"/>
        </w:rPr>
        <w:t xml:space="preserve">niedriger </w:t>
      </w:r>
      <w:r w:rsidR="00333746">
        <w:rPr>
          <w:rFonts w:cs="Times"/>
          <w:szCs w:val="22"/>
        </w:rPr>
        <w:t>war</w:t>
      </w:r>
      <w:r w:rsidR="00605F8E">
        <w:rPr>
          <w:rFonts w:cs="Times"/>
          <w:szCs w:val="22"/>
        </w:rPr>
        <w:t>en</w:t>
      </w:r>
      <w:r w:rsidR="00333746">
        <w:rPr>
          <w:rFonts w:cs="Times"/>
          <w:szCs w:val="22"/>
        </w:rPr>
        <w:t xml:space="preserve"> </w:t>
      </w:r>
      <w:r w:rsidR="00333746" w:rsidRPr="001872B3">
        <w:rPr>
          <w:rFonts w:cs="Times"/>
          <w:szCs w:val="22"/>
        </w:rPr>
        <w:t xml:space="preserve">als </w:t>
      </w:r>
      <w:r w:rsidR="00333746">
        <w:rPr>
          <w:rFonts w:cs="Times"/>
          <w:szCs w:val="22"/>
        </w:rPr>
        <w:t xml:space="preserve">zwischen 2002 und </w:t>
      </w:r>
      <w:r w:rsidR="00333746" w:rsidRPr="001872B3">
        <w:rPr>
          <w:rFonts w:cs="Times"/>
          <w:szCs w:val="22"/>
        </w:rPr>
        <w:t>2012</w:t>
      </w:r>
      <w:r w:rsidR="00333746">
        <w:rPr>
          <w:rFonts w:cs="Times"/>
          <w:szCs w:val="22"/>
        </w:rPr>
        <w:t xml:space="preserve"> und auch niedriger als der Durchschnitt </w:t>
      </w:r>
      <w:r w:rsidR="00605F8E">
        <w:rPr>
          <w:rFonts w:cs="Times"/>
          <w:szCs w:val="22"/>
        </w:rPr>
        <w:t>für diesen</w:t>
      </w:r>
      <w:r w:rsidR="00333746">
        <w:rPr>
          <w:rFonts w:cs="Times"/>
          <w:szCs w:val="22"/>
        </w:rPr>
        <w:t xml:space="preserve"> Zeitraum (vgl. </w:t>
      </w:r>
      <w:r w:rsidR="00333746" w:rsidRPr="00DB72E2">
        <w:rPr>
          <w:rFonts w:cs="Times"/>
          <w:szCs w:val="22"/>
        </w:rPr>
        <w:t>Substance Abuse and Mental Health Se</w:t>
      </w:r>
      <w:r w:rsidR="00333746" w:rsidRPr="00DB72E2">
        <w:rPr>
          <w:rFonts w:cs="Times"/>
          <w:szCs w:val="22"/>
        </w:rPr>
        <w:t>r</w:t>
      </w:r>
      <w:r w:rsidR="00333746" w:rsidRPr="00DB72E2">
        <w:rPr>
          <w:rFonts w:cs="Times"/>
          <w:szCs w:val="22"/>
        </w:rPr>
        <w:t>vices Administration</w:t>
      </w:r>
      <w:r w:rsidR="00333746">
        <w:rPr>
          <w:rFonts w:cs="Times"/>
          <w:bCs/>
          <w:szCs w:val="22"/>
        </w:rPr>
        <w:t xml:space="preserve"> </w:t>
      </w:r>
      <w:r w:rsidR="00333746" w:rsidRPr="00DB72E2">
        <w:rPr>
          <w:rFonts w:cs="Times"/>
          <w:bCs/>
          <w:szCs w:val="22"/>
        </w:rPr>
        <w:t>2015</w:t>
      </w:r>
      <w:r w:rsidR="00333746">
        <w:rPr>
          <w:rFonts w:cs="Times"/>
          <w:bCs/>
          <w:szCs w:val="22"/>
        </w:rPr>
        <w:t xml:space="preserve">, </w:t>
      </w:r>
      <w:r w:rsidR="00333746">
        <w:rPr>
          <w:rFonts w:cs="Times"/>
          <w:szCs w:val="22"/>
        </w:rPr>
        <w:t xml:space="preserve">S. 2). </w:t>
      </w:r>
    </w:p>
    <w:p w14:paraId="6CDDEDBF" w14:textId="77777777" w:rsidR="00AA1A57" w:rsidRDefault="00AA1A57" w:rsidP="00333746">
      <w:pPr>
        <w:spacing w:line="276" w:lineRule="auto"/>
        <w:jc w:val="both"/>
        <w:rPr>
          <w:rFonts w:cs="Times"/>
          <w:szCs w:val="22"/>
        </w:rPr>
      </w:pPr>
    </w:p>
    <w:p w14:paraId="0122B20A" w14:textId="0D131E3E" w:rsidR="00AA1A57" w:rsidRPr="00D55E74" w:rsidRDefault="00AA1A57" w:rsidP="00AA1A57">
      <w:pPr>
        <w:pStyle w:val="KeinLeerraum"/>
        <w:spacing w:line="276" w:lineRule="auto"/>
        <w:jc w:val="both"/>
      </w:pPr>
      <w:r>
        <w:rPr>
          <w:iCs/>
          <w:szCs w:val="22"/>
        </w:rPr>
        <w:t xml:space="preserve">Bei der Bewertung dieser Daten ist zu berücksichtigen, dass disziplinarisch ausgesprochene Therapieauflagen </w:t>
      </w:r>
      <w:r w:rsidR="00605F8E">
        <w:rPr>
          <w:iCs/>
          <w:szCs w:val="22"/>
        </w:rPr>
        <w:t>den</w:t>
      </w:r>
      <w:r>
        <w:rPr>
          <w:iCs/>
          <w:szCs w:val="22"/>
        </w:rPr>
        <w:t xml:space="preserve"> vorliegenden Daten einen Stempel aufdrücken. Insofern lässt sich d</w:t>
      </w:r>
      <w:r>
        <w:t>ie Fr</w:t>
      </w:r>
      <w:r>
        <w:t>a</w:t>
      </w:r>
      <w:r>
        <w:t xml:space="preserve">ge, wieweit </w:t>
      </w:r>
      <w:r w:rsidR="00605F8E">
        <w:t>ein</w:t>
      </w:r>
      <w:r>
        <w:t xml:space="preserve"> </w:t>
      </w:r>
      <w:r w:rsidR="00605F8E">
        <w:t>früher</w:t>
      </w:r>
      <w:r>
        <w:t xml:space="preserve"> Cannabiskonsum </w:t>
      </w:r>
      <w:r w:rsidR="00605F8E">
        <w:t>bei</w:t>
      </w:r>
      <w:r>
        <w:t xml:space="preserve"> 12-17</w:t>
      </w:r>
      <w:r w:rsidR="00605F8E">
        <w:t>-</w:t>
      </w:r>
      <w:r>
        <w:t>Jährigen behandlungsbedürfte gesundheitl</w:t>
      </w:r>
      <w:r>
        <w:t>i</w:t>
      </w:r>
      <w:r w:rsidR="00605F8E">
        <w:t>che Störungen an</w:t>
      </w:r>
      <w:r>
        <w:t>st</w:t>
      </w:r>
      <w:r w:rsidR="00605F8E">
        <w:t xml:space="preserve">ößt, </w:t>
      </w:r>
      <w:r>
        <w:t xml:space="preserve">nur schwer beantworten. Es </w:t>
      </w:r>
      <w:r>
        <w:rPr>
          <w:iCs/>
          <w:szCs w:val="22"/>
        </w:rPr>
        <w:t>muss deshalb offen bleiben, wieweit diese Daten behandlungsbedürftige Konsummuster ausweisen</w:t>
      </w:r>
      <w:r w:rsidR="00605F8E">
        <w:rPr>
          <w:iCs/>
          <w:szCs w:val="22"/>
        </w:rPr>
        <w:t xml:space="preserve"> oder als Intervention praktiziert we</w:t>
      </w:r>
      <w:r w:rsidR="00605F8E">
        <w:rPr>
          <w:iCs/>
          <w:szCs w:val="22"/>
        </w:rPr>
        <w:t>r</w:t>
      </w:r>
      <w:r w:rsidR="00605F8E">
        <w:rPr>
          <w:iCs/>
          <w:szCs w:val="22"/>
        </w:rPr>
        <w:t>den, um andere Strafen abzuwenden</w:t>
      </w:r>
      <w:r>
        <w:rPr>
          <w:iCs/>
          <w:szCs w:val="22"/>
        </w:rPr>
        <w:t>. Die Tatsache, dass für problematische Marihuana-Konsumformen mehrheitlich ambulante Behandlungssettings genutzt werden, lässt eher den Schluss zu, dass zu den Behandlungsaufträgen vergleichsweise leicht behandelbare Probleme zählen.</w:t>
      </w:r>
    </w:p>
    <w:p w14:paraId="34F6F506" w14:textId="77777777" w:rsidR="00AA1A57" w:rsidRDefault="00AA1A57" w:rsidP="00333746">
      <w:pPr>
        <w:spacing w:line="276" w:lineRule="auto"/>
        <w:jc w:val="both"/>
        <w:rPr>
          <w:rFonts w:cs="Times"/>
          <w:szCs w:val="22"/>
        </w:rPr>
      </w:pPr>
    </w:p>
    <w:p w14:paraId="4C4DC804" w14:textId="77777777" w:rsidR="00AA1A57" w:rsidRPr="008A43D2" w:rsidRDefault="00AA1A57" w:rsidP="00AA1A57">
      <w:pPr>
        <w:pStyle w:val="berschrift3"/>
      </w:pPr>
      <w:bookmarkStart w:id="52" w:name="_Toc349300381"/>
      <w:r w:rsidRPr="008A43D2">
        <w:t>Das Beispiel Colorado</w:t>
      </w:r>
      <w:bookmarkEnd w:id="52"/>
    </w:p>
    <w:p w14:paraId="6D65404D" w14:textId="433D19D5" w:rsidR="00557574" w:rsidRPr="00A11A59" w:rsidRDefault="00AA1A57" w:rsidP="00AA1A57">
      <w:pPr>
        <w:spacing w:line="276" w:lineRule="auto"/>
        <w:jc w:val="both"/>
        <w:rPr>
          <w:szCs w:val="22"/>
        </w:rPr>
      </w:pPr>
      <w:r w:rsidRPr="00A11A59">
        <w:rPr>
          <w:szCs w:val="22"/>
        </w:rPr>
        <w:t xml:space="preserve">Diese allgemeinen Einschätzungen finden sich auch in den Daten </w:t>
      </w:r>
      <w:r w:rsidR="00605F8E">
        <w:rPr>
          <w:szCs w:val="22"/>
        </w:rPr>
        <w:t>der</w:t>
      </w:r>
      <w:r w:rsidRPr="00A11A59">
        <w:rPr>
          <w:szCs w:val="22"/>
        </w:rPr>
        <w:t xml:space="preserve"> Bundesstaaten </w:t>
      </w:r>
      <w:r w:rsidR="00605F8E">
        <w:rPr>
          <w:szCs w:val="22"/>
        </w:rPr>
        <w:t>wieder</w:t>
      </w:r>
      <w:r w:rsidRPr="00A11A59">
        <w:rPr>
          <w:szCs w:val="22"/>
        </w:rPr>
        <w:t xml:space="preserve">, die Regulierungsprozesse umsetzen: Auch </w:t>
      </w:r>
      <w:r w:rsidR="00605F8E">
        <w:rPr>
          <w:szCs w:val="22"/>
        </w:rPr>
        <w:t>in</w:t>
      </w:r>
      <w:r w:rsidRPr="00A11A59">
        <w:rPr>
          <w:szCs w:val="22"/>
        </w:rPr>
        <w:t xml:space="preserve"> Colorado </w:t>
      </w:r>
      <w:r w:rsidR="00605F8E">
        <w:rPr>
          <w:szCs w:val="22"/>
        </w:rPr>
        <w:t>stellen</w:t>
      </w:r>
      <w:r w:rsidRPr="00A11A59">
        <w:rPr>
          <w:szCs w:val="22"/>
        </w:rPr>
        <w:t xml:space="preserve"> sich bei der Nachfrage nach Behan</w:t>
      </w:r>
      <w:r w:rsidRPr="00A11A59">
        <w:rPr>
          <w:szCs w:val="22"/>
        </w:rPr>
        <w:t>d</w:t>
      </w:r>
      <w:r w:rsidRPr="00A11A59">
        <w:rPr>
          <w:szCs w:val="22"/>
        </w:rPr>
        <w:t xml:space="preserve">lungen in Zusammenhang mit </w:t>
      </w:r>
      <w:r w:rsidR="00605F8E">
        <w:rPr>
          <w:szCs w:val="22"/>
        </w:rPr>
        <w:t>problematischem</w:t>
      </w:r>
      <w:r w:rsidRPr="00A11A59">
        <w:rPr>
          <w:szCs w:val="22"/>
        </w:rPr>
        <w:t xml:space="preserve"> Marihuana-Konsum seit 2013 eher stabile </w:t>
      </w:r>
      <w:r w:rsidR="00605F8E">
        <w:rPr>
          <w:szCs w:val="22"/>
        </w:rPr>
        <w:t>R</w:t>
      </w:r>
      <w:r w:rsidR="00605F8E">
        <w:rPr>
          <w:szCs w:val="22"/>
        </w:rPr>
        <w:t>a</w:t>
      </w:r>
      <w:r w:rsidR="00605F8E">
        <w:rPr>
          <w:szCs w:val="22"/>
        </w:rPr>
        <w:t>ten</w:t>
      </w:r>
      <w:r w:rsidRPr="00A11A59">
        <w:rPr>
          <w:szCs w:val="22"/>
        </w:rPr>
        <w:t xml:space="preserve"> auf niedrigem Niveau </w:t>
      </w:r>
      <w:r w:rsidR="00605F8E">
        <w:rPr>
          <w:szCs w:val="22"/>
        </w:rPr>
        <w:t>dar</w:t>
      </w:r>
      <w:r w:rsidRPr="00A11A59">
        <w:rPr>
          <w:szCs w:val="22"/>
        </w:rPr>
        <w:t xml:space="preserve">, die nach einem geringfügigen Anstieg 2010 wieder Niveaus der Jahre ab 2004 haben (vgl. </w:t>
      </w:r>
      <w:r w:rsidRPr="00A11A59">
        <w:rPr>
          <w:rFonts w:cs="Times New Roman"/>
          <w:szCs w:val="22"/>
        </w:rPr>
        <w:t>Substance Abuse and Mental Health Services Administration, Center for Behavioral Health Statistics and Quality</w:t>
      </w:r>
      <w:r w:rsidRPr="00A11A59">
        <w:rPr>
          <w:szCs w:val="22"/>
        </w:rPr>
        <w:t xml:space="preserve"> S. 22)</w:t>
      </w:r>
      <w:r w:rsidR="00557574" w:rsidRPr="00A11A59">
        <w:rPr>
          <w:szCs w:val="22"/>
        </w:rPr>
        <w:t>(vgl. Abbildung 36)</w:t>
      </w:r>
      <w:r w:rsidRPr="00A11A59">
        <w:rPr>
          <w:szCs w:val="22"/>
        </w:rPr>
        <w:t xml:space="preserve">. </w:t>
      </w:r>
    </w:p>
    <w:p w14:paraId="7BE67C7E" w14:textId="6BAB570A" w:rsidR="00AA1A57" w:rsidRDefault="00AA1A57" w:rsidP="00AA1A57">
      <w:pPr>
        <w:spacing w:line="276" w:lineRule="auto"/>
        <w:jc w:val="both"/>
        <w:rPr>
          <w:szCs w:val="22"/>
        </w:rPr>
      </w:pPr>
      <w:r>
        <w:rPr>
          <w:szCs w:val="22"/>
        </w:rPr>
        <w:t xml:space="preserve"> </w:t>
      </w:r>
    </w:p>
    <w:p w14:paraId="5442E68F" w14:textId="77777777" w:rsidR="00AA1A57" w:rsidRDefault="00AA1A57" w:rsidP="00AA1A57">
      <w:pPr>
        <w:keepNext/>
        <w:spacing w:line="276" w:lineRule="auto"/>
        <w:jc w:val="both"/>
      </w:pPr>
      <w:r>
        <w:rPr>
          <w:noProof/>
          <w:szCs w:val="22"/>
        </w:rPr>
        <w:drawing>
          <wp:inline distT="0" distB="0" distL="0" distR="0" wp14:anchorId="14A334F6" wp14:editId="5F055C1B">
            <wp:extent cx="5756910" cy="4181475"/>
            <wp:effectExtent l="25400" t="25400" r="34290" b="3492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19 um 17.19.40.png"/>
                    <pic:cNvPicPr/>
                  </pic:nvPicPr>
                  <pic:blipFill>
                    <a:blip r:embed="rId115">
                      <a:extLst>
                        <a:ext uri="{28A0092B-C50C-407E-A947-70E740481C1C}">
                          <a14:useLocalDpi xmlns:a14="http://schemas.microsoft.com/office/drawing/2010/main" val="0"/>
                        </a:ext>
                      </a:extLst>
                    </a:blip>
                    <a:stretch>
                      <a:fillRect/>
                    </a:stretch>
                  </pic:blipFill>
                  <pic:spPr>
                    <a:xfrm>
                      <a:off x="0" y="0"/>
                      <a:ext cx="5756910" cy="4181475"/>
                    </a:xfrm>
                    <a:prstGeom prst="rect">
                      <a:avLst/>
                    </a:prstGeom>
                    <a:ln>
                      <a:solidFill>
                        <a:schemeClr val="tx1"/>
                      </a:solidFill>
                    </a:ln>
                  </pic:spPr>
                </pic:pic>
              </a:graphicData>
            </a:graphic>
          </wp:inline>
        </w:drawing>
      </w:r>
    </w:p>
    <w:p w14:paraId="2593CE4C" w14:textId="77777777" w:rsidR="00AA1A57" w:rsidRDefault="00AA1A57" w:rsidP="00AA1A57">
      <w:pPr>
        <w:pStyle w:val="Beschriftung"/>
        <w:spacing w:line="276" w:lineRule="auto"/>
        <w:jc w:val="both"/>
        <w:rPr>
          <w:rFonts w:cs="Times New Roman"/>
        </w:rPr>
      </w:pPr>
      <w:r w:rsidRPr="00A11A59">
        <w:t xml:space="preserve">Abbildung </w:t>
      </w:r>
      <w:fldSimple w:instr=" SEQ Abbildung \* ARABIC ">
        <w:r w:rsidR="00B86830">
          <w:rPr>
            <w:noProof/>
          </w:rPr>
          <w:t>36</w:t>
        </w:r>
      </w:fldSimple>
      <w:r w:rsidRPr="00A11A59">
        <w:t>: Entwicklung der Behandlungsnachfragen im Bundesstaat Colorado (</w:t>
      </w:r>
      <w:r w:rsidRPr="00A11A59">
        <w:rPr>
          <w:rFonts w:cs="Times New Roman"/>
        </w:rPr>
        <w:t>Substance Abuse and Me</w:t>
      </w:r>
      <w:r w:rsidRPr="00A11A59">
        <w:rPr>
          <w:rFonts w:cs="Times New Roman"/>
        </w:rPr>
        <w:t>n</w:t>
      </w:r>
      <w:r w:rsidRPr="00A11A59">
        <w:rPr>
          <w:rFonts w:cs="Times New Roman"/>
        </w:rPr>
        <w:t>tal Health Services Administration, Center for Behavioral Health Statistics and Quality, S. 22)</w:t>
      </w:r>
    </w:p>
    <w:p w14:paraId="48298199" w14:textId="031EBF28" w:rsidR="00AA1A57" w:rsidRDefault="00A11A59" w:rsidP="00F41DB0">
      <w:pPr>
        <w:widowControl w:val="0"/>
        <w:autoSpaceDE w:val="0"/>
        <w:autoSpaceDN w:val="0"/>
        <w:adjustRightInd w:val="0"/>
        <w:spacing w:after="240" w:line="276" w:lineRule="auto"/>
        <w:jc w:val="both"/>
        <w:rPr>
          <w:b/>
          <w:szCs w:val="22"/>
        </w:rPr>
      </w:pPr>
      <w:r w:rsidRPr="00605F8E">
        <w:rPr>
          <w:rFonts w:cs="Calibri"/>
          <w:color w:val="000000"/>
          <w:szCs w:val="22"/>
        </w:rPr>
        <w:t>Die allgemeinen Behandlungsraten für problematischen Marihuana-Konsum (Zahl auf 100.000 Einwohner) ist sowohl für die Altersgruppe der unter-20</w:t>
      </w:r>
      <w:r w:rsidR="00605F8E" w:rsidRPr="00605F8E">
        <w:rPr>
          <w:rFonts w:cs="Calibri"/>
          <w:color w:val="000000"/>
          <w:szCs w:val="22"/>
        </w:rPr>
        <w:t>-</w:t>
      </w:r>
      <w:r w:rsidRPr="00605F8E">
        <w:rPr>
          <w:rFonts w:cs="Calibri"/>
          <w:color w:val="000000"/>
          <w:szCs w:val="22"/>
        </w:rPr>
        <w:t>Jährigen (2009</w:t>
      </w:r>
      <w:r w:rsidR="003F3D85">
        <w:rPr>
          <w:rFonts w:cs="Calibri"/>
          <w:color w:val="000000"/>
          <w:szCs w:val="22"/>
        </w:rPr>
        <w:t xml:space="preserve"> = 271</w:t>
      </w:r>
      <w:r w:rsidR="00605F8E">
        <w:rPr>
          <w:rFonts w:cs="Calibri"/>
          <w:color w:val="000000"/>
          <w:szCs w:val="22"/>
        </w:rPr>
        <w:t xml:space="preserve">, </w:t>
      </w:r>
      <w:r w:rsidR="003F3D85">
        <w:rPr>
          <w:rFonts w:cs="Calibri"/>
          <w:color w:val="000000"/>
          <w:szCs w:val="22"/>
        </w:rPr>
        <w:t xml:space="preserve">2014 = </w:t>
      </w:r>
      <w:r w:rsidRPr="00605F8E">
        <w:rPr>
          <w:rFonts w:cs="Calibri"/>
          <w:color w:val="000000"/>
          <w:szCs w:val="22"/>
        </w:rPr>
        <w:t xml:space="preserve">180) als </w:t>
      </w:r>
      <w:r w:rsidR="00557574">
        <w:rPr>
          <w:rFonts w:ascii="Calibri" w:hAnsi="Calibri" w:cs="Calibri"/>
          <w:noProof/>
          <w:color w:val="000000"/>
          <w:sz w:val="29"/>
          <w:szCs w:val="29"/>
        </w:rPr>
        <w:drawing>
          <wp:inline distT="0" distB="0" distL="0" distR="0" wp14:anchorId="7EBD084E" wp14:editId="031D18F1">
            <wp:extent cx="5578721" cy="2640965"/>
            <wp:effectExtent l="25400" t="25400" r="34925" b="2603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22 um 12.26.46.png"/>
                    <pic:cNvPicPr/>
                  </pic:nvPicPr>
                  <pic:blipFill>
                    <a:blip r:embed="rId116">
                      <a:extLst>
                        <a:ext uri="{28A0092B-C50C-407E-A947-70E740481C1C}">
                          <a14:useLocalDpi xmlns:a14="http://schemas.microsoft.com/office/drawing/2010/main" val="0"/>
                        </a:ext>
                      </a:extLst>
                    </a:blip>
                    <a:stretch>
                      <a:fillRect/>
                    </a:stretch>
                  </pic:blipFill>
                  <pic:spPr>
                    <a:xfrm>
                      <a:off x="0" y="0"/>
                      <a:ext cx="5579703" cy="2641430"/>
                    </a:xfrm>
                    <a:prstGeom prst="rect">
                      <a:avLst/>
                    </a:prstGeom>
                    <a:ln>
                      <a:solidFill>
                        <a:srgbClr val="000000"/>
                      </a:solidFill>
                    </a:ln>
                  </pic:spPr>
                </pic:pic>
              </a:graphicData>
            </a:graphic>
          </wp:inline>
        </w:drawing>
      </w:r>
    </w:p>
    <w:p w14:paraId="5013DC6B" w14:textId="0267AB3C" w:rsidR="00557574" w:rsidRDefault="00557574" w:rsidP="00557574">
      <w:pPr>
        <w:pStyle w:val="Beschriftung"/>
        <w:spacing w:line="276" w:lineRule="auto"/>
        <w:jc w:val="both"/>
      </w:pPr>
      <w:r>
        <w:t xml:space="preserve">Abbildung </w:t>
      </w:r>
      <w:fldSimple w:instr=" SEQ Abbildung \* ARABIC ">
        <w:r w:rsidR="00B86830">
          <w:rPr>
            <w:noProof/>
          </w:rPr>
          <w:t>37</w:t>
        </w:r>
      </w:fldSimple>
      <w:r>
        <w:t>: Entwicklung der Behandlungsraten für problematischen Marihuana-Konsum in verschiedenen Altersgruppe Colorados (</w:t>
      </w:r>
      <w:r w:rsidR="007C55FB">
        <w:t>Reed</w:t>
      </w:r>
      <w:r w:rsidR="00CE65B8">
        <w:t>, a. a. O.</w:t>
      </w:r>
      <w:r>
        <w:t>, S. 53)</w:t>
      </w:r>
    </w:p>
    <w:p w14:paraId="3545FA8D" w14:textId="4D9824BE" w:rsidR="00F41DB0" w:rsidRDefault="00F41DB0" w:rsidP="00F41DB0">
      <w:pPr>
        <w:widowControl w:val="0"/>
        <w:autoSpaceDE w:val="0"/>
        <w:autoSpaceDN w:val="0"/>
        <w:adjustRightInd w:val="0"/>
        <w:spacing w:after="240" w:line="276" w:lineRule="auto"/>
        <w:jc w:val="both"/>
        <w:rPr>
          <w:rFonts w:cs="Calibri"/>
          <w:color w:val="000000"/>
          <w:szCs w:val="22"/>
        </w:rPr>
      </w:pPr>
      <w:r w:rsidRPr="00605F8E">
        <w:rPr>
          <w:rFonts w:cs="Calibri"/>
          <w:color w:val="000000"/>
          <w:szCs w:val="22"/>
        </w:rPr>
        <w:t>auch der 18-20-Jährigen (2009</w:t>
      </w:r>
      <w:r>
        <w:rPr>
          <w:rFonts w:cs="Calibri"/>
          <w:color w:val="000000"/>
          <w:szCs w:val="22"/>
        </w:rPr>
        <w:t xml:space="preserve"> = </w:t>
      </w:r>
      <w:r w:rsidRPr="00605F8E">
        <w:rPr>
          <w:rFonts w:cs="Calibri"/>
          <w:color w:val="000000"/>
          <w:szCs w:val="22"/>
        </w:rPr>
        <w:t>1.733</w:t>
      </w:r>
      <w:r>
        <w:rPr>
          <w:rFonts w:cs="Calibri"/>
          <w:color w:val="000000"/>
          <w:szCs w:val="22"/>
        </w:rPr>
        <w:t xml:space="preserve">, </w:t>
      </w:r>
      <w:r w:rsidRPr="00605F8E">
        <w:rPr>
          <w:rFonts w:cs="Calibri"/>
          <w:color w:val="000000"/>
          <w:szCs w:val="22"/>
        </w:rPr>
        <w:t>2014</w:t>
      </w:r>
      <w:r>
        <w:rPr>
          <w:rFonts w:cs="Calibri"/>
          <w:color w:val="000000"/>
          <w:szCs w:val="22"/>
        </w:rPr>
        <w:t xml:space="preserve"> = 1.066)</w:t>
      </w:r>
      <w:r w:rsidRPr="00605F8E">
        <w:rPr>
          <w:rFonts w:cs="Calibri"/>
          <w:color w:val="000000"/>
          <w:szCs w:val="22"/>
        </w:rPr>
        <w:t xml:space="preserve"> seit 2009 kontinuierlich und deutlich gesunken. Nur in der Gruppe der über 21</w:t>
      </w:r>
      <w:r>
        <w:rPr>
          <w:rFonts w:cs="Calibri"/>
          <w:color w:val="000000"/>
          <w:szCs w:val="22"/>
        </w:rPr>
        <w:t>-</w:t>
      </w:r>
      <w:r w:rsidRPr="00605F8E">
        <w:rPr>
          <w:rFonts w:cs="Calibri"/>
          <w:color w:val="000000"/>
          <w:szCs w:val="22"/>
        </w:rPr>
        <w:t xml:space="preserve">Jährigen ist ein leichter Anstieg in der Aufnahme von Behandlungen auszumachen (von 569 auf 618 Fälle pro 100.000 Einwohner)(vgl. </w:t>
      </w:r>
      <w:r>
        <w:rPr>
          <w:rFonts w:cs="Calibri"/>
          <w:color w:val="000000"/>
          <w:szCs w:val="22"/>
        </w:rPr>
        <w:t>Reed</w:t>
      </w:r>
      <w:r w:rsidRPr="00605F8E">
        <w:rPr>
          <w:rFonts w:cs="Calibri"/>
          <w:color w:val="000000"/>
          <w:szCs w:val="22"/>
        </w:rPr>
        <w:t xml:space="preserve"> a. a. O., S. 53). Dies ist auch die Gruppe, die von einer Regulierung des Freizeitkonsums profitier</w:t>
      </w:r>
      <w:r>
        <w:rPr>
          <w:rFonts w:cs="Calibri"/>
          <w:color w:val="000000"/>
          <w:szCs w:val="22"/>
        </w:rPr>
        <w:t xml:space="preserve">t </w:t>
      </w:r>
      <w:r w:rsidRPr="00605F8E">
        <w:rPr>
          <w:rFonts w:cs="Calibri"/>
          <w:color w:val="000000"/>
          <w:szCs w:val="22"/>
        </w:rPr>
        <w:t>(vgl. A</w:t>
      </w:r>
      <w:r w:rsidRPr="00605F8E">
        <w:rPr>
          <w:rFonts w:cs="Calibri"/>
          <w:color w:val="000000"/>
          <w:szCs w:val="22"/>
        </w:rPr>
        <w:t>b</w:t>
      </w:r>
      <w:r w:rsidRPr="00605F8E">
        <w:rPr>
          <w:rFonts w:cs="Calibri"/>
          <w:color w:val="000000"/>
          <w:szCs w:val="22"/>
        </w:rPr>
        <w:t>bildung 37).</w:t>
      </w:r>
    </w:p>
    <w:p w14:paraId="4075FDB6" w14:textId="77777777" w:rsidR="00AA1A57" w:rsidRDefault="00AA1A57" w:rsidP="00AA1A57">
      <w:pPr>
        <w:pStyle w:val="berschrift3"/>
      </w:pPr>
      <w:bookmarkStart w:id="53" w:name="_Toc349300382"/>
      <w:r w:rsidRPr="008A43D2">
        <w:t>Das Beispiel Washington</w:t>
      </w:r>
      <w:bookmarkEnd w:id="53"/>
      <w:r w:rsidRPr="008A43D2">
        <w:t xml:space="preserve"> </w:t>
      </w:r>
    </w:p>
    <w:p w14:paraId="0E52929F" w14:textId="63FB5603" w:rsidR="00A11A59" w:rsidRDefault="00557574" w:rsidP="00AA1A57">
      <w:pPr>
        <w:spacing w:line="276" w:lineRule="auto"/>
        <w:jc w:val="both"/>
        <w:rPr>
          <w:szCs w:val="22"/>
        </w:rPr>
      </w:pPr>
      <w:r w:rsidRPr="00A11A59">
        <w:rPr>
          <w:szCs w:val="22"/>
        </w:rPr>
        <w:t>Ein ähnliches Bild b</w:t>
      </w:r>
      <w:r w:rsidR="00AA1A57" w:rsidRPr="00A11A59">
        <w:rPr>
          <w:szCs w:val="22"/>
        </w:rPr>
        <w:t xml:space="preserve">ezogen auf die Nachfrage nach Behandlungen speziell für </w:t>
      </w:r>
      <w:r w:rsidR="00605F8E">
        <w:rPr>
          <w:szCs w:val="22"/>
        </w:rPr>
        <w:t>problematischen</w:t>
      </w:r>
      <w:r w:rsidR="00AA1A57" w:rsidRPr="00A11A59">
        <w:rPr>
          <w:szCs w:val="22"/>
        </w:rPr>
        <w:t xml:space="preserve"> Marihuana</w:t>
      </w:r>
      <w:r w:rsidR="00605F8E">
        <w:rPr>
          <w:szCs w:val="22"/>
        </w:rPr>
        <w:t>-Konsum</w:t>
      </w:r>
      <w:r w:rsidR="00AA1A57" w:rsidRPr="00A11A59">
        <w:rPr>
          <w:szCs w:val="22"/>
        </w:rPr>
        <w:t xml:space="preserve"> zeichnet sich </w:t>
      </w:r>
      <w:r w:rsidRPr="00A11A59">
        <w:rPr>
          <w:szCs w:val="22"/>
        </w:rPr>
        <w:t xml:space="preserve">auch </w:t>
      </w:r>
      <w:r w:rsidR="00605F8E">
        <w:rPr>
          <w:szCs w:val="22"/>
        </w:rPr>
        <w:t>für den</w:t>
      </w:r>
      <w:r w:rsidRPr="00A11A59">
        <w:rPr>
          <w:szCs w:val="22"/>
        </w:rPr>
        <w:t xml:space="preserve"> Bundesstaat Washington </w:t>
      </w:r>
      <w:r w:rsidR="00AA1A57" w:rsidRPr="00A11A59">
        <w:rPr>
          <w:szCs w:val="22"/>
        </w:rPr>
        <w:t>ab</w:t>
      </w:r>
      <w:r w:rsidRPr="00A11A59">
        <w:rPr>
          <w:szCs w:val="22"/>
        </w:rPr>
        <w:t xml:space="preserve">: </w:t>
      </w:r>
      <w:r w:rsidR="00605F8E">
        <w:rPr>
          <w:szCs w:val="22"/>
        </w:rPr>
        <w:t>H</w:t>
      </w:r>
      <w:r w:rsidRPr="00A11A59">
        <w:rPr>
          <w:szCs w:val="22"/>
        </w:rPr>
        <w:t xml:space="preserve">ier sind </w:t>
      </w:r>
      <w:r w:rsidR="00AA1A57" w:rsidRPr="00A11A59">
        <w:rPr>
          <w:szCs w:val="22"/>
        </w:rPr>
        <w:t xml:space="preserve">seit 2013 und damit </w:t>
      </w:r>
      <w:r w:rsidRPr="00A11A59">
        <w:rPr>
          <w:szCs w:val="22"/>
        </w:rPr>
        <w:t>Postregulierung</w:t>
      </w:r>
      <w:r w:rsidR="00AA1A57" w:rsidRPr="00A11A59">
        <w:rPr>
          <w:szCs w:val="22"/>
        </w:rPr>
        <w:t xml:space="preserve"> </w:t>
      </w:r>
      <w:r w:rsidR="00605F8E">
        <w:rPr>
          <w:szCs w:val="22"/>
        </w:rPr>
        <w:t xml:space="preserve">ebenfalls </w:t>
      </w:r>
      <w:r w:rsidR="00AA1A57" w:rsidRPr="00A11A59">
        <w:rPr>
          <w:szCs w:val="22"/>
        </w:rPr>
        <w:t xml:space="preserve">keine bemerkenswerten Veränderungen eingetreten (vgl. </w:t>
      </w:r>
      <w:r w:rsidR="00AA1A57" w:rsidRPr="00A11A59">
        <w:rPr>
          <w:rFonts w:cs="Times New Roman"/>
          <w:szCs w:val="22"/>
        </w:rPr>
        <w:t>Substance Abuse and Mental Health Services Administration, Center for Behavioral Health St</w:t>
      </w:r>
      <w:r w:rsidR="00AA1A57" w:rsidRPr="00A11A59">
        <w:rPr>
          <w:rFonts w:cs="Times New Roman"/>
          <w:szCs w:val="22"/>
        </w:rPr>
        <w:t>a</w:t>
      </w:r>
      <w:r w:rsidR="00AA1A57" w:rsidRPr="00A11A59">
        <w:rPr>
          <w:rFonts w:cs="Times New Roman"/>
          <w:szCs w:val="22"/>
        </w:rPr>
        <w:t>tistics and Quality</w:t>
      </w:r>
      <w:r w:rsidR="00A11A59">
        <w:rPr>
          <w:szCs w:val="22"/>
        </w:rPr>
        <w:t xml:space="preserve"> S. 42) </w:t>
      </w:r>
      <w:r w:rsidR="00605F8E">
        <w:rPr>
          <w:szCs w:val="22"/>
        </w:rPr>
        <w:t>(vgl. Abbildung 38</w:t>
      </w:r>
      <w:r w:rsidRPr="00A11A59">
        <w:rPr>
          <w:szCs w:val="22"/>
        </w:rPr>
        <w:t>)</w:t>
      </w:r>
      <w:r w:rsidR="00AA1A57" w:rsidRPr="00A11A59">
        <w:rPr>
          <w:szCs w:val="22"/>
        </w:rPr>
        <w:t xml:space="preserve">. </w:t>
      </w:r>
    </w:p>
    <w:p w14:paraId="6F6DF39B" w14:textId="77777777" w:rsidR="0018244F" w:rsidRPr="00A11A59" w:rsidRDefault="0018244F" w:rsidP="00AA1A57">
      <w:pPr>
        <w:spacing w:line="276" w:lineRule="auto"/>
        <w:jc w:val="both"/>
        <w:rPr>
          <w:szCs w:val="22"/>
        </w:rPr>
      </w:pPr>
    </w:p>
    <w:p w14:paraId="59AC2994" w14:textId="3AA5D66B" w:rsidR="00A11A59" w:rsidRDefault="00AA1A57" w:rsidP="00A11A59">
      <w:pPr>
        <w:keepNext/>
        <w:spacing w:line="276" w:lineRule="auto"/>
        <w:jc w:val="both"/>
        <w:rPr>
          <w:sz w:val="18"/>
          <w:szCs w:val="18"/>
        </w:rPr>
      </w:pPr>
      <w:r>
        <w:rPr>
          <w:noProof/>
          <w:szCs w:val="22"/>
        </w:rPr>
        <w:drawing>
          <wp:inline distT="0" distB="0" distL="0" distR="0" wp14:anchorId="56C2A0DF" wp14:editId="4247731F">
            <wp:extent cx="4550021" cy="3569855"/>
            <wp:effectExtent l="25400" t="25400" r="22225" b="3746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1-19 um 17.20.49.png"/>
                    <pic:cNvPicPr/>
                  </pic:nvPicPr>
                  <pic:blipFill>
                    <a:blip r:embed="rId117">
                      <a:extLst>
                        <a:ext uri="{28A0092B-C50C-407E-A947-70E740481C1C}">
                          <a14:useLocalDpi xmlns:a14="http://schemas.microsoft.com/office/drawing/2010/main" val="0"/>
                        </a:ext>
                      </a:extLst>
                    </a:blip>
                    <a:stretch>
                      <a:fillRect/>
                    </a:stretch>
                  </pic:blipFill>
                  <pic:spPr>
                    <a:xfrm>
                      <a:off x="0" y="0"/>
                      <a:ext cx="4550021" cy="3569855"/>
                    </a:xfrm>
                    <a:prstGeom prst="rect">
                      <a:avLst/>
                    </a:prstGeom>
                    <a:ln>
                      <a:solidFill>
                        <a:srgbClr val="000000"/>
                      </a:solidFill>
                    </a:ln>
                  </pic:spPr>
                </pic:pic>
              </a:graphicData>
            </a:graphic>
          </wp:inline>
        </w:drawing>
      </w:r>
    </w:p>
    <w:p w14:paraId="6930EA8E" w14:textId="3CC408B4" w:rsidR="00AA1A57" w:rsidRPr="00A11A59" w:rsidRDefault="00AA1A57" w:rsidP="00A11A59">
      <w:pPr>
        <w:keepNext/>
        <w:spacing w:line="276" w:lineRule="auto"/>
        <w:jc w:val="both"/>
        <w:rPr>
          <w:rFonts w:cs="Times New Roman"/>
          <w:b/>
          <w:sz w:val="18"/>
          <w:szCs w:val="18"/>
        </w:rPr>
      </w:pPr>
      <w:r w:rsidRPr="00A11A59">
        <w:rPr>
          <w:b/>
          <w:sz w:val="18"/>
          <w:szCs w:val="18"/>
        </w:rPr>
        <w:t xml:space="preserve">Abbildung </w:t>
      </w:r>
      <w:r w:rsidRPr="00A11A59">
        <w:rPr>
          <w:b/>
          <w:sz w:val="18"/>
          <w:szCs w:val="18"/>
        </w:rPr>
        <w:fldChar w:fldCharType="begin"/>
      </w:r>
      <w:r w:rsidRPr="00A11A59">
        <w:rPr>
          <w:b/>
          <w:sz w:val="18"/>
          <w:szCs w:val="18"/>
        </w:rPr>
        <w:instrText xml:space="preserve"> SEQ Abbildung \* ARABIC </w:instrText>
      </w:r>
      <w:r w:rsidRPr="00A11A59">
        <w:rPr>
          <w:b/>
          <w:sz w:val="18"/>
          <w:szCs w:val="18"/>
        </w:rPr>
        <w:fldChar w:fldCharType="separate"/>
      </w:r>
      <w:r w:rsidR="00B86830">
        <w:rPr>
          <w:b/>
          <w:noProof/>
          <w:sz w:val="18"/>
          <w:szCs w:val="18"/>
        </w:rPr>
        <w:t>38</w:t>
      </w:r>
      <w:r w:rsidRPr="00A11A59">
        <w:rPr>
          <w:b/>
          <w:sz w:val="18"/>
          <w:szCs w:val="18"/>
        </w:rPr>
        <w:fldChar w:fldCharType="end"/>
      </w:r>
      <w:r w:rsidRPr="00A11A59">
        <w:rPr>
          <w:b/>
          <w:sz w:val="18"/>
          <w:szCs w:val="18"/>
        </w:rPr>
        <w:t>: Entwicklung der Behandlungsnachfrage im Bundesstaat Washington (</w:t>
      </w:r>
      <w:r w:rsidRPr="00A11A59">
        <w:rPr>
          <w:rFonts w:cs="Times New Roman"/>
          <w:b/>
          <w:sz w:val="18"/>
          <w:szCs w:val="18"/>
        </w:rPr>
        <w:t>Substance Abuse and Mental Health Services Administration, Center for Behavioral Health Statistics and Quality, S. 42)</w:t>
      </w:r>
    </w:p>
    <w:p w14:paraId="584B8DE3" w14:textId="77777777" w:rsidR="00605F8E" w:rsidRDefault="00605F8E" w:rsidP="00A11A59">
      <w:pPr>
        <w:rPr>
          <w:szCs w:val="22"/>
        </w:rPr>
      </w:pPr>
    </w:p>
    <w:p w14:paraId="32044B1A" w14:textId="3C1F93FF" w:rsidR="00A11A59" w:rsidRPr="00A11A59" w:rsidRDefault="00A11A59" w:rsidP="00A11A59">
      <w:r w:rsidRPr="00A11A59">
        <w:rPr>
          <w:szCs w:val="22"/>
        </w:rPr>
        <w:t xml:space="preserve">Es bleibt abzuwarten, ob </w:t>
      </w:r>
      <w:r w:rsidR="00605F8E">
        <w:rPr>
          <w:szCs w:val="22"/>
        </w:rPr>
        <w:t xml:space="preserve">sich </w:t>
      </w:r>
      <w:r w:rsidRPr="00A11A59">
        <w:rPr>
          <w:szCs w:val="22"/>
        </w:rPr>
        <w:t>der Trend einer leicht rückläufigen Nachfrage zu einer signifika</w:t>
      </w:r>
      <w:r w:rsidRPr="00A11A59">
        <w:rPr>
          <w:szCs w:val="22"/>
        </w:rPr>
        <w:t>n</w:t>
      </w:r>
      <w:r w:rsidRPr="00A11A59">
        <w:rPr>
          <w:szCs w:val="22"/>
        </w:rPr>
        <w:t>ten Veränderung entwickeln wird</w:t>
      </w:r>
      <w:r>
        <w:rPr>
          <w:szCs w:val="22"/>
        </w:rPr>
        <w:t>.</w:t>
      </w:r>
    </w:p>
    <w:p w14:paraId="18F6BA17" w14:textId="033CBD68" w:rsidR="00AA1A57" w:rsidRDefault="00557574" w:rsidP="00557574">
      <w:pPr>
        <w:pStyle w:val="berschrift3"/>
      </w:pPr>
      <w:bookmarkStart w:id="54" w:name="_Toc349300383"/>
      <w:r>
        <w:t>Drogenpolitische Schlussfolgerungen</w:t>
      </w:r>
      <w:bookmarkEnd w:id="54"/>
    </w:p>
    <w:p w14:paraId="13314C5F" w14:textId="71C858F1" w:rsidR="00333746" w:rsidRDefault="00605F8E" w:rsidP="00333746">
      <w:pPr>
        <w:spacing w:line="276" w:lineRule="auto"/>
        <w:jc w:val="both"/>
        <w:rPr>
          <w:rFonts w:cs="Times"/>
          <w:szCs w:val="22"/>
        </w:rPr>
      </w:pPr>
      <w:r>
        <w:rPr>
          <w:rFonts w:cs="Times"/>
          <w:szCs w:val="22"/>
        </w:rPr>
        <w:t>Die</w:t>
      </w:r>
      <w:r w:rsidR="00557574">
        <w:rPr>
          <w:rFonts w:cs="Times"/>
          <w:szCs w:val="22"/>
        </w:rPr>
        <w:t xml:space="preserve"> vorliegenden Daten</w:t>
      </w:r>
      <w:r w:rsidR="00333746">
        <w:rPr>
          <w:rFonts w:cs="Times"/>
          <w:szCs w:val="22"/>
        </w:rPr>
        <w:t xml:space="preserve"> </w:t>
      </w:r>
      <w:r>
        <w:rPr>
          <w:rFonts w:cs="Times"/>
          <w:szCs w:val="22"/>
        </w:rPr>
        <w:t>fordern dazu auf</w:t>
      </w:r>
      <w:r w:rsidR="00333746">
        <w:rPr>
          <w:rFonts w:cs="Times"/>
          <w:szCs w:val="22"/>
        </w:rPr>
        <w:t>, hypothetisch angenommene parallele Entwicklung</w:t>
      </w:r>
      <w:r>
        <w:rPr>
          <w:rFonts w:cs="Times"/>
          <w:szCs w:val="22"/>
        </w:rPr>
        <w:t>en</w:t>
      </w:r>
      <w:r w:rsidR="00333746">
        <w:rPr>
          <w:rFonts w:cs="Times"/>
          <w:szCs w:val="22"/>
        </w:rPr>
        <w:t xml:space="preserve"> von </w:t>
      </w:r>
      <w:r w:rsidR="00557574">
        <w:rPr>
          <w:rFonts w:cs="Times"/>
          <w:szCs w:val="22"/>
        </w:rPr>
        <w:t xml:space="preserve">Regulierungsschritten, </w:t>
      </w:r>
      <w:r w:rsidR="00333746">
        <w:rPr>
          <w:rFonts w:cs="Times"/>
          <w:szCs w:val="22"/>
        </w:rPr>
        <w:t>steigenden Konsumraten</w:t>
      </w:r>
      <w:r w:rsidR="00333746" w:rsidRPr="0041735A">
        <w:rPr>
          <w:rFonts w:cs="Times"/>
          <w:szCs w:val="22"/>
        </w:rPr>
        <w:t xml:space="preserve"> </w:t>
      </w:r>
      <w:r w:rsidR="00333746">
        <w:rPr>
          <w:rFonts w:cs="Times"/>
          <w:szCs w:val="22"/>
        </w:rPr>
        <w:t xml:space="preserve">und sich einstellenden </w:t>
      </w:r>
      <w:r w:rsidR="00557574">
        <w:rPr>
          <w:rFonts w:cs="Times"/>
          <w:szCs w:val="22"/>
        </w:rPr>
        <w:t xml:space="preserve">Problemen mit dem </w:t>
      </w:r>
      <w:r w:rsidR="00333746">
        <w:rPr>
          <w:rFonts w:cs="Times"/>
          <w:szCs w:val="22"/>
        </w:rPr>
        <w:t>Cannabiskon</w:t>
      </w:r>
      <w:r w:rsidR="00557574">
        <w:rPr>
          <w:rFonts w:cs="Times"/>
          <w:szCs w:val="22"/>
        </w:rPr>
        <w:t>sum</w:t>
      </w:r>
      <w:r w:rsidR="00333746">
        <w:rPr>
          <w:rFonts w:cs="Times"/>
          <w:szCs w:val="22"/>
        </w:rPr>
        <w:t xml:space="preserve"> zu überdenken. </w:t>
      </w:r>
      <w:r w:rsidR="00557574">
        <w:rPr>
          <w:rFonts w:cs="Times"/>
          <w:szCs w:val="22"/>
        </w:rPr>
        <w:t xml:space="preserve">Zukünftig </w:t>
      </w:r>
      <w:r>
        <w:rPr>
          <w:rFonts w:cs="Times"/>
          <w:szCs w:val="22"/>
        </w:rPr>
        <w:t>sollte</w:t>
      </w:r>
      <w:r w:rsidR="00557574">
        <w:rPr>
          <w:rFonts w:cs="Times"/>
          <w:szCs w:val="22"/>
        </w:rPr>
        <w:t xml:space="preserve"> </w:t>
      </w:r>
      <w:r w:rsidR="00333746">
        <w:rPr>
          <w:rFonts w:cs="Times"/>
          <w:szCs w:val="22"/>
        </w:rPr>
        <w:t>eine detailliertere Aufschlüsse</w:t>
      </w:r>
      <w:r>
        <w:rPr>
          <w:rFonts w:cs="Times"/>
          <w:szCs w:val="22"/>
        </w:rPr>
        <w:t>lung der P</w:t>
      </w:r>
      <w:r w:rsidR="00333746">
        <w:rPr>
          <w:rFonts w:cs="Times"/>
          <w:szCs w:val="22"/>
        </w:rPr>
        <w:t>r</w:t>
      </w:r>
      <w:r w:rsidR="00333746">
        <w:rPr>
          <w:rFonts w:cs="Times"/>
          <w:szCs w:val="22"/>
        </w:rPr>
        <w:t>ä</w:t>
      </w:r>
      <w:r w:rsidR="00333746">
        <w:rPr>
          <w:rFonts w:cs="Times"/>
          <w:szCs w:val="22"/>
        </w:rPr>
        <w:t>valenzrate</w:t>
      </w:r>
      <w:r>
        <w:rPr>
          <w:rFonts w:cs="Times"/>
          <w:szCs w:val="22"/>
        </w:rPr>
        <w:t xml:space="preserve"> für aktuellen Konsum</w:t>
      </w:r>
      <w:r w:rsidR="00333746">
        <w:rPr>
          <w:rFonts w:cs="Times"/>
          <w:szCs w:val="22"/>
        </w:rPr>
        <w:t>, die bisher a</w:t>
      </w:r>
      <w:r>
        <w:rPr>
          <w:rFonts w:cs="Times"/>
          <w:szCs w:val="22"/>
        </w:rPr>
        <w:t>usschließlich über das Erfragen „E</w:t>
      </w:r>
      <w:r w:rsidR="00333746">
        <w:rPr>
          <w:rFonts w:cs="Times"/>
          <w:szCs w:val="22"/>
        </w:rPr>
        <w:t>in Mal im ve</w:t>
      </w:r>
      <w:r w:rsidR="00333746">
        <w:rPr>
          <w:rFonts w:cs="Times"/>
          <w:szCs w:val="22"/>
        </w:rPr>
        <w:t>r</w:t>
      </w:r>
      <w:r w:rsidR="00333746">
        <w:rPr>
          <w:rFonts w:cs="Times"/>
          <w:szCs w:val="22"/>
        </w:rPr>
        <w:t>gangenen Monat“ ermittelt wird, aussagefähigere Einblicke erbringen</w:t>
      </w:r>
      <w:r w:rsidR="00557574">
        <w:rPr>
          <w:rFonts w:cs="Times"/>
          <w:szCs w:val="22"/>
        </w:rPr>
        <w:t>, welche Konsummuster tatsächlich mit drogenbezogenen Problemlagen zu assoziieren sind</w:t>
      </w:r>
      <w:r w:rsidR="00333746">
        <w:rPr>
          <w:rFonts w:cs="Times"/>
          <w:szCs w:val="22"/>
        </w:rPr>
        <w:t>. Über Untersuchungen zu den kulturell verbreiteten Risikomanagement-Strategien und den Sozialisations- und Lernpr</w:t>
      </w:r>
      <w:r w:rsidR="00333746">
        <w:rPr>
          <w:rFonts w:cs="Times"/>
          <w:szCs w:val="22"/>
        </w:rPr>
        <w:t>o</w:t>
      </w:r>
      <w:r w:rsidR="00333746">
        <w:rPr>
          <w:rFonts w:cs="Times"/>
          <w:szCs w:val="22"/>
        </w:rPr>
        <w:t>zessen in Bezug auf den Umgang mit Marihuana in konsumierenden Milieus ließ sich zudem ermitteln, wie ein autonom kontrollierter und risikobewusster Umgang mit dieser Substanz g</w:t>
      </w:r>
      <w:r w:rsidR="00333746">
        <w:rPr>
          <w:rFonts w:cs="Times"/>
          <w:szCs w:val="22"/>
        </w:rPr>
        <w:t>e</w:t>
      </w:r>
      <w:r w:rsidR="00333746">
        <w:rPr>
          <w:rFonts w:cs="Times"/>
          <w:szCs w:val="22"/>
        </w:rPr>
        <w:t xml:space="preserve">lingen kann.  </w:t>
      </w:r>
    </w:p>
    <w:p w14:paraId="2B4CDED1" w14:textId="77777777" w:rsidR="00605F8E" w:rsidRDefault="00605F8E" w:rsidP="00333746">
      <w:pPr>
        <w:spacing w:line="276" w:lineRule="auto"/>
        <w:jc w:val="both"/>
        <w:rPr>
          <w:rFonts w:cs="Times"/>
          <w:szCs w:val="22"/>
        </w:rPr>
      </w:pPr>
    </w:p>
    <w:p w14:paraId="67430F92" w14:textId="7DD5221E" w:rsidR="00C641E1" w:rsidRDefault="00C641E1" w:rsidP="00C641E1">
      <w:pPr>
        <w:spacing w:line="276" w:lineRule="auto"/>
        <w:jc w:val="both"/>
      </w:pPr>
      <w:r>
        <w:t>In den Behandlungszahlen bei problematischem Marihuana-Konsum wird deutlich, dass in der Altersgruppe der 12-17</w:t>
      </w:r>
      <w:r w:rsidR="0018244F">
        <w:t>-</w:t>
      </w:r>
      <w:r>
        <w:t xml:space="preserve">Jährigen die gerichtlich angeordnete Aufnahme einer Behandlung </w:t>
      </w:r>
      <w:r w:rsidR="00605F8E">
        <w:t>einen besonderen Stellenwert hat</w:t>
      </w:r>
      <w:r>
        <w:t>. Diese wird mehrheitlich durch ambulante Therapie</w:t>
      </w:r>
      <w:r w:rsidR="00605F8E">
        <w:t xml:space="preserve">n </w:t>
      </w:r>
      <w:r>
        <w:t xml:space="preserve">umgesetzt, was auf weniger dramatische Problemkonstellationen schließen lässt. Zu fragen ist </w:t>
      </w:r>
      <w:r w:rsidR="00605F8E">
        <w:t xml:space="preserve">deshalb, wieweit andere </w:t>
      </w:r>
      <w:r>
        <w:t>Möglichkeiten ge</w:t>
      </w:r>
      <w:r w:rsidR="00605F8E">
        <w:t xml:space="preserve">eignet sind, sich </w:t>
      </w:r>
      <w:r>
        <w:t xml:space="preserve">mit Jugendlichen über Marihuana-Konsum </w:t>
      </w:r>
      <w:r w:rsidR="00605F8E">
        <w:t xml:space="preserve">auszutauschen und </w:t>
      </w:r>
      <w:r>
        <w:t xml:space="preserve">sie zu einer Änderung zu motivieren. Kalifornien hat </w:t>
      </w:r>
      <w:r w:rsidR="00605F8E">
        <w:t xml:space="preserve">beispielsweise </w:t>
      </w:r>
      <w:r>
        <w:t>in se</w:t>
      </w:r>
      <w:r>
        <w:t>i</w:t>
      </w:r>
      <w:r>
        <w:t xml:space="preserve">nem </w:t>
      </w:r>
      <w:r w:rsidR="00605F8E">
        <w:t>Regulierungsg</w:t>
      </w:r>
      <w:r>
        <w:t xml:space="preserve">esetz veränderte Strafen für </w:t>
      </w:r>
      <w:r w:rsidR="00605F8E">
        <w:t xml:space="preserve">Marihuana-konsumierende </w:t>
      </w:r>
      <w:r>
        <w:t>Jugendliche festg</w:t>
      </w:r>
      <w:r>
        <w:t>e</w:t>
      </w:r>
      <w:r>
        <w:t xml:space="preserve">schrieben, die sich sowohl aus einer verpflichtenden Teilnahme an einer Bildungsmaßnahme, abzuleistenden Stunden gemeinnütziger Arbeit und </w:t>
      </w:r>
      <w:r w:rsidR="00605F8E">
        <w:t xml:space="preserve">einer </w:t>
      </w:r>
      <w:r>
        <w:t xml:space="preserve">Geldstrafe </w:t>
      </w:r>
      <w:r w:rsidRPr="003E5C25">
        <w:t xml:space="preserve">zusammensetzen (vgl.  </w:t>
      </w:r>
      <w:r w:rsidR="003E5C25" w:rsidRPr="003E5C25">
        <w:t xml:space="preserve">„The Control, Regulate and Tax Adult Use of Marijuana Act“ </w:t>
      </w:r>
      <w:r w:rsidRPr="003E5C25">
        <w:t xml:space="preserve">2016). Auf diese Weise wird </w:t>
      </w:r>
      <w:r>
        <w:t>eine Altern</w:t>
      </w:r>
      <w:r>
        <w:t>a</w:t>
      </w:r>
      <w:r>
        <w:t>tive zu einer strafrechtlichen Ahnung</w:t>
      </w:r>
      <w:r w:rsidR="003F3D85">
        <w:t xml:space="preserve"> oder einer Therapieauflage für die</w:t>
      </w:r>
      <w:r>
        <w:t xml:space="preserve"> unter Prohibition st</w:t>
      </w:r>
      <w:r>
        <w:t>e</w:t>
      </w:r>
      <w:r>
        <w:t>hende</w:t>
      </w:r>
      <w:r w:rsidR="003F3D85">
        <w:t>n</w:t>
      </w:r>
      <w:r>
        <w:t xml:space="preserve"> Altersgruppe</w:t>
      </w:r>
      <w:r w:rsidR="003F3D85">
        <w:t>n</w:t>
      </w:r>
      <w:r>
        <w:t xml:space="preserve"> geschaffen</w:t>
      </w:r>
      <w:r w:rsidR="00B623EC">
        <w:t xml:space="preserve">, </w:t>
      </w:r>
      <w:r w:rsidR="003F3D85">
        <w:t xml:space="preserve">auf </w:t>
      </w:r>
      <w:r w:rsidR="00B623EC">
        <w:t>deren Effekte</w:t>
      </w:r>
      <w:r w:rsidR="003F3D85">
        <w:t xml:space="preserve">, nachgewiesen durch </w:t>
      </w:r>
      <w:r w:rsidR="00B623EC">
        <w:t>Monitoring</w:t>
      </w:r>
      <w:r w:rsidR="003F3D85">
        <w:t>, man g</w:t>
      </w:r>
      <w:r w:rsidR="003F3D85">
        <w:t>e</w:t>
      </w:r>
      <w:r w:rsidR="003F3D85">
        <w:t>spannt sein darf</w:t>
      </w:r>
      <w:r>
        <w:t>.</w:t>
      </w:r>
      <w:r w:rsidRPr="00DF2EE5">
        <w:t xml:space="preserve"> </w:t>
      </w:r>
    </w:p>
    <w:p w14:paraId="64F5FAD8" w14:textId="76B725A2" w:rsidR="003E5C25" w:rsidRPr="003F3D85" w:rsidRDefault="00D01097" w:rsidP="003E5C25">
      <w:pPr>
        <w:pStyle w:val="berschrift2"/>
      </w:pPr>
      <w:bookmarkStart w:id="55" w:name="_Toc349300384"/>
      <w:r w:rsidRPr="003F3D85">
        <w:t xml:space="preserve">Zur </w:t>
      </w:r>
      <w:r w:rsidR="005D3796" w:rsidRPr="003F3D85">
        <w:t>Entwicklung g</w:t>
      </w:r>
      <w:r w:rsidR="003E5C25" w:rsidRPr="003F3D85">
        <w:t>esundheitliche</w:t>
      </w:r>
      <w:r w:rsidR="00EB50EF" w:rsidRPr="003F3D85">
        <w:t>r</w:t>
      </w:r>
      <w:r w:rsidR="003E5C25" w:rsidRPr="003F3D85">
        <w:t xml:space="preserve"> Krisen in Zusammenhang mit Marihuana-Konsum</w:t>
      </w:r>
      <w:bookmarkEnd w:id="55"/>
      <w:r w:rsidR="005D3796" w:rsidRPr="003F3D85">
        <w:t xml:space="preserve"> </w:t>
      </w:r>
    </w:p>
    <w:p w14:paraId="33FCDFBB" w14:textId="254E2393" w:rsidR="005D3796" w:rsidRPr="003F3D85" w:rsidRDefault="003E5C25" w:rsidP="003E5C25">
      <w:pPr>
        <w:spacing w:line="276" w:lineRule="auto"/>
        <w:rPr>
          <w:szCs w:val="22"/>
        </w:rPr>
      </w:pPr>
      <w:r w:rsidRPr="003F3D85">
        <w:rPr>
          <w:szCs w:val="22"/>
        </w:rPr>
        <w:t xml:space="preserve">Als weitere Marksteine zu den Auswirkungen </w:t>
      </w:r>
      <w:r w:rsidR="003F3D85" w:rsidRPr="003F3D85">
        <w:rPr>
          <w:szCs w:val="22"/>
        </w:rPr>
        <w:t>der</w:t>
      </w:r>
      <w:r w:rsidRPr="003F3D85">
        <w:rPr>
          <w:szCs w:val="22"/>
        </w:rPr>
        <w:t xml:space="preserve"> Regulierung werden drogenbedingte Unfälle </w:t>
      </w:r>
      <w:r w:rsidR="003F3D85" w:rsidRPr="003F3D85">
        <w:rPr>
          <w:szCs w:val="22"/>
        </w:rPr>
        <w:t xml:space="preserve">und Krisen in Betracht gezogen. </w:t>
      </w:r>
      <w:r w:rsidR="00DA417C" w:rsidRPr="003F3D85">
        <w:rPr>
          <w:szCs w:val="22"/>
        </w:rPr>
        <w:t>Während hypothetisch angenomm</w:t>
      </w:r>
      <w:r w:rsidR="00EB50EF" w:rsidRPr="003F3D85">
        <w:rPr>
          <w:szCs w:val="22"/>
        </w:rPr>
        <w:t>en wird, dass durch eine freie</w:t>
      </w:r>
      <w:r w:rsidR="00DA417C" w:rsidRPr="003F3D85">
        <w:rPr>
          <w:szCs w:val="22"/>
        </w:rPr>
        <w:t xml:space="preserve"> Zugänglichkeit </w:t>
      </w:r>
      <w:r w:rsidR="00EB50EF" w:rsidRPr="003F3D85">
        <w:rPr>
          <w:szCs w:val="22"/>
        </w:rPr>
        <w:t>von</w:t>
      </w:r>
      <w:r w:rsidR="00DA417C" w:rsidRPr="003F3D85">
        <w:rPr>
          <w:szCs w:val="22"/>
        </w:rPr>
        <w:t xml:space="preserve"> Marihuana</w:t>
      </w:r>
      <w:r w:rsidR="00EB50EF" w:rsidRPr="003F3D85">
        <w:rPr>
          <w:szCs w:val="22"/>
        </w:rPr>
        <w:t xml:space="preserve"> </w:t>
      </w:r>
      <w:r w:rsidR="00DA417C" w:rsidRPr="003F3D85">
        <w:rPr>
          <w:szCs w:val="22"/>
        </w:rPr>
        <w:t>die Raten für dramatische Einschnitte in die physische und ps</w:t>
      </w:r>
      <w:r w:rsidR="00DA417C" w:rsidRPr="003F3D85">
        <w:rPr>
          <w:szCs w:val="22"/>
        </w:rPr>
        <w:t>y</w:t>
      </w:r>
      <w:r w:rsidR="00DA417C" w:rsidRPr="003F3D85">
        <w:rPr>
          <w:szCs w:val="22"/>
        </w:rPr>
        <w:t xml:space="preserve">chische Gesundheit hochschnellen werden, gehen andere Überlegungen davon aus, dass </w:t>
      </w:r>
      <w:r w:rsidR="00EB50EF" w:rsidRPr="003F3D85">
        <w:rPr>
          <w:szCs w:val="22"/>
        </w:rPr>
        <w:t xml:space="preserve">in der Tat mit einer </w:t>
      </w:r>
      <w:r w:rsidR="003F3D85">
        <w:rPr>
          <w:szCs w:val="22"/>
        </w:rPr>
        <w:t xml:space="preserve">zeitweisen </w:t>
      </w:r>
      <w:r w:rsidR="00EB50EF" w:rsidRPr="003F3D85">
        <w:rPr>
          <w:szCs w:val="22"/>
        </w:rPr>
        <w:t>Zunahme von Zwischenfällen gerec</w:t>
      </w:r>
      <w:r w:rsidR="005C1BA7" w:rsidRPr="003F3D85">
        <w:rPr>
          <w:szCs w:val="22"/>
        </w:rPr>
        <w:t>hnet werden kann, die sich aus e</w:t>
      </w:r>
      <w:r w:rsidR="005C1BA7" w:rsidRPr="003F3D85">
        <w:rPr>
          <w:szCs w:val="22"/>
        </w:rPr>
        <w:t>i</w:t>
      </w:r>
      <w:r w:rsidR="005C1BA7" w:rsidRPr="003F3D85">
        <w:rPr>
          <w:szCs w:val="22"/>
        </w:rPr>
        <w:t>n</w:t>
      </w:r>
      <w:r w:rsidR="00EB50EF" w:rsidRPr="003F3D85">
        <w:rPr>
          <w:szCs w:val="22"/>
        </w:rPr>
        <w:t xml:space="preserve">em unkundigen Umgang mit Marihuana ergeben. Allerdings wird </w:t>
      </w:r>
      <w:r w:rsidR="005C1BA7" w:rsidRPr="003F3D85">
        <w:rPr>
          <w:szCs w:val="22"/>
        </w:rPr>
        <w:t>auf</w:t>
      </w:r>
      <w:r w:rsidR="00EB50EF" w:rsidRPr="003F3D85">
        <w:rPr>
          <w:szCs w:val="22"/>
        </w:rPr>
        <w:t xml:space="preserve"> </w:t>
      </w:r>
      <w:r w:rsidR="00DA417C" w:rsidRPr="003F3D85">
        <w:rPr>
          <w:szCs w:val="22"/>
        </w:rPr>
        <w:t xml:space="preserve">Lernprozesse für den Umgang mit dieser Substanz </w:t>
      </w:r>
      <w:r w:rsidR="005C1BA7" w:rsidRPr="003F3D85">
        <w:rPr>
          <w:szCs w:val="22"/>
        </w:rPr>
        <w:t>verwiesen</w:t>
      </w:r>
      <w:r w:rsidR="00EB50EF" w:rsidRPr="003F3D85">
        <w:rPr>
          <w:szCs w:val="22"/>
        </w:rPr>
        <w:t xml:space="preserve">, die </w:t>
      </w:r>
      <w:r w:rsidR="00DA417C" w:rsidRPr="003F3D85">
        <w:rPr>
          <w:szCs w:val="22"/>
        </w:rPr>
        <w:t xml:space="preserve">sich </w:t>
      </w:r>
      <w:r w:rsidR="00EB50EF" w:rsidRPr="003F3D85">
        <w:rPr>
          <w:szCs w:val="22"/>
        </w:rPr>
        <w:t>unter veränderten drogenpolitischen Rahme</w:t>
      </w:r>
      <w:r w:rsidR="00EB50EF" w:rsidRPr="003F3D85">
        <w:rPr>
          <w:szCs w:val="22"/>
        </w:rPr>
        <w:t>n</w:t>
      </w:r>
      <w:r w:rsidR="00EB50EF" w:rsidRPr="003F3D85">
        <w:rPr>
          <w:szCs w:val="22"/>
        </w:rPr>
        <w:t xml:space="preserve">bedingungen </w:t>
      </w:r>
      <w:r w:rsidR="00DA417C" w:rsidRPr="003F3D85">
        <w:rPr>
          <w:szCs w:val="22"/>
        </w:rPr>
        <w:t xml:space="preserve">schnell, ungehindert und </w:t>
      </w:r>
      <w:r w:rsidR="00C65828" w:rsidRPr="003F3D85">
        <w:rPr>
          <w:szCs w:val="22"/>
        </w:rPr>
        <w:t xml:space="preserve">gefördert </w:t>
      </w:r>
      <w:r w:rsidR="00DA417C" w:rsidRPr="003F3D85">
        <w:rPr>
          <w:szCs w:val="22"/>
        </w:rPr>
        <w:t>durch entsprechende Projekte der Drogene</w:t>
      </w:r>
      <w:r w:rsidR="00DA417C" w:rsidRPr="003F3D85">
        <w:rPr>
          <w:szCs w:val="22"/>
        </w:rPr>
        <w:t>r</w:t>
      </w:r>
      <w:r w:rsidR="00DA417C" w:rsidRPr="003F3D85">
        <w:rPr>
          <w:szCs w:val="22"/>
        </w:rPr>
        <w:t xml:space="preserve">ziehung und Suchtprävention </w:t>
      </w:r>
      <w:r w:rsidR="00C65828" w:rsidRPr="003F3D85">
        <w:rPr>
          <w:szCs w:val="22"/>
        </w:rPr>
        <w:t xml:space="preserve">umgehend </w:t>
      </w:r>
      <w:r w:rsidR="00DA417C" w:rsidRPr="003F3D85">
        <w:rPr>
          <w:szCs w:val="22"/>
        </w:rPr>
        <w:t xml:space="preserve">vollziehen </w:t>
      </w:r>
      <w:r w:rsidR="003F3D85">
        <w:rPr>
          <w:szCs w:val="22"/>
        </w:rPr>
        <w:t>werden</w:t>
      </w:r>
      <w:r w:rsidR="00EB50EF" w:rsidRPr="003F3D85">
        <w:rPr>
          <w:szCs w:val="22"/>
        </w:rPr>
        <w:t xml:space="preserve">. </w:t>
      </w:r>
    </w:p>
    <w:p w14:paraId="55C1BDDA" w14:textId="26D4B96A" w:rsidR="00DA417C" w:rsidRPr="003F3D85" w:rsidRDefault="00DA417C" w:rsidP="00DA417C">
      <w:pPr>
        <w:pStyle w:val="berschrift3"/>
        <w:rPr>
          <w:rFonts w:asciiTheme="minorHAnsi" w:hAnsiTheme="minorHAnsi"/>
        </w:rPr>
      </w:pPr>
      <w:bookmarkStart w:id="56" w:name="_Toc349300385"/>
      <w:r w:rsidRPr="003F3D85">
        <w:rPr>
          <w:rFonts w:asciiTheme="minorHAnsi" w:hAnsiTheme="minorHAnsi"/>
        </w:rPr>
        <w:t>Zur amerikanischen Datenlage</w:t>
      </w:r>
      <w:bookmarkEnd w:id="56"/>
    </w:p>
    <w:p w14:paraId="4BC65483" w14:textId="252E01A8" w:rsidR="002678BD" w:rsidRPr="003F3D85" w:rsidRDefault="003F3D85" w:rsidP="003E5C25">
      <w:pPr>
        <w:spacing w:line="276" w:lineRule="auto"/>
        <w:rPr>
          <w:szCs w:val="22"/>
        </w:rPr>
      </w:pPr>
      <w:r>
        <w:rPr>
          <w:szCs w:val="22"/>
        </w:rPr>
        <w:t>F</w:t>
      </w:r>
      <w:r w:rsidRPr="003F3D85">
        <w:rPr>
          <w:szCs w:val="22"/>
        </w:rPr>
        <w:t xml:space="preserve">ür eine sachgerechte Prüfung dieser Hypothesen </w:t>
      </w:r>
      <w:r>
        <w:rPr>
          <w:szCs w:val="22"/>
        </w:rPr>
        <w:t>ist d</w:t>
      </w:r>
      <w:r w:rsidR="002678BD" w:rsidRPr="003F3D85">
        <w:rPr>
          <w:szCs w:val="22"/>
        </w:rPr>
        <w:t>ie Datenla</w:t>
      </w:r>
      <w:r w:rsidR="00DA417C" w:rsidRPr="003F3D85">
        <w:rPr>
          <w:szCs w:val="22"/>
        </w:rPr>
        <w:t>ge</w:t>
      </w:r>
      <w:r w:rsidR="002678BD" w:rsidRPr="003F3D85">
        <w:rPr>
          <w:szCs w:val="22"/>
        </w:rPr>
        <w:t xml:space="preserve"> allerdings mehr als spärlich. </w:t>
      </w:r>
    </w:p>
    <w:p w14:paraId="128ABC13" w14:textId="04EE16DB" w:rsidR="00F63955" w:rsidRPr="003F3D85" w:rsidRDefault="002678BD" w:rsidP="00E55DF3">
      <w:pPr>
        <w:spacing w:line="276" w:lineRule="auto"/>
        <w:jc w:val="both"/>
        <w:rPr>
          <w:rFonts w:cs="Georgia"/>
          <w:szCs w:val="22"/>
        </w:rPr>
      </w:pPr>
      <w:r w:rsidRPr="003F3D85">
        <w:rPr>
          <w:szCs w:val="22"/>
        </w:rPr>
        <w:t xml:space="preserve">Eine </w:t>
      </w:r>
      <w:r w:rsidR="003F3D85">
        <w:rPr>
          <w:szCs w:val="22"/>
        </w:rPr>
        <w:t>Datenquelle</w:t>
      </w:r>
      <w:r w:rsidRPr="003F3D85">
        <w:rPr>
          <w:szCs w:val="22"/>
        </w:rPr>
        <w:t xml:space="preserve"> sind </w:t>
      </w:r>
      <w:r w:rsidR="003E5C25" w:rsidRPr="003F3D85">
        <w:rPr>
          <w:rFonts w:cs="Georgia"/>
          <w:szCs w:val="22"/>
        </w:rPr>
        <w:t>Aussagen</w:t>
      </w:r>
      <w:r w:rsidR="003F3D85">
        <w:rPr>
          <w:rFonts w:cs="Georgia"/>
          <w:szCs w:val="22"/>
        </w:rPr>
        <w:t xml:space="preserve"> der </w:t>
      </w:r>
      <w:r w:rsidR="003E5C25" w:rsidRPr="003F3D85">
        <w:rPr>
          <w:rFonts w:cs="Georgia"/>
          <w:szCs w:val="22"/>
        </w:rPr>
        <w:t>Poison Center</w:t>
      </w:r>
      <w:r w:rsidR="00F63955" w:rsidRPr="003F3D85">
        <w:rPr>
          <w:rFonts w:cs="Georgia"/>
          <w:szCs w:val="22"/>
        </w:rPr>
        <w:t xml:space="preserve">s der </w:t>
      </w:r>
      <w:r w:rsidR="003F3D85">
        <w:rPr>
          <w:rFonts w:cs="Georgia"/>
          <w:szCs w:val="22"/>
        </w:rPr>
        <w:t>jeweiligen Bundesstaaten: L</w:t>
      </w:r>
      <w:r w:rsidR="003E5C25" w:rsidRPr="003F3D85">
        <w:rPr>
          <w:rFonts w:cs="Georgia"/>
          <w:szCs w:val="22"/>
        </w:rPr>
        <w:t>andeswei</w:t>
      </w:r>
      <w:r w:rsidR="00F63955" w:rsidRPr="003F3D85">
        <w:rPr>
          <w:rFonts w:cs="Georgia"/>
          <w:szCs w:val="22"/>
        </w:rPr>
        <w:t>te</w:t>
      </w:r>
      <w:r w:rsidR="00EB50EF" w:rsidRPr="003F3D85">
        <w:rPr>
          <w:rFonts w:cs="Georgia"/>
          <w:szCs w:val="22"/>
        </w:rPr>
        <w:t xml:space="preserve"> Call-</w:t>
      </w:r>
      <w:r w:rsidR="003E5C25" w:rsidRPr="003F3D85">
        <w:rPr>
          <w:rFonts w:cs="Georgia"/>
          <w:szCs w:val="22"/>
        </w:rPr>
        <w:t xml:space="preserve">Center, </w:t>
      </w:r>
      <w:r w:rsidR="00F63955" w:rsidRPr="003F3D85">
        <w:rPr>
          <w:rFonts w:cs="Georgia"/>
          <w:szCs w:val="22"/>
        </w:rPr>
        <w:t>die</w:t>
      </w:r>
      <w:r w:rsidR="003E5C25" w:rsidRPr="003F3D85">
        <w:rPr>
          <w:rFonts w:cs="Georgia"/>
          <w:szCs w:val="22"/>
        </w:rPr>
        <w:t xml:space="preserve"> eine kostenlose </w:t>
      </w:r>
      <w:r w:rsidR="00F63955" w:rsidRPr="003F3D85">
        <w:rPr>
          <w:rFonts w:cs="Georgia"/>
          <w:szCs w:val="22"/>
        </w:rPr>
        <w:t xml:space="preserve">telefonische </w:t>
      </w:r>
      <w:r w:rsidR="003E5C25" w:rsidRPr="003F3D85">
        <w:rPr>
          <w:rFonts w:cs="Georgia"/>
          <w:szCs w:val="22"/>
        </w:rPr>
        <w:t>Expertenberatung in Bezug auf giftige, gefährliche und toxische</w:t>
      </w:r>
      <w:r w:rsidR="00F63955" w:rsidRPr="003F3D85">
        <w:rPr>
          <w:rFonts w:cs="Georgia"/>
          <w:szCs w:val="22"/>
        </w:rPr>
        <w:t xml:space="preserve"> Expositionen anbieten</w:t>
      </w:r>
      <w:r w:rsidR="003E5C25" w:rsidRPr="003F3D85">
        <w:rPr>
          <w:rFonts w:cs="Georgia"/>
          <w:szCs w:val="22"/>
        </w:rPr>
        <w:t xml:space="preserve">. </w:t>
      </w:r>
      <w:r w:rsidR="00EB50EF" w:rsidRPr="003F3D85">
        <w:rPr>
          <w:rFonts w:cs="Georgia"/>
          <w:szCs w:val="22"/>
        </w:rPr>
        <w:t xml:space="preserve">Von diesen </w:t>
      </w:r>
      <w:r w:rsidR="00F63955" w:rsidRPr="003F3D85">
        <w:rPr>
          <w:rFonts w:cs="Georgia"/>
          <w:szCs w:val="22"/>
        </w:rPr>
        <w:t xml:space="preserve">werden die Anrufer nach Alter, Wohngegend, Alter der Person, um die es in der Konsultation geht, und </w:t>
      </w:r>
      <w:r w:rsidR="00EB50EF" w:rsidRPr="003F3D85">
        <w:rPr>
          <w:rFonts w:cs="Georgia"/>
          <w:szCs w:val="22"/>
        </w:rPr>
        <w:t xml:space="preserve">dem </w:t>
      </w:r>
      <w:r w:rsidR="00F63955" w:rsidRPr="003F3D85">
        <w:rPr>
          <w:rFonts w:cs="Georgia"/>
          <w:szCs w:val="22"/>
        </w:rPr>
        <w:t>Grund der Anfrage gezählt. In B</w:t>
      </w:r>
      <w:r w:rsidR="00F63955" w:rsidRPr="003F3D85">
        <w:rPr>
          <w:rFonts w:cs="Georgia"/>
          <w:szCs w:val="22"/>
        </w:rPr>
        <w:t>e</w:t>
      </w:r>
      <w:r w:rsidR="003F3D85">
        <w:rPr>
          <w:rFonts w:cs="Georgia"/>
          <w:szCs w:val="22"/>
        </w:rPr>
        <w:t>zug auf Marihuana</w:t>
      </w:r>
      <w:r w:rsidR="00F63955" w:rsidRPr="003F3D85">
        <w:rPr>
          <w:rFonts w:cs="Georgia"/>
          <w:szCs w:val="22"/>
        </w:rPr>
        <w:t xml:space="preserve"> wird in einigen Bundesländern zudem erfasst, </w:t>
      </w:r>
      <w:r w:rsidR="00EB50EF" w:rsidRPr="003F3D85">
        <w:rPr>
          <w:rFonts w:cs="Georgia"/>
          <w:szCs w:val="22"/>
        </w:rPr>
        <w:t>welche</w:t>
      </w:r>
      <w:r w:rsidR="00F63955" w:rsidRPr="003F3D85">
        <w:rPr>
          <w:rFonts w:cs="Georgia"/>
          <w:szCs w:val="22"/>
        </w:rPr>
        <w:t xml:space="preserve"> Produktform </w:t>
      </w:r>
      <w:r w:rsidR="003F3D85">
        <w:rPr>
          <w:rFonts w:cs="Georgia"/>
          <w:szCs w:val="22"/>
        </w:rPr>
        <w:t xml:space="preserve">des </w:t>
      </w:r>
      <w:r w:rsidR="00EB50EF" w:rsidRPr="003F3D85">
        <w:rPr>
          <w:rFonts w:cs="Georgia"/>
          <w:szCs w:val="22"/>
        </w:rPr>
        <w:t>ko</w:t>
      </w:r>
      <w:r w:rsidR="00EB50EF" w:rsidRPr="003F3D85">
        <w:rPr>
          <w:rFonts w:cs="Georgia"/>
          <w:szCs w:val="22"/>
        </w:rPr>
        <w:t>n</w:t>
      </w:r>
      <w:r w:rsidR="00EB50EF" w:rsidRPr="003F3D85">
        <w:rPr>
          <w:rFonts w:cs="Georgia"/>
          <w:szCs w:val="22"/>
        </w:rPr>
        <w:t xml:space="preserve">sumierten </w:t>
      </w:r>
      <w:r w:rsidR="00F63955" w:rsidRPr="003F3D85">
        <w:rPr>
          <w:rFonts w:cs="Georgia"/>
          <w:szCs w:val="22"/>
        </w:rPr>
        <w:t>Marihuana</w:t>
      </w:r>
      <w:r w:rsidR="00EB50EF" w:rsidRPr="003F3D85">
        <w:rPr>
          <w:rFonts w:cs="Georgia"/>
          <w:szCs w:val="22"/>
        </w:rPr>
        <w:t>s die Irritationen und Unsicherheiten</w:t>
      </w:r>
      <w:r w:rsidR="00F63955" w:rsidRPr="003F3D85">
        <w:rPr>
          <w:rFonts w:cs="Georgia"/>
          <w:szCs w:val="22"/>
        </w:rPr>
        <w:t xml:space="preserve"> </w:t>
      </w:r>
      <w:r w:rsidR="00EB50EF" w:rsidRPr="003F3D85">
        <w:rPr>
          <w:rFonts w:cs="Georgia"/>
          <w:szCs w:val="22"/>
        </w:rPr>
        <w:t>ausgelöst ha</w:t>
      </w:r>
      <w:r w:rsidR="00C65828" w:rsidRPr="003F3D85">
        <w:rPr>
          <w:rFonts w:cs="Georgia"/>
          <w:szCs w:val="22"/>
        </w:rPr>
        <w:t>t</w:t>
      </w:r>
      <w:r w:rsidR="00F63955" w:rsidRPr="003F3D85">
        <w:rPr>
          <w:rFonts w:cs="Georgia"/>
          <w:szCs w:val="22"/>
        </w:rPr>
        <w:t xml:space="preserve">. </w:t>
      </w:r>
    </w:p>
    <w:p w14:paraId="56E3AEA2" w14:textId="77777777" w:rsidR="00F63955" w:rsidRDefault="00F63955" w:rsidP="00E55DF3">
      <w:pPr>
        <w:spacing w:line="276" w:lineRule="auto"/>
        <w:jc w:val="both"/>
        <w:rPr>
          <w:rFonts w:cs="Georgia"/>
          <w:szCs w:val="22"/>
        </w:rPr>
      </w:pPr>
    </w:p>
    <w:p w14:paraId="1CA075D9" w14:textId="5935CC87" w:rsidR="00F63955" w:rsidRDefault="00F63955" w:rsidP="00E55DF3">
      <w:pPr>
        <w:spacing w:line="276" w:lineRule="auto"/>
        <w:jc w:val="both"/>
        <w:rPr>
          <w:rFonts w:cs="Georgia"/>
          <w:szCs w:val="22"/>
        </w:rPr>
      </w:pPr>
      <w:r>
        <w:rPr>
          <w:rFonts w:cs="Georgia"/>
          <w:szCs w:val="22"/>
        </w:rPr>
        <w:t>Eine weitere Datenquelle sind Statistiken</w:t>
      </w:r>
      <w:r w:rsidR="003F3D85">
        <w:rPr>
          <w:rFonts w:cs="Georgia"/>
          <w:szCs w:val="22"/>
        </w:rPr>
        <w:t xml:space="preserve"> für die</w:t>
      </w:r>
      <w:r>
        <w:rPr>
          <w:rFonts w:cs="Georgia"/>
          <w:szCs w:val="22"/>
        </w:rPr>
        <w:t xml:space="preserve"> Inanspruchnahme von Rettungsstellen und Notaufnahmen. Auch hier </w:t>
      </w:r>
      <w:r w:rsidR="00C65828">
        <w:rPr>
          <w:rFonts w:cs="Georgia"/>
          <w:szCs w:val="22"/>
        </w:rPr>
        <w:t>wird</w:t>
      </w:r>
      <w:r>
        <w:rPr>
          <w:rFonts w:cs="Georgia"/>
          <w:szCs w:val="22"/>
        </w:rPr>
        <w:t xml:space="preserve"> die Gesamtzahl der Inanspruchnahmen </w:t>
      </w:r>
      <w:r w:rsidR="00C65828">
        <w:rPr>
          <w:rFonts w:cs="Georgia"/>
          <w:szCs w:val="22"/>
        </w:rPr>
        <w:t>mit</w:t>
      </w:r>
      <w:r>
        <w:rPr>
          <w:rFonts w:cs="Georgia"/>
          <w:szCs w:val="22"/>
        </w:rPr>
        <w:t xml:space="preserve"> eine</w:t>
      </w:r>
      <w:r w:rsidR="00C65828">
        <w:rPr>
          <w:rFonts w:cs="Georgia"/>
          <w:szCs w:val="22"/>
        </w:rPr>
        <w:t>r</w:t>
      </w:r>
      <w:r>
        <w:rPr>
          <w:rFonts w:cs="Georgia"/>
          <w:szCs w:val="22"/>
        </w:rPr>
        <w:t xml:space="preserve"> Codierung der Symptome nach dem Klassifikationssystem ICD-9-CM </w:t>
      </w:r>
      <w:r w:rsidR="00C65828">
        <w:rPr>
          <w:rFonts w:cs="Georgia"/>
          <w:szCs w:val="22"/>
        </w:rPr>
        <w:t xml:space="preserve">immer dann </w:t>
      </w:r>
      <w:r>
        <w:rPr>
          <w:rFonts w:cs="Georgia"/>
          <w:szCs w:val="22"/>
        </w:rPr>
        <w:t xml:space="preserve">festgehalten, wenn </w:t>
      </w:r>
      <w:r w:rsidR="002C66ED">
        <w:rPr>
          <w:rFonts w:cs="Georgia"/>
          <w:szCs w:val="22"/>
        </w:rPr>
        <w:t xml:space="preserve">in der Erstaufnahme </w:t>
      </w:r>
      <w:r w:rsidR="00C65828">
        <w:rPr>
          <w:rFonts w:cs="Georgia"/>
          <w:szCs w:val="22"/>
        </w:rPr>
        <w:t>vermutet wird</w:t>
      </w:r>
      <w:r>
        <w:rPr>
          <w:rFonts w:cs="Georgia"/>
          <w:szCs w:val="22"/>
        </w:rPr>
        <w:t xml:space="preserve">, dass der Notfall in Zusammenhang mit Marihuana-Konsum steht. In diesem Fall </w:t>
      </w:r>
      <w:r w:rsidR="005C1BA7">
        <w:rPr>
          <w:rFonts w:cs="Georgia"/>
          <w:szCs w:val="22"/>
        </w:rPr>
        <w:t>sollen die Fälle nach</w:t>
      </w:r>
      <w:r>
        <w:rPr>
          <w:rFonts w:cs="Georgia"/>
          <w:szCs w:val="22"/>
        </w:rPr>
        <w:t xml:space="preserve"> folgende</w:t>
      </w:r>
      <w:r w:rsidR="005C1BA7">
        <w:rPr>
          <w:rFonts w:cs="Georgia"/>
          <w:szCs w:val="22"/>
        </w:rPr>
        <w:t>n</w:t>
      </w:r>
      <w:r>
        <w:rPr>
          <w:rFonts w:cs="Georgia"/>
          <w:szCs w:val="22"/>
        </w:rPr>
        <w:t xml:space="preserve"> Codierungen festgehalten</w:t>
      </w:r>
      <w:r w:rsidR="005C1BA7">
        <w:rPr>
          <w:rFonts w:cs="Georgia"/>
          <w:szCs w:val="22"/>
        </w:rPr>
        <w:t xml:space="preserve"> werden</w:t>
      </w:r>
      <w:r>
        <w:rPr>
          <w:rFonts w:cs="Georgia"/>
          <w:szCs w:val="22"/>
        </w:rPr>
        <w:t>:</w:t>
      </w:r>
    </w:p>
    <w:p w14:paraId="774A8137" w14:textId="7F3DB3F6" w:rsidR="00F63955" w:rsidRPr="002C66ED" w:rsidRDefault="00F63955" w:rsidP="002C66ED">
      <w:pPr>
        <w:pStyle w:val="Listenabsatz"/>
        <w:numPr>
          <w:ilvl w:val="0"/>
          <w:numId w:val="22"/>
        </w:numPr>
        <w:spacing w:line="276" w:lineRule="auto"/>
        <w:jc w:val="both"/>
        <w:rPr>
          <w:rFonts w:cs="Georgia"/>
          <w:szCs w:val="22"/>
        </w:rPr>
      </w:pPr>
      <w:r w:rsidRPr="002C66ED">
        <w:rPr>
          <w:rFonts w:cs="Georgia"/>
          <w:szCs w:val="22"/>
        </w:rPr>
        <w:t>305.2 Cannabis Abuse</w:t>
      </w:r>
    </w:p>
    <w:p w14:paraId="004C03E2" w14:textId="3150A67E" w:rsidR="00F63955" w:rsidRPr="002C66ED" w:rsidRDefault="002C66ED" w:rsidP="002C66ED">
      <w:pPr>
        <w:pStyle w:val="Listenabsatz"/>
        <w:numPr>
          <w:ilvl w:val="0"/>
          <w:numId w:val="22"/>
        </w:numPr>
        <w:spacing w:line="276" w:lineRule="auto"/>
        <w:jc w:val="both"/>
        <w:rPr>
          <w:rFonts w:cs="Georgia"/>
          <w:szCs w:val="22"/>
        </w:rPr>
      </w:pPr>
      <w:r w:rsidRPr="002C66ED">
        <w:rPr>
          <w:rFonts w:cs="Georgia"/>
          <w:szCs w:val="22"/>
        </w:rPr>
        <w:t>304.3 Cannabis-Abhängigkeit</w:t>
      </w:r>
    </w:p>
    <w:p w14:paraId="5788AC8E" w14:textId="54F5EBEE" w:rsidR="002C66ED" w:rsidRPr="002C66ED" w:rsidRDefault="002C66ED" w:rsidP="002C66ED">
      <w:pPr>
        <w:pStyle w:val="Listenabsatz"/>
        <w:numPr>
          <w:ilvl w:val="0"/>
          <w:numId w:val="22"/>
        </w:numPr>
        <w:spacing w:line="276" w:lineRule="auto"/>
        <w:jc w:val="both"/>
        <w:rPr>
          <w:rFonts w:cs="Georgia"/>
          <w:szCs w:val="22"/>
        </w:rPr>
      </w:pPr>
      <w:r w:rsidRPr="002C66ED">
        <w:rPr>
          <w:rFonts w:cs="Georgia"/>
          <w:szCs w:val="22"/>
        </w:rPr>
        <w:t xml:space="preserve">969.6 Vergiftungen durch Halluzinogene (hier </w:t>
      </w:r>
      <w:r w:rsidR="00EB50EF">
        <w:rPr>
          <w:rFonts w:cs="Georgia"/>
          <w:szCs w:val="22"/>
        </w:rPr>
        <w:t xml:space="preserve">werden </w:t>
      </w:r>
      <w:r w:rsidRPr="002C66ED">
        <w:rPr>
          <w:rFonts w:cs="Georgia"/>
          <w:szCs w:val="22"/>
        </w:rPr>
        <w:t xml:space="preserve">allerdings auch </w:t>
      </w:r>
      <w:r w:rsidR="003F3D85">
        <w:rPr>
          <w:rFonts w:cs="Georgia"/>
          <w:szCs w:val="22"/>
        </w:rPr>
        <w:t xml:space="preserve">Unfälle mit </w:t>
      </w:r>
      <w:r w:rsidRPr="002C66ED">
        <w:rPr>
          <w:rFonts w:cs="Georgia"/>
          <w:szCs w:val="22"/>
        </w:rPr>
        <w:t>Su</w:t>
      </w:r>
      <w:r w:rsidRPr="002C66ED">
        <w:rPr>
          <w:rFonts w:cs="Georgia"/>
          <w:szCs w:val="22"/>
        </w:rPr>
        <w:t>b</w:t>
      </w:r>
      <w:r w:rsidRPr="002C66ED">
        <w:rPr>
          <w:rFonts w:cs="Georgia"/>
          <w:szCs w:val="22"/>
        </w:rPr>
        <w:t>stanzen wie LSD, Meskalin, Psilocybin zugeordnet)</w:t>
      </w:r>
    </w:p>
    <w:p w14:paraId="794C24C7" w14:textId="00B5BA89" w:rsidR="002C66ED" w:rsidRPr="002C66ED" w:rsidRDefault="002C66ED" w:rsidP="002C66ED">
      <w:pPr>
        <w:pStyle w:val="Listenabsatz"/>
        <w:numPr>
          <w:ilvl w:val="0"/>
          <w:numId w:val="22"/>
        </w:numPr>
        <w:spacing w:line="276" w:lineRule="auto"/>
        <w:jc w:val="both"/>
        <w:rPr>
          <w:rFonts w:cs="Georgia"/>
          <w:szCs w:val="22"/>
        </w:rPr>
      </w:pPr>
      <w:r w:rsidRPr="002C66ED">
        <w:rPr>
          <w:rFonts w:cs="Georgia"/>
          <w:szCs w:val="22"/>
        </w:rPr>
        <w:t>E854.1 zufällige Vergi</w:t>
      </w:r>
      <w:r w:rsidR="00941FC0">
        <w:rPr>
          <w:rFonts w:cs="Georgia"/>
          <w:szCs w:val="22"/>
        </w:rPr>
        <w:t xml:space="preserve">ftung durch Halluzinogene (auch </w:t>
      </w:r>
      <w:r w:rsidRPr="002C66ED">
        <w:rPr>
          <w:rFonts w:cs="Georgia"/>
          <w:szCs w:val="22"/>
        </w:rPr>
        <w:t xml:space="preserve">hier mit </w:t>
      </w:r>
      <w:r w:rsidR="00941FC0">
        <w:rPr>
          <w:rFonts w:cs="Georgia"/>
          <w:szCs w:val="22"/>
        </w:rPr>
        <w:t>unspezifischer</w:t>
      </w:r>
      <w:r w:rsidRPr="002C66ED">
        <w:rPr>
          <w:rFonts w:cs="Georgia"/>
          <w:szCs w:val="22"/>
        </w:rPr>
        <w:t xml:space="preserve"> Zuor</w:t>
      </w:r>
      <w:r w:rsidRPr="002C66ED">
        <w:rPr>
          <w:rFonts w:cs="Georgia"/>
          <w:szCs w:val="22"/>
        </w:rPr>
        <w:t>d</w:t>
      </w:r>
      <w:r w:rsidRPr="002C66ED">
        <w:rPr>
          <w:rFonts w:cs="Georgia"/>
          <w:szCs w:val="22"/>
        </w:rPr>
        <w:t>nung</w:t>
      </w:r>
      <w:r w:rsidR="00941FC0">
        <w:rPr>
          <w:rFonts w:cs="Georgia"/>
          <w:szCs w:val="22"/>
        </w:rPr>
        <w:t xml:space="preserve"> der Art des Halluzinogens</w:t>
      </w:r>
      <w:r w:rsidRPr="002C66ED">
        <w:rPr>
          <w:rFonts w:cs="Georgia"/>
          <w:szCs w:val="22"/>
        </w:rPr>
        <w:t>)</w:t>
      </w:r>
    </w:p>
    <w:p w14:paraId="060D0550" w14:textId="6793804C" w:rsidR="00C65828" w:rsidRDefault="00C65828" w:rsidP="00E55DF3">
      <w:pPr>
        <w:spacing w:line="276" w:lineRule="auto"/>
        <w:jc w:val="both"/>
        <w:rPr>
          <w:rFonts w:cs="Georgia"/>
          <w:szCs w:val="22"/>
        </w:rPr>
      </w:pPr>
      <w:r>
        <w:rPr>
          <w:rFonts w:cs="Georgia"/>
          <w:szCs w:val="22"/>
        </w:rPr>
        <w:t xml:space="preserve">In der Praxis gestaltet sich diese Erfassung aber problematisch, so dass </w:t>
      </w:r>
      <w:r w:rsidR="003F3D85">
        <w:rPr>
          <w:rFonts w:cs="Georgia"/>
          <w:szCs w:val="22"/>
        </w:rPr>
        <w:t xml:space="preserve">derart </w:t>
      </w:r>
      <w:r>
        <w:rPr>
          <w:rFonts w:cs="Georgia"/>
          <w:szCs w:val="22"/>
        </w:rPr>
        <w:t>differenzierte Fallzahlen nicht vor</w:t>
      </w:r>
      <w:r w:rsidR="003F3D85">
        <w:rPr>
          <w:rFonts w:cs="Georgia"/>
          <w:szCs w:val="22"/>
        </w:rPr>
        <w:t xml:space="preserve">liegen </w:t>
      </w:r>
      <w:r>
        <w:rPr>
          <w:rFonts w:cs="Georgia"/>
          <w:szCs w:val="22"/>
        </w:rPr>
        <w:t xml:space="preserve">(vgl. </w:t>
      </w:r>
      <w:r w:rsidR="003F3D85">
        <w:rPr>
          <w:rFonts w:cs="Georgia"/>
          <w:szCs w:val="22"/>
        </w:rPr>
        <w:t>Reed</w:t>
      </w:r>
      <w:r w:rsidR="007C55FB">
        <w:rPr>
          <w:rFonts w:cs="Georgia"/>
          <w:szCs w:val="22"/>
        </w:rPr>
        <w:t xml:space="preserve"> a. a. O.,</w:t>
      </w:r>
      <w:r w:rsidR="003F3D85">
        <w:rPr>
          <w:rFonts w:cs="Georgia"/>
          <w:szCs w:val="22"/>
        </w:rPr>
        <w:t xml:space="preserve"> </w:t>
      </w:r>
      <w:r>
        <w:rPr>
          <w:rFonts w:cs="Georgia"/>
          <w:szCs w:val="22"/>
        </w:rPr>
        <w:t>S. 50).</w:t>
      </w:r>
    </w:p>
    <w:p w14:paraId="10A73B14" w14:textId="3C919399" w:rsidR="002C66ED" w:rsidRDefault="00C65828" w:rsidP="00E55DF3">
      <w:pPr>
        <w:spacing w:line="276" w:lineRule="auto"/>
        <w:jc w:val="both"/>
        <w:rPr>
          <w:rFonts w:cs="Georgia"/>
          <w:szCs w:val="22"/>
        </w:rPr>
      </w:pPr>
      <w:r>
        <w:rPr>
          <w:rFonts w:cs="Georgia"/>
          <w:szCs w:val="22"/>
        </w:rPr>
        <w:t xml:space="preserve"> </w:t>
      </w:r>
    </w:p>
    <w:p w14:paraId="6171EABE" w14:textId="38048D1B" w:rsidR="00F63955" w:rsidRDefault="00C65828" w:rsidP="00E55DF3">
      <w:pPr>
        <w:spacing w:line="276" w:lineRule="auto"/>
        <w:jc w:val="both"/>
        <w:rPr>
          <w:rFonts w:cs="Georgia"/>
          <w:szCs w:val="22"/>
        </w:rPr>
      </w:pPr>
      <w:r>
        <w:rPr>
          <w:rFonts w:cs="Georgia"/>
          <w:szCs w:val="22"/>
        </w:rPr>
        <w:t>Darüber hinaus ist f</w:t>
      </w:r>
      <w:r w:rsidR="002C66ED">
        <w:rPr>
          <w:rFonts w:cs="Georgia"/>
          <w:szCs w:val="22"/>
        </w:rPr>
        <w:t xml:space="preserve">ür beide Datenquellen herauszustellen, dass es sich nicht um </w:t>
      </w:r>
      <w:r>
        <w:rPr>
          <w:rFonts w:cs="Georgia"/>
          <w:szCs w:val="22"/>
        </w:rPr>
        <w:t>belastbare</w:t>
      </w:r>
      <w:r w:rsidR="002C66ED">
        <w:rPr>
          <w:rFonts w:cs="Georgia"/>
          <w:szCs w:val="22"/>
        </w:rPr>
        <w:t xml:space="preserve"> D</w:t>
      </w:r>
      <w:r w:rsidR="002C66ED">
        <w:rPr>
          <w:rFonts w:cs="Georgia"/>
          <w:szCs w:val="22"/>
        </w:rPr>
        <w:t>a</w:t>
      </w:r>
      <w:r w:rsidR="002C66ED">
        <w:rPr>
          <w:rFonts w:cs="Georgia"/>
          <w:szCs w:val="22"/>
        </w:rPr>
        <w:t xml:space="preserve">ten handelt, weil weder die Aussagen der Anrufer </w:t>
      </w:r>
      <w:r w:rsidR="00941FC0">
        <w:rPr>
          <w:rFonts w:cs="Georgia"/>
          <w:szCs w:val="22"/>
        </w:rPr>
        <w:t>beim</w:t>
      </w:r>
      <w:r w:rsidR="002C66ED">
        <w:rPr>
          <w:rFonts w:cs="Georgia"/>
          <w:szCs w:val="22"/>
        </w:rPr>
        <w:t xml:space="preserve"> Call-Center noch die </w:t>
      </w:r>
      <w:r w:rsidR="00941FC0">
        <w:rPr>
          <w:rFonts w:cs="Georgia"/>
          <w:szCs w:val="22"/>
        </w:rPr>
        <w:t xml:space="preserve">vorläufigen </w:t>
      </w:r>
      <w:r w:rsidR="002C66ED">
        <w:rPr>
          <w:rFonts w:cs="Georgia"/>
          <w:szCs w:val="22"/>
        </w:rPr>
        <w:t>Ang</w:t>
      </w:r>
      <w:r w:rsidR="002C66ED">
        <w:rPr>
          <w:rFonts w:cs="Georgia"/>
          <w:szCs w:val="22"/>
        </w:rPr>
        <w:t>a</w:t>
      </w:r>
      <w:r w:rsidR="002C66ED">
        <w:rPr>
          <w:rFonts w:cs="Georgia"/>
          <w:szCs w:val="22"/>
        </w:rPr>
        <w:t>ben aus der Erstaufnahme der Rettungsstellen in ihrer Korrektheit nachprüfbar sind</w:t>
      </w:r>
      <w:r w:rsidR="00941FC0">
        <w:rPr>
          <w:rFonts w:cs="Georgia"/>
          <w:szCs w:val="22"/>
        </w:rPr>
        <w:t xml:space="preserve">; </w:t>
      </w:r>
      <w:r>
        <w:rPr>
          <w:rFonts w:cs="Georgia"/>
          <w:szCs w:val="22"/>
        </w:rPr>
        <w:t>während der Behandlung nach Notaufnahme</w:t>
      </w:r>
      <w:r w:rsidR="00941FC0">
        <w:rPr>
          <w:rFonts w:cs="Georgia"/>
          <w:szCs w:val="22"/>
        </w:rPr>
        <w:t xml:space="preserve"> auch nicht geprüft und ggf. revidiert werden</w:t>
      </w:r>
      <w:r w:rsidR="002C66ED">
        <w:rPr>
          <w:rFonts w:cs="Georgia"/>
          <w:szCs w:val="22"/>
        </w:rPr>
        <w:t xml:space="preserve">. Zudem sollte bei der Interpretation der Daten </w:t>
      </w:r>
      <w:r w:rsidR="00941FC0">
        <w:rPr>
          <w:rFonts w:cs="Georgia"/>
          <w:szCs w:val="22"/>
        </w:rPr>
        <w:t xml:space="preserve">wieder </w:t>
      </w:r>
      <w:r w:rsidR="002C66ED">
        <w:rPr>
          <w:rFonts w:cs="Georgia"/>
          <w:szCs w:val="22"/>
        </w:rPr>
        <w:t xml:space="preserve">das Phänomen des Scham-Managements </w:t>
      </w:r>
      <w:r w:rsidR="00CE65B8">
        <w:rPr>
          <w:rFonts w:cs="Georgia"/>
          <w:szCs w:val="22"/>
        </w:rPr>
        <w:t xml:space="preserve">(siehe S. 8) </w:t>
      </w:r>
      <w:r w:rsidR="002C66ED">
        <w:rPr>
          <w:rFonts w:cs="Georgia"/>
          <w:szCs w:val="22"/>
        </w:rPr>
        <w:t>mitgedacht</w:t>
      </w:r>
      <w:r w:rsidR="00941FC0">
        <w:rPr>
          <w:rFonts w:cs="Georgia"/>
          <w:szCs w:val="22"/>
        </w:rPr>
        <w:t xml:space="preserve"> werden: </w:t>
      </w:r>
      <w:r w:rsidR="002C66ED">
        <w:rPr>
          <w:rFonts w:cs="Georgia"/>
          <w:szCs w:val="22"/>
        </w:rPr>
        <w:t>Leider lässt sich im Nachhinein nicht prüfen, ob die Inanspruchnahme des professionellen Hilfesystems unter den Bedingungen der Prohibition gleich</w:t>
      </w:r>
      <w:r w:rsidR="003F3D85">
        <w:rPr>
          <w:rFonts w:cs="Georgia"/>
          <w:szCs w:val="22"/>
        </w:rPr>
        <w:t xml:space="preserve">artig war. </w:t>
      </w:r>
      <w:r w:rsidR="002C66ED">
        <w:rPr>
          <w:rFonts w:cs="Georgia"/>
          <w:szCs w:val="22"/>
        </w:rPr>
        <w:t xml:space="preserve">Denkbar </w:t>
      </w:r>
      <w:r w:rsidR="003F3D85">
        <w:rPr>
          <w:rFonts w:cs="Georgia"/>
          <w:szCs w:val="22"/>
        </w:rPr>
        <w:t>ist</w:t>
      </w:r>
      <w:r w:rsidR="002C66ED">
        <w:rPr>
          <w:rFonts w:cs="Georgia"/>
          <w:szCs w:val="22"/>
        </w:rPr>
        <w:t xml:space="preserve">, dass Entkriminalisierung und Entstigmatisierung </w:t>
      </w:r>
      <w:r w:rsidR="003F3D85">
        <w:rPr>
          <w:rFonts w:cs="Georgia"/>
          <w:szCs w:val="22"/>
        </w:rPr>
        <w:t>dazu führen</w:t>
      </w:r>
      <w:r w:rsidR="002C66ED">
        <w:rPr>
          <w:rFonts w:cs="Georgia"/>
          <w:szCs w:val="22"/>
        </w:rPr>
        <w:t xml:space="preserve">, dass mit weniger Vorbehalten und schneller </w:t>
      </w:r>
      <w:r w:rsidR="000F1C24">
        <w:rPr>
          <w:rFonts w:cs="Georgia"/>
          <w:szCs w:val="22"/>
        </w:rPr>
        <w:t xml:space="preserve">Hilfe </w:t>
      </w:r>
      <w:r w:rsidR="00941FC0">
        <w:rPr>
          <w:rFonts w:cs="Georgia"/>
          <w:szCs w:val="22"/>
        </w:rPr>
        <w:t>nachgefragt</w:t>
      </w:r>
      <w:r w:rsidR="000F1C24">
        <w:rPr>
          <w:rFonts w:cs="Georgia"/>
          <w:szCs w:val="22"/>
        </w:rPr>
        <w:t xml:space="preserve"> wird, wenn in Zusammenhang mit Marihuana Krisen und Unfälle eintre</w:t>
      </w:r>
      <w:r w:rsidR="00A03FDA">
        <w:rPr>
          <w:rFonts w:cs="Georgia"/>
          <w:szCs w:val="22"/>
        </w:rPr>
        <w:t xml:space="preserve">ten. Insofern kann </w:t>
      </w:r>
      <w:r w:rsidR="00941FC0">
        <w:rPr>
          <w:rFonts w:cs="Georgia"/>
          <w:szCs w:val="22"/>
        </w:rPr>
        <w:t>der deutliche Anstieg der Fallzahlen nicht unbedingt eine tatsächliche Entwicklung abbil</w:t>
      </w:r>
      <w:r w:rsidR="00A03FDA">
        <w:rPr>
          <w:rFonts w:cs="Georgia"/>
          <w:szCs w:val="22"/>
        </w:rPr>
        <w:t>den</w:t>
      </w:r>
      <w:r w:rsidR="00941FC0">
        <w:rPr>
          <w:rFonts w:cs="Georgia"/>
          <w:szCs w:val="22"/>
        </w:rPr>
        <w:t xml:space="preserve">, sondern </w:t>
      </w:r>
      <w:r w:rsidR="00A03FDA">
        <w:rPr>
          <w:rFonts w:cs="Georgia"/>
          <w:szCs w:val="22"/>
        </w:rPr>
        <w:t>auch</w:t>
      </w:r>
      <w:r w:rsidR="00941FC0">
        <w:rPr>
          <w:rFonts w:cs="Georgia"/>
          <w:szCs w:val="22"/>
        </w:rPr>
        <w:t xml:space="preserve"> </w:t>
      </w:r>
      <w:r w:rsidR="00A03FDA">
        <w:rPr>
          <w:rFonts w:cs="Georgia"/>
          <w:szCs w:val="22"/>
        </w:rPr>
        <w:t xml:space="preserve">auf </w:t>
      </w:r>
      <w:r w:rsidR="00941FC0">
        <w:rPr>
          <w:rFonts w:cs="Georgia"/>
          <w:szCs w:val="22"/>
        </w:rPr>
        <w:t xml:space="preserve">ein bisheriges Dunkelfeld </w:t>
      </w:r>
      <w:r w:rsidR="00A03FDA">
        <w:rPr>
          <w:rFonts w:cs="Georgia"/>
          <w:szCs w:val="22"/>
        </w:rPr>
        <w:t>hinweisen</w:t>
      </w:r>
      <w:r w:rsidR="00941FC0">
        <w:rPr>
          <w:rFonts w:cs="Georgia"/>
          <w:szCs w:val="22"/>
        </w:rPr>
        <w:t>.</w:t>
      </w:r>
    </w:p>
    <w:p w14:paraId="1A3FEE14" w14:textId="259B2DEA" w:rsidR="000F1C24" w:rsidRPr="003F3D85" w:rsidRDefault="000F1C24" w:rsidP="000F1C24">
      <w:pPr>
        <w:pStyle w:val="berschrift3"/>
        <w:rPr>
          <w:rFonts w:asciiTheme="minorHAnsi" w:hAnsiTheme="minorHAnsi"/>
        </w:rPr>
      </w:pPr>
      <w:bookmarkStart w:id="57" w:name="_Toc349300386"/>
      <w:r w:rsidRPr="003F3D85">
        <w:rPr>
          <w:rFonts w:asciiTheme="minorHAnsi" w:hAnsiTheme="minorHAnsi"/>
        </w:rPr>
        <w:t>Das Beispiel Washington</w:t>
      </w:r>
      <w:bookmarkEnd w:id="57"/>
    </w:p>
    <w:p w14:paraId="0CC0841A" w14:textId="453F2437" w:rsidR="004F7C74" w:rsidRPr="003F3D85" w:rsidRDefault="003F3D85" w:rsidP="00E55DF3">
      <w:pPr>
        <w:spacing w:line="276" w:lineRule="auto"/>
        <w:jc w:val="both"/>
        <w:rPr>
          <w:rFonts w:cs="Times"/>
          <w:szCs w:val="22"/>
        </w:rPr>
      </w:pPr>
      <w:r>
        <w:rPr>
          <w:rFonts w:cs="Times"/>
          <w:szCs w:val="22"/>
        </w:rPr>
        <w:t>In</w:t>
      </w:r>
      <w:r w:rsidR="007A46BB" w:rsidRPr="003F3D85">
        <w:rPr>
          <w:rFonts w:cs="Times"/>
          <w:szCs w:val="22"/>
        </w:rPr>
        <w:t xml:space="preserve"> Washington hat sich die Zahl der Anrufer, die nach eigenen Einschätzungen wegen Sorgen und Schwierigkeiten ausgelöst durch Marihuana-Konsum Expertenrat suchen, nach Beginn des Regulierungsprozesses deutlich erhöht (2011 = 117 Anrufe, 2014 = 199 Anrufe</w:t>
      </w:r>
      <w:r w:rsidR="00A03FDA" w:rsidRPr="003F3D85">
        <w:rPr>
          <w:rFonts w:cs="Times"/>
          <w:szCs w:val="22"/>
        </w:rPr>
        <w:t>,</w:t>
      </w:r>
      <w:r w:rsidR="007A46BB" w:rsidRPr="003F3D85">
        <w:rPr>
          <w:rFonts w:cs="Times"/>
          <w:szCs w:val="22"/>
        </w:rPr>
        <w:t xml:space="preserve"> vgl. </w:t>
      </w:r>
      <w:r w:rsidR="002706AB" w:rsidRPr="003F3D85">
        <w:rPr>
          <w:rFonts w:cs="Times"/>
          <w:szCs w:val="22"/>
        </w:rPr>
        <w:t xml:space="preserve">Washington ImpactReport 2016, S. 67). </w:t>
      </w:r>
    </w:p>
    <w:p w14:paraId="5CABB34C" w14:textId="77777777" w:rsidR="002706AB" w:rsidRDefault="002706AB" w:rsidP="002706AB">
      <w:pPr>
        <w:keepNext/>
        <w:spacing w:line="276" w:lineRule="auto"/>
        <w:jc w:val="both"/>
        <w:rPr>
          <w:rFonts w:cs="Times"/>
          <w:szCs w:val="22"/>
        </w:rPr>
      </w:pPr>
    </w:p>
    <w:p w14:paraId="58D24676" w14:textId="7AB068A6" w:rsidR="002706AB" w:rsidRDefault="002706AB" w:rsidP="002706AB">
      <w:pPr>
        <w:keepNext/>
        <w:spacing w:line="276" w:lineRule="auto"/>
        <w:jc w:val="both"/>
      </w:pPr>
      <w:r>
        <w:rPr>
          <w:rFonts w:cs="Times"/>
          <w:noProof/>
          <w:szCs w:val="22"/>
        </w:rPr>
        <w:drawing>
          <wp:inline distT="0" distB="0" distL="0" distR="0" wp14:anchorId="1A8DB22A" wp14:editId="1A028E28">
            <wp:extent cx="5756910" cy="2912110"/>
            <wp:effectExtent l="25400" t="25400" r="34290" b="3429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7-02-13 um 16.29.17.png"/>
                    <pic:cNvPicPr/>
                  </pic:nvPicPr>
                  <pic:blipFill>
                    <a:blip r:embed="rId118">
                      <a:extLst>
                        <a:ext uri="{28A0092B-C50C-407E-A947-70E740481C1C}">
                          <a14:useLocalDpi xmlns:a14="http://schemas.microsoft.com/office/drawing/2010/main" val="0"/>
                        </a:ext>
                      </a:extLst>
                    </a:blip>
                    <a:stretch>
                      <a:fillRect/>
                    </a:stretch>
                  </pic:blipFill>
                  <pic:spPr>
                    <a:xfrm>
                      <a:off x="0" y="0"/>
                      <a:ext cx="5756910" cy="2912110"/>
                    </a:xfrm>
                    <a:prstGeom prst="rect">
                      <a:avLst/>
                    </a:prstGeom>
                    <a:ln>
                      <a:solidFill>
                        <a:schemeClr val="tx1"/>
                      </a:solidFill>
                    </a:ln>
                  </pic:spPr>
                </pic:pic>
              </a:graphicData>
            </a:graphic>
          </wp:inline>
        </w:drawing>
      </w:r>
    </w:p>
    <w:p w14:paraId="76EFBA71" w14:textId="0A763FEA" w:rsidR="007A46BB" w:rsidRDefault="002706AB" w:rsidP="002706AB">
      <w:pPr>
        <w:pStyle w:val="Beschriftung"/>
        <w:jc w:val="both"/>
        <w:rPr>
          <w:rFonts w:cs="Times"/>
          <w:szCs w:val="22"/>
        </w:rPr>
      </w:pPr>
      <w:r>
        <w:t xml:space="preserve">Abbildung </w:t>
      </w:r>
      <w:fldSimple w:instr=" SEQ Abbildung \* ARABIC ">
        <w:r w:rsidR="00B86830">
          <w:rPr>
            <w:noProof/>
          </w:rPr>
          <w:t>39</w:t>
        </w:r>
      </w:fldSimple>
      <w:r>
        <w:t>: Zahl der Anrufer im Poison-Center mit Problemen durch Marihuana-Konsum (</w:t>
      </w:r>
      <w:r>
        <w:rPr>
          <w:rFonts w:cs="Times"/>
          <w:szCs w:val="22"/>
        </w:rPr>
        <w:t>Washington ImpactReport 2016, S. 67)</w:t>
      </w:r>
    </w:p>
    <w:p w14:paraId="3E46ABB6" w14:textId="509DC7C3" w:rsidR="003F3D85" w:rsidRPr="003F3D85" w:rsidRDefault="003F3D85" w:rsidP="003F3D85">
      <w:pPr>
        <w:spacing w:line="276" w:lineRule="auto"/>
        <w:jc w:val="both"/>
        <w:rPr>
          <w:rFonts w:cs="Times"/>
          <w:szCs w:val="22"/>
        </w:rPr>
      </w:pPr>
      <w:r w:rsidRPr="003F3D85">
        <w:rPr>
          <w:rFonts w:cs="Times"/>
          <w:szCs w:val="22"/>
        </w:rPr>
        <w:t>Interessant ist, dass sich für diese Entwicklungen regionale Unterschiede abzeichnen: Insbeso</w:t>
      </w:r>
      <w:r w:rsidRPr="003F3D85">
        <w:rPr>
          <w:rFonts w:cs="Times"/>
          <w:szCs w:val="22"/>
        </w:rPr>
        <w:t>n</w:t>
      </w:r>
      <w:r w:rsidR="00AF03D4">
        <w:rPr>
          <w:rFonts w:cs="Times"/>
          <w:szCs w:val="22"/>
        </w:rPr>
        <w:t>dere aus größeren Countie</w:t>
      </w:r>
      <w:r w:rsidRPr="003F3D85">
        <w:rPr>
          <w:rFonts w:cs="Times"/>
          <w:szCs w:val="22"/>
        </w:rPr>
        <w:t>s/Landkreisen war eine größere Zunahme der Anrufer zu verzeic</w:t>
      </w:r>
      <w:r w:rsidRPr="003F3D85">
        <w:rPr>
          <w:rFonts w:cs="Times"/>
          <w:szCs w:val="22"/>
        </w:rPr>
        <w:t>h</w:t>
      </w:r>
      <w:r w:rsidRPr="003F3D85">
        <w:rPr>
          <w:rFonts w:cs="Times"/>
          <w:szCs w:val="22"/>
        </w:rPr>
        <w:t>nen als in kleineren (vgl. ebenda).</w:t>
      </w:r>
    </w:p>
    <w:p w14:paraId="3836489F" w14:textId="1430FDE1" w:rsidR="003F3D85" w:rsidRPr="003F3D85" w:rsidRDefault="003F3D85" w:rsidP="003F3D85">
      <w:pPr>
        <w:keepNext/>
        <w:spacing w:line="276" w:lineRule="auto"/>
        <w:jc w:val="both"/>
        <w:rPr>
          <w:rFonts w:cs="Times"/>
          <w:szCs w:val="22"/>
        </w:rPr>
      </w:pPr>
      <w:r>
        <w:rPr>
          <w:rFonts w:cs="Times"/>
          <w:szCs w:val="22"/>
        </w:rPr>
        <w:t>D</w:t>
      </w:r>
      <w:r w:rsidRPr="003F3D85">
        <w:rPr>
          <w:rFonts w:cs="Times"/>
          <w:szCs w:val="22"/>
        </w:rPr>
        <w:t xml:space="preserve">ie Nachfrage nach Expertenrat in Zusammenhang mit Marihuana-Konsum von Jugendlichen unter 20 Jahren stieg </w:t>
      </w:r>
      <w:r>
        <w:rPr>
          <w:rFonts w:cs="Times"/>
          <w:szCs w:val="22"/>
        </w:rPr>
        <w:t>b</w:t>
      </w:r>
      <w:r w:rsidRPr="003F3D85">
        <w:rPr>
          <w:rFonts w:cs="Times"/>
          <w:szCs w:val="22"/>
        </w:rPr>
        <w:t xml:space="preserve">esonders: </w:t>
      </w:r>
      <w:r>
        <w:rPr>
          <w:rFonts w:cs="Times"/>
          <w:szCs w:val="22"/>
        </w:rPr>
        <w:t>Sie</w:t>
      </w:r>
      <w:r w:rsidRPr="003F3D85">
        <w:rPr>
          <w:rFonts w:cs="Times"/>
          <w:szCs w:val="22"/>
        </w:rPr>
        <w:t xml:space="preserve"> hat sich nach der Regulierung fast verdoppelt und machte 43 % aller Anrufe aus (vgl. ebenda). Herauszuheben sind </w:t>
      </w:r>
      <w:r>
        <w:rPr>
          <w:rFonts w:cs="Times"/>
          <w:szCs w:val="22"/>
        </w:rPr>
        <w:t xml:space="preserve">in diesem Zusammenhang </w:t>
      </w:r>
      <w:r w:rsidRPr="003F3D85">
        <w:rPr>
          <w:rFonts w:cs="Times"/>
          <w:szCs w:val="22"/>
        </w:rPr>
        <w:t>Anrufe</w:t>
      </w:r>
      <w:r>
        <w:rPr>
          <w:rFonts w:cs="Times"/>
          <w:szCs w:val="22"/>
        </w:rPr>
        <w:t xml:space="preserve"> zu </w:t>
      </w:r>
      <w:r w:rsidRPr="003F3D85">
        <w:rPr>
          <w:rFonts w:cs="Times"/>
          <w:szCs w:val="22"/>
        </w:rPr>
        <w:t>Unfälle</w:t>
      </w:r>
      <w:r>
        <w:rPr>
          <w:rFonts w:cs="Times"/>
          <w:szCs w:val="22"/>
        </w:rPr>
        <w:t>n</w:t>
      </w:r>
      <w:r w:rsidRPr="003F3D85">
        <w:rPr>
          <w:rFonts w:cs="Times"/>
          <w:szCs w:val="22"/>
        </w:rPr>
        <w:t>, in denen Kinder unter fünf Jahren offensichtlich Marihuana zu sich genommen hatten – immerhin 64 von 199 Fällen.</w:t>
      </w:r>
      <w:r>
        <w:rPr>
          <w:rFonts w:cs="Times"/>
          <w:szCs w:val="22"/>
        </w:rPr>
        <w:t xml:space="preserve"> Für diese Altersgruppe waren die Unfallquellen mehrheitlich S</w:t>
      </w:r>
      <w:r>
        <w:rPr>
          <w:rFonts w:cs="Times"/>
          <w:szCs w:val="22"/>
        </w:rPr>
        <w:t>ü</w:t>
      </w:r>
      <w:r>
        <w:rPr>
          <w:rFonts w:cs="Times"/>
          <w:szCs w:val="22"/>
        </w:rPr>
        <w:t>ßigkeiten, Kuchen und Brot („Infused-Products“), denen Marihuana zugesetzt worden war und  die versehentlich konsumiert wurden. Als weitere Unfallquelle schälen sich Öle und Lotionen auf Basis hochpotenten Haschisch-Öls heraus, die offensichtlich nicht passgerecht dosiert wurden.</w:t>
      </w:r>
    </w:p>
    <w:p w14:paraId="253D572D" w14:textId="77777777" w:rsidR="000F1C24" w:rsidRDefault="000F1C24" w:rsidP="0011115C">
      <w:pPr>
        <w:keepNext/>
        <w:spacing w:line="276" w:lineRule="auto"/>
        <w:jc w:val="both"/>
        <w:rPr>
          <w:rFonts w:cs="Times"/>
          <w:szCs w:val="22"/>
        </w:rPr>
      </w:pPr>
    </w:p>
    <w:p w14:paraId="13D888CE" w14:textId="694E7BE3" w:rsidR="00036F53" w:rsidRDefault="00036F53" w:rsidP="0026454C">
      <w:pPr>
        <w:widowControl w:val="0"/>
        <w:autoSpaceDE w:val="0"/>
        <w:autoSpaceDN w:val="0"/>
        <w:adjustRightInd w:val="0"/>
        <w:spacing w:after="240" w:line="276" w:lineRule="auto"/>
        <w:rPr>
          <w:rFonts w:cs="Times"/>
          <w:szCs w:val="22"/>
        </w:rPr>
      </w:pPr>
      <w:r>
        <w:rPr>
          <w:rFonts w:cs="Calibri"/>
          <w:color w:val="000000"/>
          <w:szCs w:val="22"/>
        </w:rPr>
        <w:t>Für den Bundesstaat Washington ließen sich keine belastbaren Daten finden, die zur Entwic</w:t>
      </w:r>
      <w:r>
        <w:rPr>
          <w:rFonts w:cs="Calibri"/>
          <w:color w:val="000000"/>
          <w:szCs w:val="22"/>
        </w:rPr>
        <w:t>k</w:t>
      </w:r>
      <w:r>
        <w:rPr>
          <w:rFonts w:cs="Calibri"/>
          <w:color w:val="000000"/>
          <w:szCs w:val="22"/>
        </w:rPr>
        <w:t>lung von Anfragen in Rettungsstellen und Notaufnahmen</w:t>
      </w:r>
      <w:r w:rsidR="00CE2F5E" w:rsidRPr="00CE2F5E">
        <w:rPr>
          <w:rFonts w:cs="Calibri"/>
          <w:color w:val="000000"/>
          <w:szCs w:val="22"/>
        </w:rPr>
        <w:t xml:space="preserve"> </w:t>
      </w:r>
      <w:r w:rsidR="00A03FDA">
        <w:rPr>
          <w:rFonts w:cs="Calibri"/>
          <w:color w:val="000000"/>
          <w:szCs w:val="22"/>
        </w:rPr>
        <w:t>ausgelöst durch eine Exposition mit Marihuana-Konsum</w:t>
      </w:r>
      <w:r w:rsidR="00A03FDA" w:rsidRPr="00CE2F5E">
        <w:rPr>
          <w:rFonts w:cs="Calibri"/>
          <w:color w:val="000000"/>
          <w:szCs w:val="22"/>
        </w:rPr>
        <w:t xml:space="preserve"> </w:t>
      </w:r>
      <w:r w:rsidR="00CE2F5E">
        <w:rPr>
          <w:rFonts w:cs="Calibri"/>
          <w:color w:val="000000"/>
          <w:szCs w:val="22"/>
        </w:rPr>
        <w:t>Auskunft geben</w:t>
      </w:r>
      <w:r>
        <w:rPr>
          <w:rFonts w:cs="Calibri"/>
          <w:color w:val="000000"/>
          <w:szCs w:val="22"/>
        </w:rPr>
        <w:t xml:space="preserve">. </w:t>
      </w:r>
    </w:p>
    <w:p w14:paraId="3D4626E6" w14:textId="4171577E" w:rsidR="000F1C24" w:rsidRDefault="000F1C24" w:rsidP="000F1C24">
      <w:pPr>
        <w:pStyle w:val="berschrift3"/>
      </w:pPr>
      <w:bookmarkStart w:id="58" w:name="_Toc349300387"/>
      <w:r>
        <w:t>Das Beispiel Colorado</w:t>
      </w:r>
      <w:bookmarkEnd w:id="58"/>
    </w:p>
    <w:p w14:paraId="400D6402" w14:textId="3B4CA2CA" w:rsidR="00036F53" w:rsidRDefault="000F1C24" w:rsidP="000F1C24">
      <w:pPr>
        <w:widowControl w:val="0"/>
        <w:autoSpaceDE w:val="0"/>
        <w:autoSpaceDN w:val="0"/>
        <w:adjustRightInd w:val="0"/>
        <w:spacing w:after="240" w:line="276" w:lineRule="auto"/>
        <w:rPr>
          <w:rFonts w:cs="Calibri"/>
          <w:color w:val="000000"/>
          <w:szCs w:val="22"/>
        </w:rPr>
      </w:pPr>
      <w:r w:rsidRPr="000F1C24">
        <w:rPr>
          <w:rFonts w:cs="Times"/>
          <w:szCs w:val="22"/>
        </w:rPr>
        <w:t xml:space="preserve">Auch </w:t>
      </w:r>
      <w:r w:rsidR="003F3D85">
        <w:rPr>
          <w:rFonts w:cs="Times"/>
          <w:szCs w:val="22"/>
        </w:rPr>
        <w:t>in</w:t>
      </w:r>
      <w:r w:rsidRPr="000F1C24">
        <w:rPr>
          <w:rFonts w:cs="Times"/>
          <w:szCs w:val="22"/>
        </w:rPr>
        <w:t xml:space="preserve"> Colorado </w:t>
      </w:r>
      <w:r w:rsidR="003F3D85">
        <w:rPr>
          <w:rFonts w:cs="Times"/>
          <w:szCs w:val="22"/>
        </w:rPr>
        <w:t>steigt</w:t>
      </w:r>
      <w:r w:rsidRPr="000F1C24">
        <w:rPr>
          <w:rFonts w:cs="Times"/>
          <w:szCs w:val="22"/>
        </w:rPr>
        <w:t xml:space="preserve"> die Zahl der telefonischen Nachfragen im </w:t>
      </w:r>
      <w:r w:rsidRPr="000F1C24">
        <w:rPr>
          <w:rFonts w:cs="Calibri"/>
          <w:color w:val="000000"/>
          <w:szCs w:val="22"/>
        </w:rPr>
        <w:t xml:space="preserve">Rocky Mountain Poison and Drug Center (RMPDC) in Zusammenhang mit Expositionen </w:t>
      </w:r>
      <w:r w:rsidR="004F7C74">
        <w:rPr>
          <w:rFonts w:cs="Calibri"/>
          <w:color w:val="000000"/>
          <w:szCs w:val="22"/>
        </w:rPr>
        <w:t>durch</w:t>
      </w:r>
      <w:r w:rsidRPr="000F1C24">
        <w:rPr>
          <w:rFonts w:cs="Calibri"/>
          <w:color w:val="000000"/>
          <w:szCs w:val="22"/>
        </w:rPr>
        <w:t xml:space="preserve"> Marihuana </w:t>
      </w:r>
      <w:r>
        <w:rPr>
          <w:rFonts w:cs="Calibri"/>
          <w:color w:val="000000"/>
          <w:szCs w:val="22"/>
        </w:rPr>
        <w:t xml:space="preserve">bereits </w:t>
      </w:r>
      <w:r w:rsidRPr="000F1C24">
        <w:rPr>
          <w:rFonts w:cs="Calibri"/>
          <w:color w:val="000000"/>
          <w:szCs w:val="22"/>
        </w:rPr>
        <w:t xml:space="preserve">seit zehn Jahren </w:t>
      </w:r>
      <w:r w:rsidR="003F3D85">
        <w:rPr>
          <w:rFonts w:cs="Calibri"/>
          <w:color w:val="000000"/>
          <w:szCs w:val="22"/>
        </w:rPr>
        <w:t xml:space="preserve">(2006 = </w:t>
      </w:r>
      <w:r>
        <w:rPr>
          <w:rFonts w:cs="Calibri"/>
          <w:color w:val="000000"/>
          <w:szCs w:val="22"/>
        </w:rPr>
        <w:t>44 Fälle</w:t>
      </w:r>
      <w:r w:rsidR="003F3D85">
        <w:rPr>
          <w:rFonts w:cs="Calibri"/>
          <w:color w:val="000000"/>
          <w:szCs w:val="22"/>
        </w:rPr>
        <w:t>, 2015 = 227 Fälle)</w:t>
      </w:r>
      <w:r w:rsidRPr="000F1C24">
        <w:rPr>
          <w:rFonts w:cs="Calibri"/>
          <w:color w:val="000000"/>
          <w:szCs w:val="22"/>
        </w:rPr>
        <w:t xml:space="preserve">. </w:t>
      </w:r>
      <w:r w:rsidR="003F3D85">
        <w:rPr>
          <w:rFonts w:cs="Calibri"/>
          <w:color w:val="000000"/>
          <w:szCs w:val="22"/>
        </w:rPr>
        <w:t>Auch w</w:t>
      </w:r>
      <w:r w:rsidR="00A03FDA">
        <w:rPr>
          <w:rFonts w:cs="Calibri"/>
          <w:color w:val="000000"/>
          <w:szCs w:val="22"/>
        </w:rPr>
        <w:t>enn</w:t>
      </w:r>
      <w:r w:rsidR="003F3D85">
        <w:rPr>
          <w:rFonts w:cs="Calibri"/>
          <w:color w:val="000000"/>
          <w:szCs w:val="22"/>
        </w:rPr>
        <w:t xml:space="preserve"> </w:t>
      </w:r>
      <w:r w:rsidR="00A03FDA">
        <w:rPr>
          <w:rFonts w:cs="Calibri"/>
          <w:color w:val="000000"/>
          <w:szCs w:val="22"/>
        </w:rPr>
        <w:t>der Anstieg der Fallz</w:t>
      </w:r>
      <w:r w:rsidR="00CE2F5E">
        <w:rPr>
          <w:rFonts w:cs="Calibri"/>
          <w:color w:val="000000"/>
          <w:szCs w:val="22"/>
        </w:rPr>
        <w:t>ahlen Achtungsze</w:t>
      </w:r>
      <w:r w:rsidR="00CE2F5E">
        <w:rPr>
          <w:rFonts w:cs="Calibri"/>
          <w:color w:val="000000"/>
          <w:szCs w:val="22"/>
        </w:rPr>
        <w:t>i</w:t>
      </w:r>
      <w:r w:rsidR="00CE2F5E">
        <w:rPr>
          <w:rFonts w:cs="Calibri"/>
          <w:color w:val="000000"/>
          <w:szCs w:val="22"/>
        </w:rPr>
        <w:t xml:space="preserve">chen setzt, </w:t>
      </w:r>
      <w:r>
        <w:rPr>
          <w:rFonts w:cs="Calibri"/>
          <w:color w:val="000000"/>
          <w:szCs w:val="22"/>
        </w:rPr>
        <w:t xml:space="preserve">bleiben die absoluten Zahlen </w:t>
      </w:r>
      <w:r w:rsidR="003F3D85">
        <w:rPr>
          <w:rFonts w:cs="Calibri"/>
          <w:color w:val="000000"/>
          <w:szCs w:val="22"/>
        </w:rPr>
        <w:t xml:space="preserve">jedoch </w:t>
      </w:r>
      <w:r w:rsidR="00CE2F5E">
        <w:rPr>
          <w:rFonts w:cs="Calibri"/>
          <w:color w:val="000000"/>
          <w:szCs w:val="22"/>
        </w:rPr>
        <w:t xml:space="preserve">weiterhin </w:t>
      </w:r>
      <w:r>
        <w:rPr>
          <w:rFonts w:cs="Calibri"/>
          <w:color w:val="000000"/>
          <w:szCs w:val="22"/>
        </w:rPr>
        <w:t>überschaubar</w:t>
      </w:r>
      <w:r w:rsidR="00032936">
        <w:rPr>
          <w:rFonts w:cs="Calibri"/>
          <w:color w:val="000000"/>
          <w:szCs w:val="22"/>
        </w:rPr>
        <w:t xml:space="preserve"> (vgl. </w:t>
      </w:r>
      <w:r w:rsidR="003F3D85">
        <w:rPr>
          <w:rFonts w:cs="Calibri"/>
          <w:color w:val="000000"/>
          <w:szCs w:val="22"/>
        </w:rPr>
        <w:t xml:space="preserve">Reed, </w:t>
      </w:r>
      <w:r w:rsidR="007C55FB">
        <w:rPr>
          <w:rFonts w:cs="Calibri"/>
          <w:color w:val="000000"/>
          <w:szCs w:val="22"/>
        </w:rPr>
        <w:t>a. a. O.,</w:t>
      </w:r>
      <w:r w:rsidR="00CE65B8">
        <w:rPr>
          <w:rFonts w:cs="Calibri"/>
          <w:color w:val="000000"/>
          <w:szCs w:val="22"/>
        </w:rPr>
        <w:t xml:space="preserve"> </w:t>
      </w:r>
      <w:r w:rsidR="00032936">
        <w:rPr>
          <w:rFonts w:cs="Calibri"/>
          <w:color w:val="000000"/>
          <w:szCs w:val="22"/>
        </w:rPr>
        <w:t>S. 49)</w:t>
      </w:r>
      <w:r>
        <w:rPr>
          <w:rFonts w:cs="Calibri"/>
          <w:color w:val="000000"/>
          <w:szCs w:val="22"/>
        </w:rPr>
        <w:t xml:space="preserve">. </w:t>
      </w:r>
    </w:p>
    <w:p w14:paraId="3F3DBF4E" w14:textId="77777777" w:rsidR="00036F53" w:rsidRDefault="00032936" w:rsidP="00036F53">
      <w:pPr>
        <w:keepNext/>
        <w:widowControl w:val="0"/>
        <w:autoSpaceDE w:val="0"/>
        <w:autoSpaceDN w:val="0"/>
        <w:adjustRightInd w:val="0"/>
        <w:spacing w:after="240" w:line="276" w:lineRule="auto"/>
      </w:pPr>
      <w:r>
        <w:rPr>
          <w:rFonts w:cs="Calibri"/>
          <w:noProof/>
          <w:color w:val="000000"/>
          <w:szCs w:val="22"/>
        </w:rPr>
        <w:drawing>
          <wp:inline distT="0" distB="0" distL="0" distR="0" wp14:anchorId="7FD13688" wp14:editId="0AEB1F56">
            <wp:extent cx="4892921" cy="3377443"/>
            <wp:effectExtent l="25400" t="25400" r="34925" b="2667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7-02-14 um 09.32.08.png"/>
                    <pic:cNvPicPr/>
                  </pic:nvPicPr>
                  <pic:blipFill>
                    <a:blip r:embed="rId119">
                      <a:extLst>
                        <a:ext uri="{28A0092B-C50C-407E-A947-70E740481C1C}">
                          <a14:useLocalDpi xmlns:a14="http://schemas.microsoft.com/office/drawing/2010/main" val="0"/>
                        </a:ext>
                      </a:extLst>
                    </a:blip>
                    <a:stretch>
                      <a:fillRect/>
                    </a:stretch>
                  </pic:blipFill>
                  <pic:spPr>
                    <a:xfrm>
                      <a:off x="0" y="0"/>
                      <a:ext cx="4893597" cy="3377909"/>
                    </a:xfrm>
                    <a:prstGeom prst="rect">
                      <a:avLst/>
                    </a:prstGeom>
                    <a:ln>
                      <a:solidFill>
                        <a:srgbClr val="000000"/>
                      </a:solidFill>
                    </a:ln>
                  </pic:spPr>
                </pic:pic>
              </a:graphicData>
            </a:graphic>
          </wp:inline>
        </w:drawing>
      </w:r>
    </w:p>
    <w:p w14:paraId="3EE0E6F5" w14:textId="09B9FCDF" w:rsidR="00036F53" w:rsidRDefault="00036F53" w:rsidP="00036F53">
      <w:pPr>
        <w:pStyle w:val="Beschriftung"/>
      </w:pPr>
      <w:r>
        <w:t xml:space="preserve">Abbildung </w:t>
      </w:r>
      <w:fldSimple w:instr=" SEQ Abbildung \* ARABIC ">
        <w:r w:rsidR="00B86830">
          <w:rPr>
            <w:noProof/>
          </w:rPr>
          <w:t>40</w:t>
        </w:r>
      </w:fldSimple>
      <w:r>
        <w:t>: Zahl der Anrufe beim Rocky Mountain Poison and Drug Center nach Altersgruppen der b</w:t>
      </w:r>
      <w:r>
        <w:t>e</w:t>
      </w:r>
      <w:r>
        <w:t xml:space="preserve">troffenen Person </w:t>
      </w:r>
      <w:r w:rsidR="00473858">
        <w:t>in den Jahren</w:t>
      </w:r>
      <w:r>
        <w:t xml:space="preserve"> 2006-2015 (vgl. </w:t>
      </w:r>
      <w:r w:rsidR="00473858">
        <w:t>Reed</w:t>
      </w:r>
      <w:r>
        <w:t>,</w:t>
      </w:r>
      <w:r w:rsidR="00473858">
        <w:t xml:space="preserve"> a. a. O., </w:t>
      </w:r>
      <w:r>
        <w:t>S. 50)</w:t>
      </w:r>
    </w:p>
    <w:p w14:paraId="7D57C6B1" w14:textId="63BA10EB" w:rsidR="003F3D85" w:rsidRDefault="003F3D85" w:rsidP="003F3D85">
      <w:pPr>
        <w:widowControl w:val="0"/>
        <w:autoSpaceDE w:val="0"/>
        <w:autoSpaceDN w:val="0"/>
        <w:adjustRightInd w:val="0"/>
        <w:spacing w:after="240" w:line="276" w:lineRule="auto"/>
        <w:rPr>
          <w:rFonts w:cs="Calibri"/>
          <w:color w:val="000000"/>
          <w:szCs w:val="22"/>
        </w:rPr>
      </w:pPr>
      <w:r>
        <w:rPr>
          <w:rFonts w:cs="Calibri"/>
          <w:color w:val="000000"/>
          <w:szCs w:val="22"/>
        </w:rPr>
        <w:t>Herauszuheben ist zudem, dass insbesondere Unfälle durch den Konsum von 8</w:t>
      </w:r>
      <w:r w:rsidR="00473858">
        <w:rPr>
          <w:rFonts w:cs="Calibri"/>
          <w:color w:val="000000"/>
          <w:szCs w:val="22"/>
        </w:rPr>
        <w:t>-</w:t>
      </w:r>
      <w:r>
        <w:rPr>
          <w:rFonts w:cs="Calibri"/>
          <w:color w:val="000000"/>
          <w:szCs w:val="22"/>
        </w:rPr>
        <w:t xml:space="preserve">jährigen und jüngeren Kindern (2006 = 4 Fälle, 2015 = 49 Fälle) und durch ältere Erwachsene (25 Jahre und älter 2006 = 8 Fälle, 2015 = 78 Fälle) überproportional gestiegen sind. Während die ältere Gruppe auch diejenige ist, die </w:t>
      </w:r>
      <w:r w:rsidR="00473858">
        <w:rPr>
          <w:rFonts w:cs="Calibri"/>
          <w:color w:val="000000"/>
          <w:szCs w:val="22"/>
        </w:rPr>
        <w:t xml:space="preserve">mit Beginn des Regulierungsprozesses </w:t>
      </w:r>
      <w:r>
        <w:rPr>
          <w:rFonts w:cs="Calibri"/>
          <w:color w:val="000000"/>
          <w:szCs w:val="22"/>
        </w:rPr>
        <w:t>durch einen sprunghaften Anstieg eines Probierkonsums epidemiologisch auffällt, verweisen die Anstiege in den Kinde</w:t>
      </w:r>
      <w:r>
        <w:rPr>
          <w:rFonts w:cs="Calibri"/>
          <w:color w:val="000000"/>
          <w:szCs w:val="22"/>
        </w:rPr>
        <w:t>r</w:t>
      </w:r>
      <w:r>
        <w:rPr>
          <w:rFonts w:cs="Calibri"/>
          <w:color w:val="000000"/>
          <w:szCs w:val="22"/>
        </w:rPr>
        <w:t>gruppen mit großer Wahrscheinlichkeit eher auf Haushaltsunfälle, die durch unsachgemäße Lagerung der Substanz oder durch (Rauch- oder Inhalation</w:t>
      </w:r>
      <w:r w:rsidR="00473858">
        <w:rPr>
          <w:rFonts w:cs="Calibri"/>
          <w:color w:val="000000"/>
          <w:szCs w:val="22"/>
        </w:rPr>
        <w:t>s-)</w:t>
      </w:r>
      <w:r>
        <w:rPr>
          <w:rFonts w:cs="Calibri"/>
          <w:color w:val="000000"/>
          <w:szCs w:val="22"/>
        </w:rPr>
        <w:t>Konsum im Beisein von Kindern zustande gekommen sind. Eine genaue Erklärung der Hintergründe lässt sich aus den vorliege</w:t>
      </w:r>
      <w:r>
        <w:rPr>
          <w:rFonts w:cs="Calibri"/>
          <w:color w:val="000000"/>
          <w:szCs w:val="22"/>
        </w:rPr>
        <w:t>n</w:t>
      </w:r>
      <w:r>
        <w:rPr>
          <w:rFonts w:cs="Calibri"/>
          <w:color w:val="000000"/>
          <w:szCs w:val="22"/>
        </w:rPr>
        <w:t>den Daten nicht ermitteln.</w:t>
      </w:r>
    </w:p>
    <w:p w14:paraId="1B9A6A6B" w14:textId="3D78526E" w:rsidR="00965EBE" w:rsidRDefault="00473858" w:rsidP="00965EBE">
      <w:pPr>
        <w:keepNext/>
        <w:spacing w:line="276" w:lineRule="auto"/>
        <w:jc w:val="both"/>
        <w:rPr>
          <w:rFonts w:cs="Times"/>
          <w:szCs w:val="22"/>
        </w:rPr>
      </w:pPr>
      <w:r>
        <w:rPr>
          <w:rFonts w:cs="Times"/>
          <w:szCs w:val="22"/>
        </w:rPr>
        <w:t>Auch f</w:t>
      </w:r>
      <w:r w:rsidR="00965EBE">
        <w:rPr>
          <w:rFonts w:cs="Times"/>
          <w:szCs w:val="22"/>
        </w:rPr>
        <w:t xml:space="preserve">ür die Inanspruchnahme von Rettungsdiensten und Notfallaufnahmen </w:t>
      </w:r>
      <w:r w:rsidR="004F7C74">
        <w:rPr>
          <w:rFonts w:cs="Times"/>
          <w:szCs w:val="22"/>
        </w:rPr>
        <w:t>lässt</w:t>
      </w:r>
      <w:r w:rsidR="00965EBE">
        <w:rPr>
          <w:rFonts w:cs="Times"/>
          <w:szCs w:val="22"/>
        </w:rPr>
        <w:t xml:space="preserve"> sich in Col</w:t>
      </w:r>
      <w:r w:rsidR="00965EBE">
        <w:rPr>
          <w:rFonts w:cs="Times"/>
          <w:szCs w:val="22"/>
        </w:rPr>
        <w:t>o</w:t>
      </w:r>
      <w:r w:rsidR="00965EBE">
        <w:rPr>
          <w:rFonts w:cs="Times"/>
          <w:szCs w:val="22"/>
        </w:rPr>
        <w:t>rado ein zeitlicher Bezug zu den drogenpolitischen Neuregelungen herstellen. Allerdings bet</w:t>
      </w:r>
      <w:r w:rsidR="00965EBE">
        <w:rPr>
          <w:rFonts w:cs="Times"/>
          <w:szCs w:val="22"/>
        </w:rPr>
        <w:t>o</w:t>
      </w:r>
      <w:r w:rsidR="00965EBE">
        <w:rPr>
          <w:rFonts w:cs="Times"/>
          <w:szCs w:val="22"/>
        </w:rPr>
        <w:t>nen die Berichterstatter selbst, dass im System der statistischen Erfassung im Zeitverlauf dive</w:t>
      </w:r>
      <w:r w:rsidR="00965EBE">
        <w:rPr>
          <w:rFonts w:cs="Times"/>
          <w:szCs w:val="22"/>
        </w:rPr>
        <w:t>r</w:t>
      </w:r>
      <w:r w:rsidR="00965EBE">
        <w:rPr>
          <w:rFonts w:cs="Times"/>
          <w:szCs w:val="22"/>
        </w:rPr>
        <w:t xml:space="preserve">se Veränderungen vorgenommen wurden, weshalb ein belastbarer, nach den ICD-9-Kennziffern detaillierter Prä-/Post-Vergleich nicht möglich ist (vgl. </w:t>
      </w:r>
      <w:r w:rsidR="00CE65B8">
        <w:rPr>
          <w:rFonts w:cs="Times"/>
          <w:szCs w:val="22"/>
        </w:rPr>
        <w:t>Reed, a. a. O.</w:t>
      </w:r>
      <w:r w:rsidR="00965EBE">
        <w:rPr>
          <w:rFonts w:cs="Times"/>
          <w:szCs w:val="22"/>
        </w:rPr>
        <w:t xml:space="preserve">, S. 51). </w:t>
      </w:r>
    </w:p>
    <w:p w14:paraId="3FFC7007" w14:textId="77777777" w:rsidR="00D2016D" w:rsidRDefault="00D2016D" w:rsidP="0011115C">
      <w:pPr>
        <w:keepNext/>
        <w:spacing w:line="276" w:lineRule="auto"/>
        <w:jc w:val="both"/>
        <w:rPr>
          <w:rFonts w:cs="Times"/>
          <w:szCs w:val="22"/>
        </w:rPr>
      </w:pPr>
    </w:p>
    <w:p w14:paraId="67FA39E4" w14:textId="77777777" w:rsidR="00D2016D" w:rsidRDefault="00D2016D" w:rsidP="00D2016D">
      <w:pPr>
        <w:keepNext/>
        <w:spacing w:line="276" w:lineRule="auto"/>
        <w:jc w:val="both"/>
      </w:pPr>
      <w:r>
        <w:rPr>
          <w:rFonts w:cs="Times"/>
          <w:noProof/>
          <w:szCs w:val="22"/>
        </w:rPr>
        <w:drawing>
          <wp:inline distT="0" distB="0" distL="0" distR="0" wp14:anchorId="487BD700" wp14:editId="7A844949">
            <wp:extent cx="5756910" cy="3062605"/>
            <wp:effectExtent l="25400" t="25400" r="34290" b="3619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7-02-14 um 09.56.46.png"/>
                    <pic:cNvPicPr/>
                  </pic:nvPicPr>
                  <pic:blipFill>
                    <a:blip r:embed="rId120">
                      <a:extLst>
                        <a:ext uri="{28A0092B-C50C-407E-A947-70E740481C1C}">
                          <a14:useLocalDpi xmlns:a14="http://schemas.microsoft.com/office/drawing/2010/main" val="0"/>
                        </a:ext>
                      </a:extLst>
                    </a:blip>
                    <a:stretch>
                      <a:fillRect/>
                    </a:stretch>
                  </pic:blipFill>
                  <pic:spPr>
                    <a:xfrm>
                      <a:off x="0" y="0"/>
                      <a:ext cx="5756910" cy="3062605"/>
                    </a:xfrm>
                    <a:prstGeom prst="rect">
                      <a:avLst/>
                    </a:prstGeom>
                    <a:ln>
                      <a:solidFill>
                        <a:srgbClr val="000000"/>
                      </a:solidFill>
                    </a:ln>
                  </pic:spPr>
                </pic:pic>
              </a:graphicData>
            </a:graphic>
          </wp:inline>
        </w:drawing>
      </w:r>
    </w:p>
    <w:p w14:paraId="4E67C0EB" w14:textId="10E4D39C" w:rsidR="00D2016D" w:rsidRDefault="00D2016D" w:rsidP="00D2016D">
      <w:pPr>
        <w:pStyle w:val="Beschriftung"/>
        <w:jc w:val="both"/>
        <w:rPr>
          <w:rFonts w:cs="Times"/>
          <w:szCs w:val="22"/>
        </w:rPr>
      </w:pPr>
      <w:r>
        <w:t xml:space="preserve">Abbildung </w:t>
      </w:r>
      <w:fldSimple w:instr=" SEQ Abbildung \* ARABIC ">
        <w:r w:rsidR="00B86830">
          <w:rPr>
            <w:noProof/>
          </w:rPr>
          <w:t>41</w:t>
        </w:r>
      </w:fldSimple>
      <w:r>
        <w:t xml:space="preserve">: Zahl von Notaufnahmen, </w:t>
      </w:r>
      <w:r w:rsidR="00473858">
        <w:t>und</w:t>
      </w:r>
      <w:r>
        <w:t xml:space="preserve"> Inanspruchnahme</w:t>
      </w:r>
      <w:r w:rsidR="00473858">
        <w:t>n</w:t>
      </w:r>
      <w:r w:rsidRPr="00D2016D">
        <w:t xml:space="preserve"> </w:t>
      </w:r>
      <w:r>
        <w:t xml:space="preserve">von Rettungsstellen </w:t>
      </w:r>
      <w:r w:rsidR="00473858">
        <w:t>bei möglicher Marihu</w:t>
      </w:r>
      <w:r w:rsidR="00473858">
        <w:t>a</w:t>
      </w:r>
      <w:r w:rsidR="00473858">
        <w:t xml:space="preserve">na-Exposition </w:t>
      </w:r>
      <w:r>
        <w:t>nach Jahren (</w:t>
      </w:r>
      <w:r w:rsidR="00CE65B8">
        <w:t>Reed, a. a. O.</w:t>
      </w:r>
      <w:r>
        <w:t>, S. 51)</w:t>
      </w:r>
    </w:p>
    <w:p w14:paraId="1EF28341" w14:textId="38F78E49" w:rsidR="00965EBE" w:rsidRDefault="00965EBE" w:rsidP="00965EBE">
      <w:pPr>
        <w:keepNext/>
        <w:spacing w:line="276" w:lineRule="auto"/>
        <w:jc w:val="both"/>
        <w:rPr>
          <w:rFonts w:cs="Times"/>
          <w:szCs w:val="22"/>
        </w:rPr>
      </w:pPr>
      <w:r>
        <w:rPr>
          <w:rFonts w:cs="Times"/>
          <w:szCs w:val="22"/>
        </w:rPr>
        <w:t xml:space="preserve">Dennoch kann herausgestellt werden, dass es in der </w:t>
      </w:r>
      <w:r w:rsidR="00A03FDA">
        <w:rPr>
          <w:rFonts w:cs="Times"/>
          <w:szCs w:val="22"/>
        </w:rPr>
        <w:t>Zahl</w:t>
      </w:r>
      <w:r>
        <w:rPr>
          <w:rFonts w:cs="Times"/>
          <w:szCs w:val="22"/>
        </w:rPr>
        <w:t xml:space="preserve"> </w:t>
      </w:r>
      <w:r w:rsidR="00A03FDA">
        <w:rPr>
          <w:rFonts w:cs="Times"/>
          <w:szCs w:val="22"/>
        </w:rPr>
        <w:t>der</w:t>
      </w:r>
      <w:r>
        <w:rPr>
          <w:rFonts w:cs="Times"/>
          <w:szCs w:val="22"/>
        </w:rPr>
        <w:t xml:space="preserve"> Notfallaufnahmen einen signifika</w:t>
      </w:r>
      <w:r>
        <w:rPr>
          <w:rFonts w:cs="Times"/>
          <w:szCs w:val="22"/>
        </w:rPr>
        <w:t>n</w:t>
      </w:r>
      <w:r>
        <w:rPr>
          <w:rFonts w:cs="Times"/>
          <w:szCs w:val="22"/>
        </w:rPr>
        <w:t>ten Anstieg im Zuge der Regulierung gab (</w:t>
      </w:r>
      <w:r w:rsidR="003F3D85">
        <w:rPr>
          <w:rFonts w:cs="Times"/>
          <w:szCs w:val="22"/>
        </w:rPr>
        <w:t>2010-2013 =</w:t>
      </w:r>
      <w:r>
        <w:rPr>
          <w:rFonts w:cs="Times"/>
          <w:szCs w:val="22"/>
        </w:rPr>
        <w:t xml:space="preserve"> 1440 Fälle</w:t>
      </w:r>
      <w:r w:rsidR="003F3D85">
        <w:rPr>
          <w:rFonts w:cs="Times"/>
          <w:szCs w:val="22"/>
        </w:rPr>
        <w:t xml:space="preserve">, 2014-2015 = </w:t>
      </w:r>
      <w:r>
        <w:rPr>
          <w:rFonts w:cs="Times"/>
          <w:szCs w:val="22"/>
        </w:rPr>
        <w:t>2413 Fälle</w:t>
      </w:r>
      <w:r w:rsidR="00473858" w:rsidRPr="00473858">
        <w:rPr>
          <w:rFonts w:cs="Times"/>
          <w:szCs w:val="22"/>
        </w:rPr>
        <w:t xml:space="preserve"> </w:t>
      </w:r>
      <w:r w:rsidR="00473858">
        <w:rPr>
          <w:rFonts w:cs="Times"/>
          <w:szCs w:val="22"/>
        </w:rPr>
        <w:t>per 100.000 Einwohner</w:t>
      </w:r>
      <w:r w:rsidR="00BE363F">
        <w:rPr>
          <w:rFonts w:cs="Times"/>
          <w:szCs w:val="22"/>
        </w:rPr>
        <w:t>)</w:t>
      </w:r>
      <w:r w:rsidR="003F3D85">
        <w:rPr>
          <w:rFonts w:cs="Times"/>
          <w:szCs w:val="22"/>
        </w:rPr>
        <w:t>. A</w:t>
      </w:r>
      <w:r w:rsidR="00BE363F">
        <w:rPr>
          <w:rFonts w:cs="Times"/>
          <w:szCs w:val="22"/>
        </w:rPr>
        <w:t>uch</w:t>
      </w:r>
      <w:r>
        <w:rPr>
          <w:rFonts w:cs="Times"/>
          <w:szCs w:val="22"/>
        </w:rPr>
        <w:t xml:space="preserve"> die Zahl der Inanspruchnahme von Rettungsdiensten </w:t>
      </w:r>
      <w:r w:rsidR="003F3D85">
        <w:rPr>
          <w:rFonts w:cs="Times"/>
          <w:szCs w:val="22"/>
        </w:rPr>
        <w:t xml:space="preserve">folgt signifikant </w:t>
      </w:r>
      <w:r w:rsidR="00BE363F">
        <w:rPr>
          <w:rFonts w:cs="Times"/>
          <w:szCs w:val="22"/>
        </w:rPr>
        <w:t>diesem</w:t>
      </w:r>
      <w:r>
        <w:rPr>
          <w:rFonts w:cs="Times"/>
          <w:szCs w:val="22"/>
        </w:rPr>
        <w:t xml:space="preserve"> Trend (</w:t>
      </w:r>
      <w:r w:rsidR="003F3D85">
        <w:rPr>
          <w:rFonts w:cs="Times"/>
          <w:szCs w:val="22"/>
        </w:rPr>
        <w:t xml:space="preserve">2010-2013 = 739 Fälle, </w:t>
      </w:r>
      <w:r>
        <w:rPr>
          <w:rFonts w:cs="Times"/>
          <w:szCs w:val="22"/>
        </w:rPr>
        <w:t xml:space="preserve"> </w:t>
      </w:r>
      <w:r w:rsidR="003F3D85">
        <w:rPr>
          <w:rFonts w:cs="Times"/>
          <w:szCs w:val="22"/>
        </w:rPr>
        <w:t xml:space="preserve">2014-15 = </w:t>
      </w:r>
      <w:r>
        <w:rPr>
          <w:rFonts w:cs="Times"/>
          <w:szCs w:val="22"/>
        </w:rPr>
        <w:t>956 Fälle</w:t>
      </w:r>
      <w:r w:rsidR="00473858" w:rsidRPr="00473858">
        <w:rPr>
          <w:rFonts w:cs="Times"/>
          <w:szCs w:val="22"/>
        </w:rPr>
        <w:t xml:space="preserve"> </w:t>
      </w:r>
      <w:r w:rsidR="00473858">
        <w:rPr>
          <w:rFonts w:cs="Times"/>
          <w:szCs w:val="22"/>
        </w:rPr>
        <w:t>per 100.000 Einwohner</w:t>
      </w:r>
      <w:r>
        <w:rPr>
          <w:rFonts w:cs="Times"/>
          <w:szCs w:val="22"/>
        </w:rPr>
        <w:t xml:space="preserve">, vgl. </w:t>
      </w:r>
      <w:r w:rsidR="00CE65B8">
        <w:rPr>
          <w:rFonts w:cs="Times"/>
          <w:szCs w:val="22"/>
        </w:rPr>
        <w:t>Reed, a. a. O.</w:t>
      </w:r>
      <w:r>
        <w:rPr>
          <w:rFonts w:cs="Times"/>
          <w:szCs w:val="22"/>
        </w:rPr>
        <w:t>, S. 51) (vgl. Abbildung 41).</w:t>
      </w:r>
    </w:p>
    <w:p w14:paraId="6E1F5DE3" w14:textId="7FCAC413" w:rsidR="00D2016D" w:rsidRDefault="00965EBE" w:rsidP="0011115C">
      <w:pPr>
        <w:keepNext/>
        <w:spacing w:line="276" w:lineRule="auto"/>
        <w:jc w:val="both"/>
        <w:rPr>
          <w:rFonts w:cs="Times"/>
          <w:szCs w:val="22"/>
        </w:rPr>
      </w:pPr>
      <w:r>
        <w:rPr>
          <w:rFonts w:cs="Times"/>
          <w:szCs w:val="22"/>
        </w:rPr>
        <w:t xml:space="preserve">Die detaillierten Hintergründe </w:t>
      </w:r>
      <w:r w:rsidR="00BC5485">
        <w:rPr>
          <w:rFonts w:cs="Times"/>
          <w:szCs w:val="22"/>
        </w:rPr>
        <w:t xml:space="preserve">für diese Entwicklungen lassen </w:t>
      </w:r>
      <w:r>
        <w:rPr>
          <w:rFonts w:cs="Times"/>
          <w:szCs w:val="22"/>
        </w:rPr>
        <w:t>sich aus den erhobenen Daten nicht</w:t>
      </w:r>
      <w:r w:rsidR="00BC5485" w:rsidRPr="00BC5485">
        <w:rPr>
          <w:rFonts w:cs="Times"/>
          <w:szCs w:val="22"/>
        </w:rPr>
        <w:t xml:space="preserve"> </w:t>
      </w:r>
      <w:r w:rsidR="00A03FDA">
        <w:rPr>
          <w:rFonts w:cs="Times"/>
          <w:szCs w:val="22"/>
        </w:rPr>
        <w:t>ermitteln</w:t>
      </w:r>
      <w:r>
        <w:rPr>
          <w:rFonts w:cs="Times"/>
          <w:szCs w:val="22"/>
        </w:rPr>
        <w:t xml:space="preserve">, fordern aber zu einer wissenschaftlichen Klärung geradezu auf.  </w:t>
      </w:r>
    </w:p>
    <w:p w14:paraId="07CA456A" w14:textId="77777777" w:rsidR="00F56DBB" w:rsidRDefault="00F56DBB" w:rsidP="00F56DBB"/>
    <w:p w14:paraId="40840B19" w14:textId="2994E907" w:rsidR="00F56DBB" w:rsidRPr="00F56DBB" w:rsidRDefault="00BC5485" w:rsidP="00BC5485">
      <w:pPr>
        <w:pStyle w:val="berschrift3"/>
      </w:pPr>
      <w:bookmarkStart w:id="59" w:name="_Toc349300388"/>
      <w:r>
        <w:t>Drogenpolitische Schlussfolgerungen</w:t>
      </w:r>
      <w:bookmarkEnd w:id="59"/>
    </w:p>
    <w:p w14:paraId="7C8E7358" w14:textId="7B066606" w:rsidR="00BC7180" w:rsidRDefault="00F56DBB" w:rsidP="00CE65B8">
      <w:pPr>
        <w:spacing w:line="276" w:lineRule="auto"/>
        <w:jc w:val="both"/>
      </w:pPr>
      <w:r>
        <w:t xml:space="preserve">Deutlich wird, dass die </w:t>
      </w:r>
      <w:r w:rsidR="005C33F9">
        <w:t>neuartige</w:t>
      </w:r>
      <w:r>
        <w:t xml:space="preserve"> Ver</w:t>
      </w:r>
      <w:r w:rsidR="0011115C">
        <w:t xml:space="preserve">fügbarkeit von Marihuana dazu </w:t>
      </w:r>
      <w:r>
        <w:t>führt, dass sich eine Dive</w:t>
      </w:r>
      <w:r>
        <w:t>r</w:t>
      </w:r>
      <w:r>
        <w:t>sifizierung der konsumierbaren Produkte vollzieht</w:t>
      </w:r>
      <w:r w:rsidR="0011115C">
        <w:t>, die</w:t>
      </w:r>
      <w:r w:rsidR="003C6DCC">
        <w:t xml:space="preserve"> </w:t>
      </w:r>
      <w:r w:rsidR="0011115C">
        <w:t xml:space="preserve">u. a. </w:t>
      </w:r>
      <w:r w:rsidR="00BC7180">
        <w:t>auf die</w:t>
      </w:r>
      <w:r>
        <w:t xml:space="preserve"> Entwicklung einer neuen Koch- und Backku</w:t>
      </w:r>
      <w:r w:rsidR="00BC7180">
        <w:t xml:space="preserve">ltur </w:t>
      </w:r>
      <w:r>
        <w:t xml:space="preserve">unter Verwendung von Marihuana </w:t>
      </w:r>
      <w:r w:rsidR="00BC7180">
        <w:t>zurück</w:t>
      </w:r>
      <w:r>
        <w:t xml:space="preserve">geht. </w:t>
      </w:r>
      <w:r w:rsidR="003C6DCC">
        <w:t>Dabei zeichnen sich alle</w:t>
      </w:r>
      <w:r w:rsidR="003C6DCC">
        <w:t>r</w:t>
      </w:r>
      <w:r w:rsidR="003C6DCC">
        <w:t>dings Gef</w:t>
      </w:r>
      <w:r w:rsidR="00BC7180">
        <w:t xml:space="preserve">ahren </w:t>
      </w:r>
      <w:r w:rsidR="003C6DCC">
        <w:t>ab</w:t>
      </w:r>
      <w:r w:rsidR="00BC7180">
        <w:t xml:space="preserve">: </w:t>
      </w:r>
      <w:r w:rsidR="00BC7180" w:rsidRPr="00BC7180">
        <w:rPr>
          <w:i/>
        </w:rPr>
        <w:t>Erstens</w:t>
      </w:r>
      <w:r w:rsidR="00BC7180">
        <w:t xml:space="preserve"> kann </w:t>
      </w:r>
      <w:r w:rsidR="003C6DCC">
        <w:t>Marihuana ungewollt von Kindern und Jugendlichen kons</w:t>
      </w:r>
      <w:r w:rsidR="003C6DCC">
        <w:t>u</w:t>
      </w:r>
      <w:r w:rsidR="003C6DCC">
        <w:t xml:space="preserve">miert </w:t>
      </w:r>
      <w:r w:rsidR="00BC7180">
        <w:t>we</w:t>
      </w:r>
      <w:r w:rsidR="0011115C">
        <w:t>rd</w:t>
      </w:r>
      <w:r w:rsidR="00BC7180">
        <w:t>en</w:t>
      </w:r>
      <w:r w:rsidR="003C6DCC">
        <w:t xml:space="preserve">, weil diese Produkte nicht als solche deklariert </w:t>
      </w:r>
      <w:r w:rsidR="0011115C">
        <w:t>sind</w:t>
      </w:r>
      <w:r w:rsidR="003C6DCC">
        <w:t>, weil sie mit anderen Leben</w:t>
      </w:r>
      <w:r w:rsidR="003C6DCC">
        <w:t>s</w:t>
      </w:r>
      <w:r w:rsidR="003C6DCC">
        <w:t xml:space="preserve">mitteln verwechselt </w:t>
      </w:r>
      <w:r w:rsidR="0011115C">
        <w:t xml:space="preserve">werden </w:t>
      </w:r>
      <w:r w:rsidR="003C6DCC">
        <w:t>oder den Konsumierenden von anderen Personen als vermeidlich nicht-Marihuana-haltig ausgegeben werden.</w:t>
      </w:r>
      <w:r w:rsidR="00036F53">
        <w:t xml:space="preserve"> </w:t>
      </w:r>
      <w:r w:rsidR="00BC7180">
        <w:rPr>
          <w:i/>
        </w:rPr>
        <w:t>Zweitens</w:t>
      </w:r>
      <w:r w:rsidR="00036F53">
        <w:t xml:space="preserve"> kann vermutet werden, dass die im Reg</w:t>
      </w:r>
      <w:r w:rsidR="00036F53">
        <w:t>u</w:t>
      </w:r>
      <w:r w:rsidR="00036F53">
        <w:t>lierungsgesetz ausdrücklich festgelegte Forderung, nicht in der Öffentlichkeit und nicht öffen</w:t>
      </w:r>
      <w:r w:rsidR="00036F53">
        <w:t>t</w:t>
      </w:r>
      <w:r w:rsidR="00036F53">
        <w:t>lich beobachtbar zu konsumieren</w:t>
      </w:r>
      <w:r w:rsidR="00D01097">
        <w:t>,</w:t>
      </w:r>
      <w:r w:rsidR="00036F53">
        <w:t xml:space="preserve"> dazu führt</w:t>
      </w:r>
      <w:r w:rsidR="00671823">
        <w:t>, dass in den heimischen Wä</w:t>
      </w:r>
      <w:r w:rsidR="00036F53">
        <w:t xml:space="preserve">nden konsumiert wird, wodurch die Wahrscheinlichkeit steigt, dass </w:t>
      </w:r>
      <w:r w:rsidR="00BC5485">
        <w:t xml:space="preserve">auch </w:t>
      </w:r>
      <w:r w:rsidR="00036F53">
        <w:t>Kinder beispielsweise durch Rauch und Ve</w:t>
      </w:r>
      <w:r w:rsidR="00036F53">
        <w:t>r</w:t>
      </w:r>
      <w:r w:rsidR="00036F53">
        <w:t xml:space="preserve">dampfung ungewollt </w:t>
      </w:r>
      <w:r w:rsidR="00671823">
        <w:t>der Substanz</w:t>
      </w:r>
      <w:r w:rsidR="00BC7180">
        <w:t>wirkung</w:t>
      </w:r>
      <w:r w:rsidR="00671823">
        <w:t xml:space="preserve"> ausgesetzt werden.</w:t>
      </w:r>
      <w:r w:rsidR="00036F53">
        <w:t xml:space="preserve"> </w:t>
      </w:r>
      <w:r w:rsidR="00BC7180">
        <w:rPr>
          <w:i/>
        </w:rPr>
        <w:t>Drittens</w:t>
      </w:r>
      <w:r w:rsidR="003C6DCC">
        <w:t xml:space="preserve"> entstehen durch hoc</w:t>
      </w:r>
      <w:r w:rsidR="003C6DCC">
        <w:t>h</w:t>
      </w:r>
      <w:r w:rsidR="003C6DCC">
        <w:t xml:space="preserve">konzentrierte Haschisch-Öle </w:t>
      </w:r>
      <w:r w:rsidR="00BC7180">
        <w:t>höhere</w:t>
      </w:r>
      <w:r w:rsidR="003C6DCC">
        <w:t xml:space="preserve"> </w:t>
      </w:r>
      <w:r w:rsidR="00BC7180">
        <w:t>Risiken</w:t>
      </w:r>
      <w:r w:rsidR="003C6DCC">
        <w:t xml:space="preserve"> eine</w:t>
      </w:r>
      <w:r w:rsidR="00BC7180">
        <w:t>r</w:t>
      </w:r>
      <w:r w:rsidR="003C6DCC">
        <w:t xml:space="preserve"> Überdosierung mit höchst unangenehmen körperlichen und psychischen Effekten, die </w:t>
      </w:r>
      <w:r w:rsidR="005C33F9">
        <w:t xml:space="preserve">zum Teil oder aus Unkenntnis </w:t>
      </w:r>
      <w:r w:rsidR="003C6DCC">
        <w:t xml:space="preserve">als </w:t>
      </w:r>
      <w:r w:rsidR="00BC7180">
        <w:t xml:space="preserve">so </w:t>
      </w:r>
      <w:r w:rsidR="003C6DCC">
        <w:t>problematisch erlebt werden</w:t>
      </w:r>
      <w:r w:rsidR="00BC7180">
        <w:t>, dass medizinische Hilfe gesucht wird</w:t>
      </w:r>
      <w:r w:rsidR="003C6DCC">
        <w:t>.</w:t>
      </w:r>
      <w:r w:rsidR="00671823">
        <w:t xml:space="preserve"> </w:t>
      </w:r>
      <w:r w:rsidR="00BC7180">
        <w:t xml:space="preserve">Diesen ungewünschten </w:t>
      </w:r>
      <w:r w:rsidR="00671823">
        <w:t>Effekten einer R</w:t>
      </w:r>
      <w:r w:rsidR="00671823">
        <w:t>e</w:t>
      </w:r>
      <w:r w:rsidR="00671823">
        <w:t xml:space="preserve">gulierung sollte </w:t>
      </w:r>
      <w:r w:rsidR="00BC7180">
        <w:t xml:space="preserve">durch geeignete Aufklärung und Prävention zuvor gekommen </w:t>
      </w:r>
      <w:r w:rsidR="00671823">
        <w:t xml:space="preserve">werden. </w:t>
      </w:r>
    </w:p>
    <w:p w14:paraId="0FB84782" w14:textId="58922576" w:rsidR="00671823" w:rsidRDefault="00671823" w:rsidP="00CE65B8">
      <w:pPr>
        <w:spacing w:line="276" w:lineRule="auto"/>
        <w:jc w:val="both"/>
      </w:pPr>
      <w:r>
        <w:t>Abzuwarten bleibt, ob sich diese Entwicklungen als generelle Trends durchsetzen oder durch Lernprozesse zum Umgang mit Marihuana in der Bevölkerung bewältigt werden</w:t>
      </w:r>
      <w:r w:rsidR="00BC5485">
        <w:t xml:space="preserve"> und sich als ein Durchgangsphänomen herausstellen</w:t>
      </w:r>
      <w:r>
        <w:t>.</w:t>
      </w:r>
      <w:r w:rsidR="00BC5485">
        <w:t xml:space="preserve"> Erkennbar ist jedoch, dass sich Krisen und Unfälle beim Umgang mit Marihuana im Zuge einer Regulierung einstellen können, weshalb durch Drogene</w:t>
      </w:r>
      <w:r w:rsidR="00BC5485">
        <w:t>r</w:t>
      </w:r>
      <w:r w:rsidR="00BC5485">
        <w:t>ziehung und Suchtprävention diverse Aktivitäten gefordert sind, Wissen und Kenntnisse rech</w:t>
      </w:r>
      <w:r w:rsidR="00BC5485">
        <w:t>t</w:t>
      </w:r>
      <w:r w:rsidR="00BC5485">
        <w:t xml:space="preserve">zeitig in der Bevölkerung zu popularisieren und mit </w:t>
      </w:r>
      <w:r w:rsidR="00D01097">
        <w:t xml:space="preserve">alltagspraktischen </w:t>
      </w:r>
      <w:r w:rsidR="00BC5485">
        <w:t xml:space="preserve">Hinweisen und Tipps einen Beitrag dafür zu leisten, </w:t>
      </w:r>
      <w:r w:rsidR="00D01097">
        <w:t>um</w:t>
      </w:r>
      <w:r w:rsidR="00BC5485">
        <w:t xml:space="preserve"> diese</w:t>
      </w:r>
      <w:r w:rsidR="00D01097">
        <w:t>n</w:t>
      </w:r>
      <w:r w:rsidR="00BC5485">
        <w:t xml:space="preserve"> </w:t>
      </w:r>
      <w:r w:rsidR="005C33F9">
        <w:t>negativen</w:t>
      </w:r>
      <w:r w:rsidR="00BC5485">
        <w:t xml:space="preserve"> Effekte drogenpoliti</w:t>
      </w:r>
      <w:r w:rsidR="00D01097">
        <w:t>scher</w:t>
      </w:r>
      <w:r w:rsidR="00BC5485">
        <w:t xml:space="preserve"> Neuregelungen möglichst </w:t>
      </w:r>
      <w:r w:rsidR="00D01097">
        <w:t>entgegenzu</w:t>
      </w:r>
      <w:r w:rsidR="00BC5485">
        <w:t xml:space="preserve">treten. </w:t>
      </w:r>
    </w:p>
    <w:p w14:paraId="2673ECD2" w14:textId="2B9BF25C" w:rsidR="003C6DCC" w:rsidRDefault="00671823" w:rsidP="00CE65B8">
      <w:pPr>
        <w:spacing w:line="276" w:lineRule="auto"/>
        <w:jc w:val="both"/>
      </w:pPr>
      <w:r>
        <w:t xml:space="preserve"> </w:t>
      </w:r>
    </w:p>
    <w:p w14:paraId="1DA26379" w14:textId="6D650204" w:rsidR="004F7C74" w:rsidRDefault="003C6DCC" w:rsidP="00CE65B8">
      <w:pPr>
        <w:spacing w:line="276" w:lineRule="auto"/>
        <w:jc w:val="both"/>
      </w:pPr>
      <w:r>
        <w:t>Das Regulierungsmodell Kaliforniens hat</w:t>
      </w:r>
      <w:r w:rsidR="005C33F9">
        <w:t>,</w:t>
      </w:r>
      <w:r>
        <w:t xml:space="preserve"> aus diesen Bezügen lernend</w:t>
      </w:r>
      <w:r w:rsidR="005C33F9">
        <w:t>, z. B.</w:t>
      </w:r>
      <w:r>
        <w:t xml:space="preserve"> sehr </w:t>
      </w:r>
      <w:r w:rsidR="0011115C">
        <w:t>aus</w:t>
      </w:r>
      <w:r w:rsidR="00D01097">
        <w:t xml:space="preserve">führlich </w:t>
      </w:r>
      <w:r w:rsidR="0011115C">
        <w:t>und detailliert</w:t>
      </w:r>
      <w:r>
        <w:t xml:space="preserve"> festgelegt, </w:t>
      </w:r>
      <w:r w:rsidR="00D01097">
        <w:t>wie</w:t>
      </w:r>
      <w:r>
        <w:t xml:space="preserve"> Produkte, die in irgendeiner Form Marihuana enthalten</w:t>
      </w:r>
      <w:r w:rsidR="0011115C">
        <w:t>,</w:t>
      </w:r>
      <w:r>
        <w:t xml:space="preserve"> zu deklari</w:t>
      </w:r>
      <w:r>
        <w:t>e</w:t>
      </w:r>
      <w:r w:rsidR="0011115C">
        <w:t xml:space="preserve">ren, gesondert auszuweisen und </w:t>
      </w:r>
      <w:r>
        <w:t xml:space="preserve">mit einer Kindersicherung zu versehen sind. Darüber hinaus liegt auf der Hand, dass im Prozess der Umsetzung </w:t>
      </w:r>
      <w:r w:rsidR="00D01097">
        <w:t>der</w:t>
      </w:r>
      <w:r>
        <w:t xml:space="preserve"> Regulierung darauf hinzuweisen ist, wie Marihuana-Produkte im Haushalt zu lagern sind, damit Kinder, Jugendliche und </w:t>
      </w:r>
      <w:r w:rsidR="0011115C">
        <w:t xml:space="preserve">andere </w:t>
      </w:r>
      <w:r>
        <w:t>Pers</w:t>
      </w:r>
      <w:r>
        <w:t>o</w:t>
      </w:r>
      <w:r>
        <w:t xml:space="preserve">nen </w:t>
      </w:r>
      <w:r w:rsidR="005C33F9">
        <w:t xml:space="preserve">dazu </w:t>
      </w:r>
      <w:r>
        <w:t>keinen Zugang erhalten.</w:t>
      </w:r>
    </w:p>
    <w:p w14:paraId="79CECBD5" w14:textId="77777777" w:rsidR="004F7C74" w:rsidRDefault="004F7C74" w:rsidP="00C17576">
      <w:pPr>
        <w:pStyle w:val="berschrift2"/>
        <w:numPr>
          <w:ilvl w:val="0"/>
          <w:numId w:val="0"/>
        </w:numPr>
      </w:pPr>
      <w:bookmarkStart w:id="60" w:name="_Toc349300389"/>
      <w:r>
        <w:t>Literatur</w:t>
      </w:r>
      <w:bookmarkEnd w:id="60"/>
    </w:p>
    <w:p w14:paraId="60EAD9E9" w14:textId="77777777" w:rsidR="0018244F" w:rsidRPr="00B87691" w:rsidRDefault="0018244F" w:rsidP="0018244F">
      <w:pPr>
        <w:rPr>
          <w:rFonts w:cs="Times"/>
          <w:szCs w:val="22"/>
        </w:rPr>
      </w:pPr>
      <w:r w:rsidRPr="00B87691">
        <w:rPr>
          <w:rFonts w:cs="Times"/>
          <w:szCs w:val="22"/>
        </w:rPr>
        <w:t>American Psychiatric Association 1994</w:t>
      </w:r>
    </w:p>
    <w:p w14:paraId="2CB6B176" w14:textId="77777777" w:rsidR="0018244F" w:rsidRPr="00B87691" w:rsidRDefault="0018244F" w:rsidP="0018244F">
      <w:pPr>
        <w:pStyle w:val="KeinLeerraum"/>
        <w:ind w:left="142" w:hanging="142"/>
        <w:rPr>
          <w:bCs/>
          <w:szCs w:val="22"/>
        </w:rPr>
      </w:pPr>
      <w:r w:rsidRPr="00B87691">
        <w:rPr>
          <w:szCs w:val="22"/>
        </w:rPr>
        <w:t>Hughes, Arthur; Rachel; M.S.; Lipari, N.; Williams, Matthew R. (2016): Marijuana use and perce</w:t>
      </w:r>
      <w:r w:rsidRPr="00B87691">
        <w:rPr>
          <w:szCs w:val="22"/>
        </w:rPr>
        <w:t>i</w:t>
      </w:r>
      <w:r w:rsidRPr="00B87691">
        <w:rPr>
          <w:szCs w:val="22"/>
        </w:rPr>
        <w:t>ved risk of harm from Marijuana use varies within and across States</w:t>
      </w:r>
      <w:r w:rsidRPr="00B87691">
        <w:rPr>
          <w:bCs/>
          <w:szCs w:val="22"/>
        </w:rPr>
        <w:t xml:space="preserve">. In: SAMHSA(2016): CBHSQ-Report from July 26. 2016. In: </w:t>
      </w:r>
      <w:hyperlink r:id="rId121" w:history="1">
        <w:r w:rsidRPr="00B87691">
          <w:rPr>
            <w:rStyle w:val="Link"/>
            <w:rFonts w:cs="Lucida Grande"/>
            <w:bCs/>
            <w:color w:val="auto"/>
            <w:szCs w:val="22"/>
          </w:rPr>
          <w:t>http://www.samhsa.gov/data/sites/default/</w:t>
        </w:r>
        <w:r w:rsidRPr="00B87691">
          <w:rPr>
            <w:rStyle w:val="Link"/>
            <w:rFonts w:cs="Lucida Grande"/>
            <w:bCs/>
            <w:color w:val="auto"/>
            <w:szCs w:val="22"/>
          </w:rPr>
          <w:t>f</w:t>
        </w:r>
        <w:r w:rsidRPr="00B87691">
          <w:rPr>
            <w:rStyle w:val="Link"/>
            <w:rFonts w:cs="Lucida Grande"/>
            <w:bCs/>
            <w:color w:val="auto"/>
            <w:szCs w:val="22"/>
          </w:rPr>
          <w:t>iles/report_2404/ShortReport-2404.html</w:t>
        </w:r>
      </w:hyperlink>
      <w:r w:rsidRPr="00B87691">
        <w:rPr>
          <w:bCs/>
          <w:szCs w:val="22"/>
        </w:rPr>
        <w:t xml:space="preserve"> vom 30. Oktober 2016 </w:t>
      </w:r>
    </w:p>
    <w:p w14:paraId="77C2D255" w14:textId="4D07A5F5" w:rsidR="0018244F" w:rsidRPr="00B87691" w:rsidRDefault="00AF03D4" w:rsidP="0018244F">
      <w:pPr>
        <w:pStyle w:val="KeinLeerraum"/>
        <w:ind w:left="284" w:hanging="284"/>
        <w:jc w:val="both"/>
        <w:rPr>
          <w:rFonts w:cs="Times"/>
          <w:szCs w:val="22"/>
        </w:rPr>
      </w:pPr>
      <w:r>
        <w:rPr>
          <w:rFonts w:cs="Arial"/>
          <w:bCs/>
          <w:szCs w:val="22"/>
        </w:rPr>
        <w:t>Northwest High Intensity Drug Trafficking A</w:t>
      </w:r>
      <w:r w:rsidR="0018244F" w:rsidRPr="00B87691">
        <w:rPr>
          <w:rFonts w:cs="Arial"/>
          <w:bCs/>
          <w:szCs w:val="22"/>
        </w:rPr>
        <w:t>rea (</w:t>
      </w:r>
      <w:r w:rsidR="0018244F" w:rsidRPr="00B87691">
        <w:rPr>
          <w:rFonts w:cs="Calibri"/>
          <w:szCs w:val="22"/>
        </w:rPr>
        <w:t xml:space="preserve">NWHIDTA) </w:t>
      </w:r>
      <w:r w:rsidR="0018244F" w:rsidRPr="00B87691">
        <w:rPr>
          <w:rFonts w:cs="Arial"/>
          <w:bCs/>
          <w:szCs w:val="22"/>
        </w:rPr>
        <w:t>(2016): Washington State Mariju</w:t>
      </w:r>
      <w:r w:rsidR="0018244F" w:rsidRPr="00B87691">
        <w:rPr>
          <w:rFonts w:cs="Arial"/>
          <w:bCs/>
          <w:szCs w:val="22"/>
        </w:rPr>
        <w:t>a</w:t>
      </w:r>
      <w:r w:rsidR="0018244F" w:rsidRPr="00B87691">
        <w:rPr>
          <w:rFonts w:cs="Arial"/>
          <w:bCs/>
          <w:szCs w:val="22"/>
        </w:rPr>
        <w:t>na Impact Report, Seattle</w:t>
      </w:r>
    </w:p>
    <w:p w14:paraId="080BF840" w14:textId="77777777" w:rsidR="0018244F" w:rsidRPr="00B87691" w:rsidRDefault="0018244F" w:rsidP="0018244F">
      <w:pPr>
        <w:pStyle w:val="KeinLeerraum"/>
        <w:ind w:left="284" w:hanging="284"/>
        <w:jc w:val="both"/>
        <w:rPr>
          <w:rFonts w:cs="Times"/>
          <w:szCs w:val="22"/>
        </w:rPr>
      </w:pPr>
      <w:r w:rsidRPr="00B87691">
        <w:rPr>
          <w:rFonts w:cs="Calibri"/>
          <w:bCs/>
          <w:szCs w:val="22"/>
        </w:rPr>
        <w:t xml:space="preserve">Reed, Jackson K. (2016): Marijuana Legalization in Colorado: Early Findings. </w:t>
      </w:r>
      <w:r w:rsidRPr="00B87691">
        <w:rPr>
          <w:rFonts w:cs="Calibri"/>
          <w:bCs/>
          <w:iCs/>
          <w:szCs w:val="22"/>
        </w:rPr>
        <w:t xml:space="preserve">A Report Pursuant to Senate Bill 13-283. </w:t>
      </w:r>
      <w:r w:rsidRPr="00B87691">
        <w:rPr>
          <w:rFonts w:cs="Arial"/>
          <w:bCs/>
          <w:szCs w:val="22"/>
        </w:rPr>
        <w:t xml:space="preserve">March 2016, Denver </w:t>
      </w:r>
      <w:r w:rsidRPr="00B87691">
        <w:rPr>
          <w:rFonts w:cs="Times"/>
          <w:szCs w:val="22"/>
        </w:rPr>
        <w:t xml:space="preserve">   </w:t>
      </w:r>
    </w:p>
    <w:p w14:paraId="4E3F5BFB" w14:textId="77777777" w:rsidR="0018244F" w:rsidRPr="00B87691" w:rsidRDefault="0018244F" w:rsidP="0018244F">
      <w:pPr>
        <w:ind w:left="142" w:hanging="142"/>
        <w:rPr>
          <w:iCs/>
          <w:szCs w:val="22"/>
        </w:rPr>
      </w:pPr>
      <w:r w:rsidRPr="00B87691">
        <w:rPr>
          <w:szCs w:val="22"/>
        </w:rPr>
        <w:t>Substance Abuse and Mental Health Services Administration, Center for Behavioral Health St</w:t>
      </w:r>
      <w:r w:rsidRPr="00B87691">
        <w:rPr>
          <w:szCs w:val="22"/>
        </w:rPr>
        <w:t>a</w:t>
      </w:r>
      <w:r w:rsidRPr="00B87691">
        <w:rPr>
          <w:szCs w:val="22"/>
        </w:rPr>
        <w:t xml:space="preserve">tistics and Quality. </w:t>
      </w:r>
      <w:r w:rsidRPr="00B87691">
        <w:rPr>
          <w:iCs/>
          <w:szCs w:val="22"/>
        </w:rPr>
        <w:t>Treatment Episode Data Set (TEDS) 2014,</w:t>
      </w:r>
    </w:p>
    <w:p w14:paraId="6FB896E1" w14:textId="77777777" w:rsidR="0018244F" w:rsidRPr="00B87691" w:rsidRDefault="0018244F" w:rsidP="005C33F9">
      <w:pPr>
        <w:ind w:left="142" w:hanging="142"/>
        <w:rPr>
          <w:iCs/>
          <w:szCs w:val="22"/>
        </w:rPr>
      </w:pPr>
      <w:r w:rsidRPr="00B87691">
        <w:rPr>
          <w:szCs w:val="22"/>
        </w:rPr>
        <w:t>Substance Abuse and Mental Health Services Administration, Center for Behavioral Health St</w:t>
      </w:r>
      <w:r w:rsidRPr="00B87691">
        <w:rPr>
          <w:szCs w:val="22"/>
        </w:rPr>
        <w:t>a</w:t>
      </w:r>
      <w:r w:rsidRPr="00B87691">
        <w:rPr>
          <w:szCs w:val="22"/>
        </w:rPr>
        <w:t xml:space="preserve">tistics and Quality. </w:t>
      </w:r>
      <w:r w:rsidRPr="00B87691">
        <w:rPr>
          <w:iCs/>
          <w:szCs w:val="22"/>
        </w:rPr>
        <w:t>Treatment Episode Data Set (TEDS) 2016,</w:t>
      </w:r>
    </w:p>
    <w:p w14:paraId="178128C2" w14:textId="03D31C96" w:rsidR="0018244F" w:rsidRPr="00B87691" w:rsidRDefault="0018244F" w:rsidP="0018244F">
      <w:pPr>
        <w:rPr>
          <w:szCs w:val="22"/>
        </w:rPr>
      </w:pPr>
      <w:r w:rsidRPr="00B87691">
        <w:rPr>
          <w:szCs w:val="22"/>
        </w:rPr>
        <w:t>The Control, Regulate and</w:t>
      </w:r>
      <w:r w:rsidR="00F7309F">
        <w:rPr>
          <w:szCs w:val="22"/>
        </w:rPr>
        <w:t xml:space="preserve"> Tax Adult Use of Marijuana Act</w:t>
      </w:r>
      <w:r w:rsidRPr="00B87691">
        <w:rPr>
          <w:szCs w:val="22"/>
        </w:rPr>
        <w:t xml:space="preserve"> 2016</w:t>
      </w:r>
    </w:p>
    <w:p w14:paraId="56A05BB4" w14:textId="77777777" w:rsidR="0018244F" w:rsidRDefault="0018244F" w:rsidP="000F1C24">
      <w:pPr>
        <w:spacing w:line="276" w:lineRule="auto"/>
      </w:pPr>
    </w:p>
    <w:p w14:paraId="2DA78356" w14:textId="77777777" w:rsidR="00D90E12" w:rsidRDefault="00D90E12" w:rsidP="000F1C24">
      <w:pPr>
        <w:spacing w:line="276" w:lineRule="auto"/>
        <w:sectPr w:rsidR="00D90E12" w:rsidSect="008901F7">
          <w:pgSz w:w="11900" w:h="16840"/>
          <w:pgMar w:top="1417" w:right="1417" w:bottom="1134" w:left="1417" w:header="708" w:footer="708" w:gutter="0"/>
          <w:cols w:space="708"/>
          <w:docGrid w:linePitch="360"/>
        </w:sectPr>
      </w:pPr>
    </w:p>
    <w:p w14:paraId="75D59FF0" w14:textId="5C22D471" w:rsidR="00F56DBB" w:rsidRDefault="00BD600D" w:rsidP="00D90E12">
      <w:pPr>
        <w:pStyle w:val="berschrift1"/>
      </w:pPr>
      <w:bookmarkStart w:id="61" w:name="_Toc349300390"/>
      <w:r>
        <w:t>Drogenpolitische Neuregelungen und die Entwicklung der Kriminalität</w:t>
      </w:r>
      <w:bookmarkEnd w:id="61"/>
    </w:p>
    <w:p w14:paraId="7565DC96" w14:textId="3C70504F" w:rsidR="00BD600D" w:rsidRDefault="00BD600D" w:rsidP="00D90E12">
      <w:pPr>
        <w:pStyle w:val="berschrift2"/>
      </w:pPr>
      <w:bookmarkStart w:id="62" w:name="_Toc349300391"/>
      <w:r>
        <w:t>Die drogenpolitischen Grundannahmen</w:t>
      </w:r>
      <w:bookmarkEnd w:id="62"/>
    </w:p>
    <w:p w14:paraId="71A6D6F0" w14:textId="3EC90348" w:rsidR="000C126E" w:rsidRDefault="00BD600D" w:rsidP="006865BB">
      <w:pPr>
        <w:spacing w:line="276" w:lineRule="auto"/>
      </w:pPr>
      <w:r>
        <w:t>Auch zur Entwicklung von Kriminalitätsraten im Zuge der Umsetzung eines Regulierungspr</w:t>
      </w:r>
      <w:r>
        <w:t>o</w:t>
      </w:r>
      <w:r>
        <w:t xml:space="preserve">zesses werden unterschiedliche Hypothesen formuliert: </w:t>
      </w:r>
      <w:r w:rsidR="000C126E">
        <w:t xml:space="preserve">Von Gegnern </w:t>
      </w:r>
      <w:r>
        <w:t>wird herausgestellt, dass die ökonomische Dynamik des bestehenden Schwarzmarktes verhinder</w:t>
      </w:r>
      <w:r w:rsidR="000C126E">
        <w:t>t</w:t>
      </w:r>
      <w:r w:rsidR="00F7309F">
        <w:t xml:space="preserve"> wird</w:t>
      </w:r>
      <w:r>
        <w:t>, diese Struktu</w:t>
      </w:r>
      <w:r w:rsidR="000C126E">
        <w:t>ren mit einer Regulierung auf</w:t>
      </w:r>
      <w:r w:rsidR="00F7309F">
        <w:t>zu</w:t>
      </w:r>
      <w:r>
        <w:t xml:space="preserve">lösen. Verwiesen wird darauf, dass </w:t>
      </w:r>
      <w:r w:rsidR="000C126E">
        <w:t xml:space="preserve">alle Regulierungsmodelle </w:t>
      </w:r>
      <w:r w:rsidRPr="00BD600D">
        <w:rPr>
          <w:i/>
        </w:rPr>
        <w:t>erstens</w:t>
      </w:r>
      <w:r>
        <w:t xml:space="preserve"> mit strikt kontrollierten Lizenzen für Produktion, Erzeugung, Handel und Verkauf arbeiten mü</w:t>
      </w:r>
      <w:r>
        <w:t>s</w:t>
      </w:r>
      <w:r>
        <w:t xml:space="preserve">sen, um tatsächlich regulierend zu wirken, </w:t>
      </w:r>
      <w:r w:rsidRPr="00BD600D">
        <w:rPr>
          <w:i/>
        </w:rPr>
        <w:t>zweitens</w:t>
      </w:r>
      <w:r>
        <w:t xml:space="preserve"> zudem die Gewinne des Marktes durch Steuern abschöpfen wollen </w:t>
      </w:r>
      <w:r w:rsidR="000C126E">
        <w:t xml:space="preserve">und </w:t>
      </w:r>
      <w:r w:rsidR="000C126E" w:rsidRPr="000C126E">
        <w:rPr>
          <w:i/>
        </w:rPr>
        <w:t>drittens</w:t>
      </w:r>
      <w:r w:rsidR="000C126E">
        <w:t xml:space="preserve"> ökonomische Bremsen für die Entwicklung der Nac</w:t>
      </w:r>
      <w:r w:rsidR="000C126E">
        <w:t>h</w:t>
      </w:r>
      <w:r w:rsidR="000C126E">
        <w:t>frage u. a. durch die Gestaltung von Preisen sowie Limits für Abgabemengen</w:t>
      </w:r>
      <w:r w:rsidR="00F7309F">
        <w:t>, -</w:t>
      </w:r>
      <w:r w:rsidR="000C126E">
        <w:t xml:space="preserve">orte und Werbung setzen </w:t>
      </w:r>
      <w:r w:rsidR="00F7309F">
        <w:t>sollten</w:t>
      </w:r>
      <w:r w:rsidR="000C126E">
        <w:t xml:space="preserve">. All dies würde </w:t>
      </w:r>
      <w:r w:rsidR="00F7309F">
        <w:t xml:space="preserve">aber </w:t>
      </w:r>
      <w:r w:rsidR="000C126E">
        <w:t>dafür sprechen, dass auch weiterhin ein Schwarzmarkt mit daran gebundener Kriminalität bestehen bleib</w:t>
      </w:r>
      <w:r w:rsidR="00F7309F">
        <w:t xml:space="preserve">t. </w:t>
      </w:r>
    </w:p>
    <w:p w14:paraId="4F1ED406" w14:textId="77777777" w:rsidR="00F7309F" w:rsidRDefault="000C126E" w:rsidP="006865BB">
      <w:pPr>
        <w:widowControl w:val="0"/>
        <w:autoSpaceDE w:val="0"/>
        <w:autoSpaceDN w:val="0"/>
        <w:adjustRightInd w:val="0"/>
        <w:spacing w:line="276" w:lineRule="auto"/>
        <w:rPr>
          <w:szCs w:val="22"/>
        </w:rPr>
      </w:pPr>
      <w:r>
        <w:t xml:space="preserve">Befürworter eine Regulierung heben den hohen sozialen Gewinn für eine Gesellschaft hervor, der </w:t>
      </w:r>
      <w:r w:rsidRPr="000C126E">
        <w:rPr>
          <w:i/>
        </w:rPr>
        <w:t>erstens</w:t>
      </w:r>
      <w:r>
        <w:t xml:space="preserve"> durch die Regulierung für konsumwillige Bevölkerungsgruppen entsteht, die sich nicht mehr einer Strafverfolgung ausgesetzt sehen, die </w:t>
      </w:r>
      <w:r w:rsidR="00F7309F">
        <w:t xml:space="preserve">bis dahin </w:t>
      </w:r>
      <w:r>
        <w:t>oft mit tiefgreifenden Einschni</w:t>
      </w:r>
      <w:r>
        <w:t>t</w:t>
      </w:r>
      <w:r>
        <w:t xml:space="preserve">ten in der Biografie der Betroffenen verbunden ist. Daraus ergeben sich </w:t>
      </w:r>
      <w:r w:rsidRPr="00D90E12">
        <w:rPr>
          <w:i/>
        </w:rPr>
        <w:t>zweitens</w:t>
      </w:r>
      <w:r>
        <w:t xml:space="preserve"> erhebliche G</w:t>
      </w:r>
      <w:r>
        <w:t>e</w:t>
      </w:r>
      <w:r>
        <w:t>winne</w:t>
      </w:r>
      <w:r w:rsidR="00D90E12">
        <w:t xml:space="preserve"> durch Einsparungen/Neuorientierungen in den Aufgaben der </w:t>
      </w:r>
      <w:r w:rsidR="00F7309F">
        <w:t xml:space="preserve">strafenden Institutionen </w:t>
      </w:r>
      <w:r w:rsidR="00D90E12">
        <w:t>(Polizei, Justiz, Strafvollzug), deren Ressourcen nicht mehr durch die Verfolgung opferloser D</w:t>
      </w:r>
      <w:r w:rsidR="00D90E12">
        <w:t>e</w:t>
      </w:r>
      <w:r w:rsidR="00D90E12">
        <w:t xml:space="preserve">likte gebunden sind und </w:t>
      </w:r>
      <w:r w:rsidR="00F7309F">
        <w:t xml:space="preserve">die </w:t>
      </w:r>
      <w:r w:rsidR="00D90E12">
        <w:t xml:space="preserve">sich anderen </w:t>
      </w:r>
      <w:r w:rsidR="00F7309F">
        <w:t>Bereichen</w:t>
      </w:r>
      <w:r w:rsidR="00D90E12">
        <w:t xml:space="preserve"> </w:t>
      </w:r>
      <w:r w:rsidR="00F7309F">
        <w:t xml:space="preserve">der </w:t>
      </w:r>
      <w:r w:rsidR="00D90E12">
        <w:t>öffentli</w:t>
      </w:r>
      <w:r w:rsidR="00F7309F">
        <w:t>chen</w:t>
      </w:r>
      <w:r w:rsidR="00D90E12">
        <w:t xml:space="preserve"> Ordnung und Sicherheit zuwenden können. </w:t>
      </w:r>
      <w:r w:rsidR="00F7309F">
        <w:t>Abgeschöpfte Gewinne</w:t>
      </w:r>
      <w:r w:rsidR="00D90E12">
        <w:t xml:space="preserve"> </w:t>
      </w:r>
      <w:r w:rsidR="00F7309F">
        <w:t xml:space="preserve">einer legalen Cannabisindustrie ermöglichen </w:t>
      </w:r>
      <w:r w:rsidR="00D90E12" w:rsidRPr="00F7309F">
        <w:rPr>
          <w:i/>
        </w:rPr>
        <w:t>drittens</w:t>
      </w:r>
      <w:r w:rsidR="00D90E12">
        <w:t xml:space="preserve">, Drogenerziehung und Suchtprävention </w:t>
      </w:r>
      <w:r w:rsidR="00F7309F">
        <w:t>mit weiteren Ressourcen auszustatten</w:t>
      </w:r>
      <w:r w:rsidR="00D90E12">
        <w:t xml:space="preserve">, so dass </w:t>
      </w:r>
      <w:r w:rsidR="00F7309F">
        <w:t xml:space="preserve">vor allem </w:t>
      </w:r>
      <w:r w:rsidR="00D90E12">
        <w:t xml:space="preserve">Lernprozesse zum Umgang mit Marihuana </w:t>
      </w:r>
      <w:r w:rsidR="00F7309F">
        <w:t xml:space="preserve">besonders </w:t>
      </w:r>
      <w:r w:rsidR="00D90E12">
        <w:t xml:space="preserve">begleitet und gefördert werden können. </w:t>
      </w:r>
      <w:r w:rsidR="00D90E12" w:rsidRPr="00D90E12">
        <w:rPr>
          <w:i/>
        </w:rPr>
        <w:t>Viertes</w:t>
      </w:r>
      <w:r w:rsidR="00D90E12">
        <w:t xml:space="preserve"> wird angenommen, dass sich große Teile der Konsumenten über einen legalen Markt versorgen werden, wenn die ökonomischen und sozialen Zugangsbedingungen bestimmte Z</w:t>
      </w:r>
      <w:r w:rsidR="00D90E12">
        <w:t>u</w:t>
      </w:r>
      <w:r w:rsidR="00D90E12">
        <w:t xml:space="preserve">mutungen nicht </w:t>
      </w:r>
      <w:r w:rsidR="00D90E12" w:rsidRPr="006865BB">
        <w:rPr>
          <w:szCs w:val="22"/>
        </w:rPr>
        <w:t xml:space="preserve">überschreiten, so dass der existierende Schwarzmarkt zumindest in großen </w:t>
      </w:r>
      <w:r w:rsidR="00D90E12" w:rsidRPr="00F7309F">
        <w:rPr>
          <w:szCs w:val="22"/>
        </w:rPr>
        <w:t xml:space="preserve">Teilen tatsächlich ausgetrocknet wird. Welche Zumutbarkeitsbarrieren genau existieren und wie deren Elastizität aussieht, ist allerdings unbekannt. </w:t>
      </w:r>
    </w:p>
    <w:p w14:paraId="6508F68A" w14:textId="70DE460B" w:rsidR="006865BB" w:rsidRPr="00F7309F" w:rsidRDefault="00D90E12" w:rsidP="006865BB">
      <w:pPr>
        <w:widowControl w:val="0"/>
        <w:autoSpaceDE w:val="0"/>
        <w:autoSpaceDN w:val="0"/>
        <w:adjustRightInd w:val="0"/>
        <w:spacing w:line="276" w:lineRule="auto"/>
        <w:rPr>
          <w:rFonts w:cs="Arial"/>
          <w:szCs w:val="22"/>
        </w:rPr>
      </w:pPr>
      <w:r w:rsidRPr="00F7309F">
        <w:rPr>
          <w:szCs w:val="22"/>
        </w:rPr>
        <w:t>Verwiesen sei in diesem Zusammenhang beispielsweise auf die Preiselastizität von Alkohol</w:t>
      </w:r>
      <w:r w:rsidR="006865BB" w:rsidRPr="00F7309F">
        <w:rPr>
          <w:szCs w:val="22"/>
        </w:rPr>
        <w:t xml:space="preserve"> und Tabak: Erwiesenermaßen sind </w:t>
      </w:r>
      <w:r w:rsidR="006865BB" w:rsidRPr="00F7309F">
        <w:rPr>
          <w:rFonts w:cs="Arial"/>
          <w:szCs w:val="22"/>
        </w:rPr>
        <w:t>Preisbildungsmaßnahmen ein wirksames Mittel, um den (pro</w:t>
      </w:r>
      <w:r w:rsidR="006865BB" w:rsidRPr="00F7309F">
        <w:rPr>
          <w:rFonts w:cs="Arial"/>
          <w:szCs w:val="22"/>
        </w:rPr>
        <w:t>b</w:t>
      </w:r>
      <w:r w:rsidR="006865BB" w:rsidRPr="00F7309F">
        <w:rPr>
          <w:rFonts w:cs="Arial"/>
          <w:szCs w:val="22"/>
        </w:rPr>
        <w:t>lematischen) Konsum von Alkohol und Tabak einzudämmen. Je höher die Preise für diese psycho</w:t>
      </w:r>
      <w:r w:rsidR="00F7309F" w:rsidRPr="00F7309F">
        <w:rPr>
          <w:rFonts w:cs="Arial"/>
          <w:szCs w:val="22"/>
        </w:rPr>
        <w:t>-</w:t>
      </w:r>
      <w:r w:rsidR="006865BB" w:rsidRPr="00F7309F">
        <w:rPr>
          <w:rFonts w:cs="Arial"/>
          <w:szCs w:val="22"/>
        </w:rPr>
        <w:t>aktiven Substanzen sind, desto weniger wird konsumiert. Deshalb wird die staatliche Preisgestaltung als eine substanzielle soziale Intervention zur Steuerung der Konsumentwic</w:t>
      </w:r>
      <w:r w:rsidR="006865BB" w:rsidRPr="00F7309F">
        <w:rPr>
          <w:rFonts w:cs="Arial"/>
          <w:szCs w:val="22"/>
        </w:rPr>
        <w:t>k</w:t>
      </w:r>
      <w:r w:rsidR="006865BB" w:rsidRPr="00F7309F">
        <w:rPr>
          <w:rFonts w:cs="Arial"/>
          <w:szCs w:val="22"/>
        </w:rPr>
        <w:t xml:space="preserve">lung </w:t>
      </w:r>
      <w:r w:rsidR="00F7309F">
        <w:rPr>
          <w:rFonts w:cs="Arial"/>
          <w:szCs w:val="22"/>
        </w:rPr>
        <w:t>angesehen</w:t>
      </w:r>
      <w:r w:rsidR="006865BB" w:rsidRPr="00F7309F">
        <w:rPr>
          <w:rFonts w:cs="Arial"/>
          <w:szCs w:val="22"/>
        </w:rPr>
        <w:t>. Es darf allerdings nicht überse</w:t>
      </w:r>
      <w:r w:rsidR="00F7309F" w:rsidRPr="00F7309F">
        <w:rPr>
          <w:rFonts w:cs="Arial"/>
          <w:szCs w:val="22"/>
        </w:rPr>
        <w:t>hen werden, dass die</w:t>
      </w:r>
      <w:r w:rsidR="006865BB" w:rsidRPr="00F7309F">
        <w:rPr>
          <w:rFonts w:cs="Arial"/>
          <w:szCs w:val="22"/>
        </w:rPr>
        <w:t xml:space="preserve"> Preiselastizität </w:t>
      </w:r>
      <w:r w:rsidR="00F7309F" w:rsidRPr="00F7309F">
        <w:rPr>
          <w:rFonts w:cs="Arial"/>
          <w:szCs w:val="22"/>
        </w:rPr>
        <w:t xml:space="preserve">auch für diese Produkte </w:t>
      </w:r>
      <w:r w:rsidR="006865BB" w:rsidRPr="00F7309F">
        <w:rPr>
          <w:rFonts w:cs="Arial"/>
          <w:szCs w:val="22"/>
        </w:rPr>
        <w:t>nicht unbegrenzt ist. Wird die Akzeptanzschwelle der Preise für diese Konsu</w:t>
      </w:r>
      <w:r w:rsidR="006865BB" w:rsidRPr="00F7309F">
        <w:rPr>
          <w:rFonts w:cs="Arial"/>
          <w:szCs w:val="22"/>
        </w:rPr>
        <w:t>m</w:t>
      </w:r>
      <w:r w:rsidR="006865BB" w:rsidRPr="00F7309F">
        <w:rPr>
          <w:rFonts w:cs="Arial"/>
          <w:szCs w:val="22"/>
        </w:rPr>
        <w:t>güter überzogen und werden die sozialen Rahmenbedingungen für einen Zugang zu diesen zu hochschwellig, wird nicht der Konsum eingestellt, sondern auf andere Beschaffungswege z. B. über einen Schwarz- oder Graumarkt oder auf Eigenproduktion</w:t>
      </w:r>
      <w:r w:rsidR="00D637F1" w:rsidRPr="00F7309F">
        <w:rPr>
          <w:rFonts w:cs="Arial"/>
          <w:szCs w:val="22"/>
        </w:rPr>
        <w:t xml:space="preserve"> ausgewichen</w:t>
      </w:r>
      <w:r w:rsidR="006865BB" w:rsidRPr="00F7309F">
        <w:rPr>
          <w:rFonts w:cs="Arial"/>
          <w:szCs w:val="22"/>
        </w:rPr>
        <w:t>.</w:t>
      </w:r>
      <w:r w:rsidR="00D637F1" w:rsidRPr="00F7309F">
        <w:rPr>
          <w:rFonts w:cs="Arial"/>
          <w:szCs w:val="22"/>
        </w:rPr>
        <w:t xml:space="preserve"> Wo die Akze</w:t>
      </w:r>
      <w:r w:rsidR="00D637F1" w:rsidRPr="00F7309F">
        <w:rPr>
          <w:rFonts w:cs="Arial"/>
          <w:szCs w:val="22"/>
        </w:rPr>
        <w:t>p</w:t>
      </w:r>
      <w:r w:rsidR="00D637F1" w:rsidRPr="00F7309F">
        <w:rPr>
          <w:rFonts w:cs="Arial"/>
          <w:szCs w:val="22"/>
        </w:rPr>
        <w:t>tanzschwellen bei Marihuana in Bezug auf die Gestaltung der Preise und der sozialen Bezugsr</w:t>
      </w:r>
      <w:r w:rsidR="00D637F1" w:rsidRPr="00F7309F">
        <w:rPr>
          <w:rFonts w:cs="Arial"/>
          <w:szCs w:val="22"/>
        </w:rPr>
        <w:t>e</w:t>
      </w:r>
      <w:r w:rsidR="00D637F1" w:rsidRPr="00F7309F">
        <w:rPr>
          <w:rFonts w:cs="Arial"/>
          <w:szCs w:val="22"/>
        </w:rPr>
        <w:t xml:space="preserve">gelungen liegen, ist drogenpolitisches Neuland. </w:t>
      </w:r>
    </w:p>
    <w:p w14:paraId="3A3AA599" w14:textId="3600797D" w:rsidR="007A46BB" w:rsidRPr="00D637F1" w:rsidRDefault="002A2105" w:rsidP="00D637F1">
      <w:pPr>
        <w:pStyle w:val="berschrift2"/>
      </w:pPr>
      <w:bookmarkStart w:id="63" w:name="_Toc349300392"/>
      <w:r>
        <w:t>Regulierungsprozesse: Radical is</w:t>
      </w:r>
      <w:r w:rsidR="001A7A32">
        <w:t xml:space="preserve"> t</w:t>
      </w:r>
      <w:r>
        <w:t>he Shift</w:t>
      </w:r>
      <w:r w:rsidR="001A7A32">
        <w:t>!</w:t>
      </w:r>
      <w:bookmarkEnd w:id="63"/>
      <w:r w:rsidRPr="002A2105">
        <w:t xml:space="preserve"> </w:t>
      </w:r>
    </w:p>
    <w:p w14:paraId="728A0AD1" w14:textId="124E293A" w:rsidR="00D637F1" w:rsidRDefault="00F7309F" w:rsidP="000F1C24">
      <w:pPr>
        <w:spacing w:line="276" w:lineRule="auto"/>
        <w:jc w:val="both"/>
        <w:rPr>
          <w:rFonts w:cs="Arial"/>
          <w:color w:val="434343"/>
          <w:szCs w:val="22"/>
        </w:rPr>
      </w:pPr>
      <w:r>
        <w:rPr>
          <w:rFonts w:cs="Arial"/>
          <w:color w:val="434343"/>
          <w:szCs w:val="22"/>
        </w:rPr>
        <w:t>U</w:t>
      </w:r>
      <w:r w:rsidR="00D637F1">
        <w:rPr>
          <w:rFonts w:cs="Arial"/>
          <w:color w:val="434343"/>
          <w:szCs w:val="22"/>
        </w:rPr>
        <w:t xml:space="preserve">m die oben </w:t>
      </w:r>
      <w:r>
        <w:rPr>
          <w:rFonts w:cs="Arial"/>
          <w:color w:val="434343"/>
          <w:szCs w:val="22"/>
        </w:rPr>
        <w:t>skizzierten</w:t>
      </w:r>
      <w:r w:rsidR="00D637F1">
        <w:rPr>
          <w:rFonts w:cs="Arial"/>
          <w:color w:val="434343"/>
          <w:szCs w:val="22"/>
        </w:rPr>
        <w:t xml:space="preserve"> Entwicklungen prüfen zu können, sind zwei Jahre der Um</w:t>
      </w:r>
      <w:r>
        <w:rPr>
          <w:rFonts w:cs="Arial"/>
          <w:color w:val="434343"/>
          <w:szCs w:val="22"/>
        </w:rPr>
        <w:t>setzung eines</w:t>
      </w:r>
      <w:r w:rsidR="00D637F1">
        <w:rPr>
          <w:rFonts w:cs="Arial"/>
          <w:color w:val="434343"/>
          <w:szCs w:val="22"/>
        </w:rPr>
        <w:t xml:space="preserve"> Regulierung</w:t>
      </w:r>
      <w:r>
        <w:rPr>
          <w:rFonts w:cs="Arial"/>
          <w:color w:val="434343"/>
          <w:szCs w:val="22"/>
        </w:rPr>
        <w:t>sprozesses</w:t>
      </w:r>
      <w:r w:rsidR="00D637F1">
        <w:rPr>
          <w:rFonts w:cs="Arial"/>
          <w:color w:val="434343"/>
          <w:szCs w:val="22"/>
        </w:rPr>
        <w:t xml:space="preserve"> des Marihuana-Konsums deutlich zu kurz. In dieser Zeit konnte in ke</w:t>
      </w:r>
      <w:r w:rsidR="00D637F1">
        <w:rPr>
          <w:rFonts w:cs="Arial"/>
          <w:color w:val="434343"/>
          <w:szCs w:val="22"/>
        </w:rPr>
        <w:t>i</w:t>
      </w:r>
      <w:r w:rsidR="00D637F1">
        <w:rPr>
          <w:rFonts w:cs="Arial"/>
          <w:color w:val="434343"/>
          <w:szCs w:val="22"/>
        </w:rPr>
        <w:t>nem der Bundesstaaten ein vollständig funktionierendes System für Produktion, Erzeugung, Handel und Verkauf geschaffen werden, das in der Lage ist, den Schwa</w:t>
      </w:r>
      <w:r w:rsidR="00A55BE9">
        <w:rPr>
          <w:rFonts w:cs="Arial"/>
          <w:color w:val="434343"/>
          <w:szCs w:val="22"/>
        </w:rPr>
        <w:t>rzmarkt vollständig au</w:t>
      </w:r>
      <w:r w:rsidR="00A55BE9">
        <w:rPr>
          <w:rFonts w:cs="Arial"/>
          <w:color w:val="434343"/>
          <w:szCs w:val="22"/>
        </w:rPr>
        <w:t>f</w:t>
      </w:r>
      <w:r w:rsidR="00A55BE9">
        <w:rPr>
          <w:rFonts w:cs="Arial"/>
          <w:color w:val="434343"/>
          <w:szCs w:val="22"/>
        </w:rPr>
        <w:t xml:space="preserve">zulösen. Auch das geplante System der Vergabe von Lizenzen und die Überwachung der </w:t>
      </w:r>
      <w:r w:rsidR="00A55BE9" w:rsidRPr="00F7309F">
        <w:rPr>
          <w:rFonts w:cs="Arial"/>
          <w:szCs w:val="22"/>
        </w:rPr>
        <w:t>reguli</w:t>
      </w:r>
      <w:r w:rsidR="00A55BE9" w:rsidRPr="00F7309F">
        <w:rPr>
          <w:rFonts w:cs="Arial"/>
          <w:szCs w:val="22"/>
        </w:rPr>
        <w:t>e</w:t>
      </w:r>
      <w:r w:rsidR="00A55BE9" w:rsidRPr="00F7309F">
        <w:rPr>
          <w:rFonts w:cs="Arial"/>
          <w:szCs w:val="22"/>
        </w:rPr>
        <w:t xml:space="preserve">renden Vorgaben für die Marihuana-Industrie befindet sich </w:t>
      </w:r>
      <w:r w:rsidRPr="00F7309F">
        <w:rPr>
          <w:rFonts w:cs="Arial"/>
          <w:szCs w:val="22"/>
        </w:rPr>
        <w:t>noch</w:t>
      </w:r>
      <w:r w:rsidR="00A55BE9" w:rsidRPr="00F7309F">
        <w:rPr>
          <w:rFonts w:cs="Arial"/>
          <w:szCs w:val="22"/>
        </w:rPr>
        <w:t xml:space="preserve"> im Aufbau und arbeitet deshalb mit vielen Übergangsregeln, mit denen </w:t>
      </w:r>
      <w:r w:rsidRPr="00F7309F">
        <w:rPr>
          <w:rFonts w:cs="Arial"/>
          <w:szCs w:val="22"/>
        </w:rPr>
        <w:t xml:space="preserve">u. a. auch </w:t>
      </w:r>
      <w:r w:rsidR="00A55BE9" w:rsidRPr="00F7309F">
        <w:rPr>
          <w:rFonts w:cs="Arial"/>
          <w:szCs w:val="22"/>
        </w:rPr>
        <w:t xml:space="preserve">die </w:t>
      </w:r>
      <w:r w:rsidRPr="00F7309F">
        <w:rPr>
          <w:rFonts w:cs="Arial"/>
          <w:szCs w:val="22"/>
        </w:rPr>
        <w:t xml:space="preserve">schon </w:t>
      </w:r>
      <w:r w:rsidR="00A55BE9" w:rsidRPr="00F7309F">
        <w:rPr>
          <w:rFonts w:cs="Arial"/>
          <w:szCs w:val="22"/>
        </w:rPr>
        <w:t>existierenden ökonomischen Stru</w:t>
      </w:r>
      <w:r w:rsidR="00A55BE9" w:rsidRPr="00F7309F">
        <w:rPr>
          <w:rFonts w:cs="Arial"/>
          <w:szCs w:val="22"/>
        </w:rPr>
        <w:t>k</w:t>
      </w:r>
      <w:r w:rsidR="00A55BE9" w:rsidRPr="00F7309F">
        <w:rPr>
          <w:rFonts w:cs="Arial"/>
          <w:szCs w:val="22"/>
        </w:rPr>
        <w:t xml:space="preserve">turen Schritt für Schritt legalisiert werden. </w:t>
      </w:r>
      <w:r w:rsidR="00D637F1" w:rsidRPr="00F7309F">
        <w:rPr>
          <w:rFonts w:cs="Arial"/>
          <w:szCs w:val="22"/>
        </w:rPr>
        <w:t>Darüber hinaus bleiben wichtige drogenpolitische Regelungen der US-Administration beispielsweise in Zusammenhang mit dem Cole-Memo (siehe S. 12) bestehen und werden weiterhin strafverfolgt:</w:t>
      </w:r>
    </w:p>
    <w:p w14:paraId="5A387D76" w14:textId="6ABE9FD1" w:rsidR="00D637F1" w:rsidRPr="008D490E" w:rsidRDefault="00D637F1" w:rsidP="00D637F1">
      <w:pPr>
        <w:pStyle w:val="Listenabsatz"/>
        <w:numPr>
          <w:ilvl w:val="0"/>
          <w:numId w:val="23"/>
        </w:numPr>
        <w:spacing w:line="276" w:lineRule="auto"/>
        <w:jc w:val="both"/>
        <w:rPr>
          <w:rFonts w:cs="Arial"/>
          <w:szCs w:val="22"/>
        </w:rPr>
      </w:pPr>
      <w:r>
        <w:rPr>
          <w:rFonts w:cs="Arial"/>
          <w:szCs w:val="22"/>
        </w:rPr>
        <w:t>Die</w:t>
      </w:r>
      <w:r w:rsidRPr="008D490E">
        <w:rPr>
          <w:rFonts w:cs="Arial"/>
          <w:szCs w:val="22"/>
        </w:rPr>
        <w:t xml:space="preserve"> Weitergabe von Marihuana an Minderjährige</w:t>
      </w:r>
      <w:r>
        <w:rPr>
          <w:rFonts w:cs="Arial"/>
          <w:szCs w:val="22"/>
        </w:rPr>
        <w:t>,</w:t>
      </w:r>
    </w:p>
    <w:p w14:paraId="4431FA06" w14:textId="47FC8F98" w:rsidR="00D637F1" w:rsidRPr="008D490E" w:rsidRDefault="00D637F1" w:rsidP="00D637F1">
      <w:pPr>
        <w:pStyle w:val="Listenabsatz"/>
        <w:numPr>
          <w:ilvl w:val="0"/>
          <w:numId w:val="23"/>
        </w:numPr>
        <w:spacing w:line="276" w:lineRule="auto"/>
        <w:jc w:val="both"/>
        <w:rPr>
          <w:rFonts w:cs="Arial"/>
          <w:szCs w:val="22"/>
        </w:rPr>
      </w:pPr>
      <w:r>
        <w:rPr>
          <w:rFonts w:cs="Arial"/>
          <w:szCs w:val="22"/>
        </w:rPr>
        <w:t>Der Transfer</w:t>
      </w:r>
      <w:r w:rsidRPr="008D490E">
        <w:rPr>
          <w:rFonts w:cs="Arial"/>
          <w:szCs w:val="22"/>
        </w:rPr>
        <w:t xml:space="preserve"> von Geld aus dem </w:t>
      </w:r>
      <w:r w:rsidR="00F7309F">
        <w:rPr>
          <w:rFonts w:cs="Arial"/>
          <w:szCs w:val="22"/>
        </w:rPr>
        <w:t>Marihuana-</w:t>
      </w:r>
      <w:r w:rsidRPr="008D490E">
        <w:rPr>
          <w:rFonts w:cs="Arial"/>
          <w:szCs w:val="22"/>
        </w:rPr>
        <w:t xml:space="preserve">Verkauf </w:t>
      </w:r>
      <w:r>
        <w:rPr>
          <w:rFonts w:cs="Arial"/>
          <w:szCs w:val="22"/>
        </w:rPr>
        <w:t>in</w:t>
      </w:r>
      <w:r w:rsidRPr="008D490E">
        <w:rPr>
          <w:rFonts w:cs="Arial"/>
          <w:szCs w:val="22"/>
        </w:rPr>
        <w:t xml:space="preserve"> kriminelle Geschäfte, Banden und Kartelle</w:t>
      </w:r>
      <w:r>
        <w:rPr>
          <w:rFonts w:cs="Arial"/>
          <w:szCs w:val="22"/>
        </w:rPr>
        <w:t>,</w:t>
      </w:r>
    </w:p>
    <w:p w14:paraId="4C519012" w14:textId="5111746A" w:rsidR="00D637F1" w:rsidRPr="008D490E" w:rsidRDefault="00D637F1" w:rsidP="00D637F1">
      <w:pPr>
        <w:pStyle w:val="Listenabsatz"/>
        <w:numPr>
          <w:ilvl w:val="0"/>
          <w:numId w:val="23"/>
        </w:numPr>
        <w:spacing w:line="276" w:lineRule="auto"/>
        <w:jc w:val="both"/>
        <w:rPr>
          <w:rFonts w:cs="Arial"/>
          <w:szCs w:val="22"/>
        </w:rPr>
      </w:pPr>
      <w:r>
        <w:rPr>
          <w:rFonts w:cs="Arial"/>
          <w:szCs w:val="22"/>
        </w:rPr>
        <w:t>Der Transfer</w:t>
      </w:r>
      <w:r w:rsidRPr="008D490E">
        <w:rPr>
          <w:rFonts w:cs="Arial"/>
          <w:szCs w:val="22"/>
        </w:rPr>
        <w:t xml:space="preserve"> von Marihuana aus Bundesstaaten, in denen es legal ist, in andere Bunde</w:t>
      </w:r>
      <w:r w:rsidRPr="008D490E">
        <w:rPr>
          <w:rFonts w:cs="Arial"/>
          <w:szCs w:val="22"/>
        </w:rPr>
        <w:t>s</w:t>
      </w:r>
      <w:r w:rsidRPr="008D490E">
        <w:rPr>
          <w:rFonts w:cs="Arial"/>
          <w:szCs w:val="22"/>
        </w:rPr>
        <w:t xml:space="preserve">staaten, </w:t>
      </w:r>
    </w:p>
    <w:p w14:paraId="7010DED9" w14:textId="65874B74" w:rsidR="00D637F1" w:rsidRPr="008D490E" w:rsidRDefault="00D637F1" w:rsidP="00D637F1">
      <w:pPr>
        <w:pStyle w:val="Listenabsatz"/>
        <w:numPr>
          <w:ilvl w:val="0"/>
          <w:numId w:val="23"/>
        </w:numPr>
        <w:spacing w:line="276" w:lineRule="auto"/>
        <w:jc w:val="both"/>
        <w:rPr>
          <w:rFonts w:cs="Arial"/>
          <w:szCs w:val="22"/>
        </w:rPr>
      </w:pPr>
      <w:r>
        <w:rPr>
          <w:rFonts w:cs="Arial"/>
          <w:szCs w:val="22"/>
        </w:rPr>
        <w:t xml:space="preserve">Das Nutzen </w:t>
      </w:r>
      <w:r w:rsidRPr="008D490E">
        <w:rPr>
          <w:rFonts w:cs="Arial"/>
          <w:szCs w:val="22"/>
        </w:rPr>
        <w:t>bundesstaatlich zugelassene</w:t>
      </w:r>
      <w:r>
        <w:rPr>
          <w:rFonts w:cs="Arial"/>
          <w:szCs w:val="22"/>
        </w:rPr>
        <w:t>r</w:t>
      </w:r>
      <w:r w:rsidRPr="008D490E">
        <w:rPr>
          <w:rFonts w:cs="Arial"/>
          <w:szCs w:val="22"/>
        </w:rPr>
        <w:t xml:space="preserve"> Aktivitäten rund um Marihuana, um andere i</w:t>
      </w:r>
      <w:r w:rsidRPr="008D490E">
        <w:rPr>
          <w:rFonts w:cs="Arial"/>
          <w:szCs w:val="22"/>
        </w:rPr>
        <w:t>l</w:t>
      </w:r>
      <w:r w:rsidRPr="008D490E">
        <w:rPr>
          <w:rFonts w:cs="Arial"/>
          <w:szCs w:val="22"/>
        </w:rPr>
        <w:t>legalisierte Drogen oder andere illegale Aktivitä</w:t>
      </w:r>
      <w:r>
        <w:rPr>
          <w:rFonts w:cs="Arial"/>
          <w:szCs w:val="22"/>
        </w:rPr>
        <w:t>ten zu tarnen,</w:t>
      </w:r>
    </w:p>
    <w:p w14:paraId="524222A4" w14:textId="01073B2B" w:rsidR="00D637F1" w:rsidRPr="008D490E" w:rsidRDefault="00D637F1" w:rsidP="00D637F1">
      <w:pPr>
        <w:pStyle w:val="Listenabsatz"/>
        <w:numPr>
          <w:ilvl w:val="0"/>
          <w:numId w:val="23"/>
        </w:numPr>
        <w:spacing w:line="276" w:lineRule="auto"/>
        <w:jc w:val="both"/>
        <w:rPr>
          <w:rFonts w:cs="Arial"/>
          <w:szCs w:val="22"/>
        </w:rPr>
      </w:pPr>
      <w:r>
        <w:rPr>
          <w:rFonts w:cs="Arial"/>
          <w:szCs w:val="22"/>
        </w:rPr>
        <w:t>Der</w:t>
      </w:r>
      <w:r w:rsidRPr="008D490E">
        <w:rPr>
          <w:rFonts w:cs="Arial"/>
          <w:szCs w:val="22"/>
        </w:rPr>
        <w:t xml:space="preserve"> Einsatzes von Gewalt und Schusswaffen im Rahmen der Kultivierung und</w:t>
      </w:r>
      <w:r>
        <w:rPr>
          <w:rFonts w:cs="Arial"/>
          <w:szCs w:val="22"/>
        </w:rPr>
        <w:t xml:space="preserve"> Distribut</w:t>
      </w:r>
      <w:r>
        <w:rPr>
          <w:rFonts w:cs="Arial"/>
          <w:szCs w:val="22"/>
        </w:rPr>
        <w:t>i</w:t>
      </w:r>
      <w:r>
        <w:rPr>
          <w:rFonts w:cs="Arial"/>
          <w:szCs w:val="22"/>
        </w:rPr>
        <w:t>on von Marihuana,</w:t>
      </w:r>
    </w:p>
    <w:p w14:paraId="4E37D880" w14:textId="6B2AC79D" w:rsidR="00D637F1" w:rsidRPr="008D490E" w:rsidRDefault="00D637F1" w:rsidP="00D637F1">
      <w:pPr>
        <w:pStyle w:val="Listenabsatz"/>
        <w:numPr>
          <w:ilvl w:val="0"/>
          <w:numId w:val="23"/>
        </w:numPr>
        <w:spacing w:line="276" w:lineRule="auto"/>
        <w:jc w:val="both"/>
        <w:rPr>
          <w:rFonts w:cs="Arial"/>
          <w:szCs w:val="22"/>
        </w:rPr>
      </w:pPr>
      <w:r>
        <w:rPr>
          <w:rFonts w:cs="Arial"/>
          <w:szCs w:val="22"/>
        </w:rPr>
        <w:t>Das Fahrens unter Drogeneinfluss</w:t>
      </w:r>
      <w:r w:rsidRPr="008D490E">
        <w:rPr>
          <w:rFonts w:cs="Arial"/>
          <w:szCs w:val="22"/>
        </w:rPr>
        <w:t xml:space="preserve">, </w:t>
      </w:r>
      <w:r>
        <w:rPr>
          <w:rFonts w:cs="Arial"/>
          <w:szCs w:val="22"/>
        </w:rPr>
        <w:t xml:space="preserve">soweit </w:t>
      </w:r>
      <w:r w:rsidRPr="008D490E">
        <w:rPr>
          <w:rFonts w:cs="Arial"/>
          <w:szCs w:val="22"/>
        </w:rPr>
        <w:t>die</w:t>
      </w:r>
      <w:r w:rsidR="00F7309F">
        <w:rPr>
          <w:rFonts w:cs="Arial"/>
          <w:szCs w:val="22"/>
        </w:rPr>
        <w:t>s</w:t>
      </w:r>
      <w:r w:rsidRPr="008D490E">
        <w:rPr>
          <w:rFonts w:cs="Arial"/>
          <w:szCs w:val="22"/>
        </w:rPr>
        <w:t xml:space="preserve"> mit dem Marihuana-Konsum in Verbi</w:t>
      </w:r>
      <w:r w:rsidRPr="008D490E">
        <w:rPr>
          <w:rFonts w:cs="Arial"/>
          <w:szCs w:val="22"/>
        </w:rPr>
        <w:t>n</w:t>
      </w:r>
      <w:r w:rsidRPr="008D490E">
        <w:rPr>
          <w:rFonts w:cs="Arial"/>
          <w:szCs w:val="22"/>
        </w:rPr>
        <w:t>dung gebracht wer</w:t>
      </w:r>
      <w:r>
        <w:rPr>
          <w:rFonts w:cs="Arial"/>
          <w:szCs w:val="22"/>
        </w:rPr>
        <w:t>den kann,</w:t>
      </w:r>
    </w:p>
    <w:p w14:paraId="56731591" w14:textId="12290B0D" w:rsidR="00D637F1" w:rsidRPr="00D637F1" w:rsidRDefault="00D637F1" w:rsidP="00D637F1">
      <w:pPr>
        <w:pStyle w:val="Listenabsatz"/>
        <w:numPr>
          <w:ilvl w:val="0"/>
          <w:numId w:val="23"/>
        </w:numPr>
        <w:spacing w:line="276" w:lineRule="auto"/>
        <w:jc w:val="both"/>
        <w:rPr>
          <w:szCs w:val="22"/>
        </w:rPr>
      </w:pPr>
      <w:r w:rsidRPr="00D637F1">
        <w:rPr>
          <w:rFonts w:cs="Arial"/>
          <w:szCs w:val="22"/>
        </w:rPr>
        <w:t>Der Anbau und die Produktion von Marihuana auf öffentlichen Plätzen u</w:t>
      </w:r>
      <w:r w:rsidR="00F7309F">
        <w:rPr>
          <w:rFonts w:cs="Arial"/>
          <w:szCs w:val="22"/>
        </w:rPr>
        <w:t>nd Anlagen und damit verbundene</w:t>
      </w:r>
      <w:r w:rsidRPr="00D637F1">
        <w:rPr>
          <w:rFonts w:cs="Arial"/>
          <w:szCs w:val="22"/>
        </w:rPr>
        <w:t xml:space="preserve"> Gefahren für die öffentlichen Sicherheit und die Umwelt, </w:t>
      </w:r>
    </w:p>
    <w:p w14:paraId="4121A255" w14:textId="1D7BB87C" w:rsidR="00D637F1" w:rsidRPr="00D637F1" w:rsidRDefault="00D637F1" w:rsidP="00D637F1">
      <w:pPr>
        <w:pStyle w:val="Listenabsatz"/>
        <w:numPr>
          <w:ilvl w:val="0"/>
          <w:numId w:val="23"/>
        </w:numPr>
        <w:spacing w:line="276" w:lineRule="auto"/>
        <w:jc w:val="both"/>
        <w:rPr>
          <w:szCs w:val="22"/>
        </w:rPr>
      </w:pPr>
      <w:r w:rsidRPr="00D637F1">
        <w:rPr>
          <w:rFonts w:cs="Arial"/>
          <w:szCs w:val="22"/>
        </w:rPr>
        <w:t>Marihuana-Besitz und Konsum in oder auf nationalem Eigentum.</w:t>
      </w:r>
      <w:r w:rsidRPr="00D637F1">
        <w:rPr>
          <w:rFonts w:cs="Arial"/>
          <w:color w:val="434343"/>
          <w:szCs w:val="22"/>
        </w:rPr>
        <w:t xml:space="preserve"> </w:t>
      </w:r>
    </w:p>
    <w:p w14:paraId="24DF3C23" w14:textId="77777777" w:rsidR="00F7309F" w:rsidRDefault="00F7309F" w:rsidP="00C641E1">
      <w:pPr>
        <w:spacing w:line="276" w:lineRule="auto"/>
        <w:jc w:val="both"/>
      </w:pPr>
      <w:r>
        <w:t>Auch d</w:t>
      </w:r>
      <w:r w:rsidR="00732784">
        <w:t>araus</w:t>
      </w:r>
      <w:r w:rsidR="00A55BE9">
        <w:t xml:space="preserve"> lassen sich Hinweise ableiten, welche Handlungen und Verhaltensweisen aus der Kriminalisierung tatsächlich herausgeführt werden, welche weiterhin bestehen bleiben und welche nunmehr als neue strafwürdige Tatbestände eingestuft werden. Verwiesen sei in diesem Zusammenhang auf eine gewisse Marihuana-Piraterie von Farmern, die </w:t>
      </w:r>
      <w:r w:rsidR="00DC4CEE">
        <w:t xml:space="preserve">sich in der Illegalität </w:t>
      </w:r>
      <w:r w:rsidR="00A55BE9">
        <w:t xml:space="preserve">unkontrolliert </w:t>
      </w:r>
      <w:r w:rsidR="00DC4CEE">
        <w:t>an</w:t>
      </w:r>
      <w:r w:rsidR="00A55BE9">
        <w:t xml:space="preserve"> Wasserressourcen bedienten und mit ihren Anbaumethoden teilweise hohe Umweltbelastungen erzeugten. Solange </w:t>
      </w:r>
      <w:r w:rsidR="00DC4CEE">
        <w:t>diese Produktion allerdings illegalisiert war, fand ökol</w:t>
      </w:r>
      <w:r w:rsidR="00DC4CEE">
        <w:t>o</w:t>
      </w:r>
      <w:r w:rsidR="00DC4CEE">
        <w:t>gischer Raubbau in Heimlichkeit statt und wurde als strafbare</w:t>
      </w:r>
      <w:r>
        <w:t xml:space="preserve"> Handlung </w:t>
      </w:r>
      <w:r w:rsidR="00DC4CEE">
        <w:t>nicht gesondert ve</w:t>
      </w:r>
      <w:r w:rsidR="00DC4CEE">
        <w:t>r</w:t>
      </w:r>
      <w:r w:rsidR="00DC4CEE">
        <w:t xml:space="preserve">folgt. </w:t>
      </w:r>
      <w:r>
        <w:t>Im Zuge</w:t>
      </w:r>
      <w:r w:rsidR="00DC4CEE">
        <w:t xml:space="preserve"> der Regulierung wird </w:t>
      </w:r>
      <w:r>
        <w:t xml:space="preserve">nun auch mit </w:t>
      </w:r>
      <w:r w:rsidR="00DC4CEE">
        <w:t xml:space="preserve">Vorgaben in Prozesse </w:t>
      </w:r>
      <w:r>
        <w:t>von</w:t>
      </w:r>
      <w:r w:rsidR="00DC4CEE">
        <w:t xml:space="preserve"> Produktion</w:t>
      </w:r>
      <w:r>
        <w:t>,</w:t>
      </w:r>
      <w:r w:rsidR="00DC4CEE">
        <w:t xml:space="preserve"> Erze</w:t>
      </w:r>
      <w:r w:rsidR="00DC4CEE">
        <w:t>u</w:t>
      </w:r>
      <w:r w:rsidR="00DC4CEE">
        <w:t>gung</w:t>
      </w:r>
      <w:r>
        <w:t>, Distribution und Verkauf</w:t>
      </w:r>
      <w:r w:rsidR="00DC4CEE">
        <w:t xml:space="preserve"> </w:t>
      </w:r>
      <w:r>
        <w:t>von</w:t>
      </w:r>
      <w:r w:rsidR="00DC4CEE">
        <w:t xml:space="preserve"> Marihuana eingegriffen, deren Umsetzung kontrolliert und </w:t>
      </w:r>
      <w:r>
        <w:t xml:space="preserve">die Nichteinhaltung der Vorgaben </w:t>
      </w:r>
      <w:r w:rsidR="00DC4CEE">
        <w:t xml:space="preserve">unter Strafandrohung </w:t>
      </w:r>
      <w:r w:rsidR="00732784">
        <w:t xml:space="preserve">gestellt. Insofern </w:t>
      </w:r>
      <w:r>
        <w:t>werden</w:t>
      </w:r>
      <w:r w:rsidR="00DC4CEE">
        <w:t xml:space="preserve"> quasi </w:t>
      </w:r>
      <w:r>
        <w:t>b</w:t>
      </w:r>
      <w:r>
        <w:t>e</w:t>
      </w:r>
      <w:r>
        <w:t xml:space="preserve">stimmte Handlungen und Routinen zu </w:t>
      </w:r>
      <w:r w:rsidR="00DC4CEE">
        <w:t>bis</w:t>
      </w:r>
      <w:r>
        <w:t>her so nicht ge</w:t>
      </w:r>
      <w:r w:rsidR="00732784">
        <w:t>kannte</w:t>
      </w:r>
      <w:r>
        <w:t>n</w:t>
      </w:r>
      <w:r w:rsidR="00732784">
        <w:t xml:space="preserve"> Delikte</w:t>
      </w:r>
      <w:r>
        <w:t>n</w:t>
      </w:r>
      <w:r w:rsidR="00732784">
        <w:t>, die zum Teil als Or</w:t>
      </w:r>
      <w:r w:rsidR="00732784">
        <w:t>d</w:t>
      </w:r>
      <w:r w:rsidR="00732784">
        <w:t>nungsstrafe, zum Teil aber auch als kriminelle Handlung straf</w:t>
      </w:r>
      <w:r w:rsidR="00B26DDC">
        <w:t xml:space="preserve">rechtlich </w:t>
      </w:r>
      <w:r w:rsidR="00732784">
        <w:t xml:space="preserve">verfolgt werden. </w:t>
      </w:r>
    </w:p>
    <w:p w14:paraId="1011A169" w14:textId="4B417784" w:rsidR="001A7A32" w:rsidRDefault="00F7309F" w:rsidP="00C641E1">
      <w:pPr>
        <w:spacing w:line="276" w:lineRule="auto"/>
        <w:jc w:val="both"/>
      </w:pPr>
      <w:r>
        <w:t xml:space="preserve">Eine Auseinandersetzung mit der Entwicklung der Kriminalität im Prozess der Regulierung hat also sehr verschiedene Kriminalitätsbereiche mit zum Teil parallel laufenden und sich auch überschneidenden </w:t>
      </w:r>
      <w:r w:rsidR="00DC4CEE">
        <w:t xml:space="preserve">Entwicklungen </w:t>
      </w:r>
      <w:r>
        <w:t xml:space="preserve">in den Blick zu nehmen. Dazu liegen </w:t>
      </w:r>
      <w:r w:rsidR="001A7A32">
        <w:t xml:space="preserve">allerdings </w:t>
      </w:r>
      <w:r>
        <w:t xml:space="preserve">bisher in den Bundesstaaten Washington und Colorado </w:t>
      </w:r>
      <w:r w:rsidR="00DC4CEE">
        <w:t>nur wenige Daten vor.</w:t>
      </w:r>
    </w:p>
    <w:p w14:paraId="0F69F5EA" w14:textId="1F119A7F" w:rsidR="001A7A32" w:rsidRDefault="001A7A32" w:rsidP="001A7A32">
      <w:pPr>
        <w:pStyle w:val="berschrift2"/>
      </w:pPr>
      <w:bookmarkStart w:id="64" w:name="_Toc349300393"/>
      <w:r>
        <w:t>Das Beispiel Washington</w:t>
      </w:r>
      <w:bookmarkEnd w:id="64"/>
    </w:p>
    <w:p w14:paraId="508F46F0" w14:textId="25564AAC" w:rsidR="00B26DDC" w:rsidRDefault="00B26DDC" w:rsidP="00494DD6">
      <w:pPr>
        <w:spacing w:line="276" w:lineRule="auto"/>
        <w:rPr>
          <w:szCs w:val="22"/>
        </w:rPr>
      </w:pPr>
      <w:r w:rsidRPr="00B26DDC">
        <w:rPr>
          <w:szCs w:val="22"/>
        </w:rPr>
        <w:t xml:space="preserve">Bezogen auf die Kriminalitätsentwicklung im Bundesstaat Washington stechen </w:t>
      </w:r>
      <w:r>
        <w:rPr>
          <w:szCs w:val="22"/>
        </w:rPr>
        <w:t>folgende</w:t>
      </w:r>
      <w:r w:rsidRPr="00B26DDC">
        <w:rPr>
          <w:szCs w:val="22"/>
        </w:rPr>
        <w:t xml:space="preserve"> Daten heraus</w:t>
      </w:r>
      <w:r>
        <w:rPr>
          <w:szCs w:val="22"/>
        </w:rPr>
        <w:t>:</w:t>
      </w:r>
    </w:p>
    <w:p w14:paraId="5D70D30F" w14:textId="7A7B6998" w:rsidR="00B26DDC" w:rsidRPr="00B57641" w:rsidRDefault="00B26DDC" w:rsidP="00F41DB0">
      <w:pPr>
        <w:pStyle w:val="Listenabsatz"/>
        <w:numPr>
          <w:ilvl w:val="0"/>
          <w:numId w:val="24"/>
        </w:numPr>
        <w:spacing w:line="276" w:lineRule="auto"/>
        <w:jc w:val="both"/>
        <w:rPr>
          <w:szCs w:val="22"/>
        </w:rPr>
      </w:pPr>
      <w:r w:rsidRPr="00B57641">
        <w:rPr>
          <w:szCs w:val="22"/>
        </w:rPr>
        <w:t>Mit dem Beginn des Regulierungsprozesses im Jahr 2013 hat sich die Zahl der Beschla</w:t>
      </w:r>
      <w:r w:rsidRPr="00B57641">
        <w:rPr>
          <w:szCs w:val="22"/>
        </w:rPr>
        <w:t>g</w:t>
      </w:r>
      <w:r w:rsidRPr="00B57641">
        <w:rPr>
          <w:szCs w:val="22"/>
        </w:rPr>
        <w:t>nahmungen von Marihuana drastisch gesenkt</w:t>
      </w:r>
      <w:r w:rsidR="00494DD6">
        <w:rPr>
          <w:szCs w:val="22"/>
        </w:rPr>
        <w:t xml:space="preserve"> (um 61,7 %)</w:t>
      </w:r>
      <w:r w:rsidRPr="00B57641">
        <w:rPr>
          <w:szCs w:val="22"/>
        </w:rPr>
        <w:t xml:space="preserve"> und offensichtlich auf einen Teil reduziert, der </w:t>
      </w:r>
      <w:r w:rsidR="00494DD6" w:rsidRPr="00B57641">
        <w:rPr>
          <w:szCs w:val="22"/>
        </w:rPr>
        <w:t xml:space="preserve">nicht </w:t>
      </w:r>
      <w:r w:rsidRPr="00B57641">
        <w:rPr>
          <w:szCs w:val="22"/>
        </w:rPr>
        <w:t>von den Regulierungsmaßnahmen betroffen ist (vgl. Washington Impact Report, S. 92).</w:t>
      </w:r>
    </w:p>
    <w:p w14:paraId="5536D640" w14:textId="6B8EE680" w:rsidR="00572A48" w:rsidRDefault="00494DD6" w:rsidP="00F41DB0">
      <w:pPr>
        <w:pStyle w:val="Listenabsatz"/>
        <w:numPr>
          <w:ilvl w:val="0"/>
          <w:numId w:val="24"/>
        </w:numPr>
        <w:spacing w:line="276" w:lineRule="auto"/>
        <w:jc w:val="both"/>
        <w:rPr>
          <w:szCs w:val="22"/>
        </w:rPr>
      </w:pPr>
      <w:r>
        <w:rPr>
          <w:szCs w:val="22"/>
        </w:rPr>
        <w:t>Insofern verwundert nicht, das d</w:t>
      </w:r>
      <w:r w:rsidR="00B26DDC" w:rsidRPr="00B57641">
        <w:rPr>
          <w:szCs w:val="22"/>
        </w:rPr>
        <w:t>ie Beschlagnahmungen von Marihuana in der überwi</w:t>
      </w:r>
      <w:r w:rsidR="00B26DDC" w:rsidRPr="00B57641">
        <w:rPr>
          <w:szCs w:val="22"/>
        </w:rPr>
        <w:t>e</w:t>
      </w:r>
      <w:r w:rsidR="00B26DDC" w:rsidRPr="00B57641">
        <w:rPr>
          <w:szCs w:val="22"/>
        </w:rPr>
        <w:t>genden Zahl bei Jugendlichen und Heranwachsenden</w:t>
      </w:r>
      <w:r w:rsidRPr="00494DD6">
        <w:rPr>
          <w:szCs w:val="22"/>
        </w:rPr>
        <w:t xml:space="preserve"> </w:t>
      </w:r>
      <w:r w:rsidRPr="00B57641">
        <w:rPr>
          <w:szCs w:val="22"/>
        </w:rPr>
        <w:t>erfolgt</w:t>
      </w:r>
      <w:r w:rsidR="00B26DDC" w:rsidRPr="00B57641">
        <w:rPr>
          <w:szCs w:val="22"/>
        </w:rPr>
        <w:t>, die in Washington weite</w:t>
      </w:r>
      <w:r w:rsidR="00B26DDC" w:rsidRPr="00B57641">
        <w:rPr>
          <w:szCs w:val="22"/>
        </w:rPr>
        <w:t>r</w:t>
      </w:r>
      <w:r w:rsidR="00B26DDC" w:rsidRPr="00B57641">
        <w:rPr>
          <w:szCs w:val="22"/>
        </w:rPr>
        <w:t xml:space="preserve">hin </w:t>
      </w:r>
      <w:r>
        <w:rPr>
          <w:szCs w:val="22"/>
        </w:rPr>
        <w:t xml:space="preserve">und </w:t>
      </w:r>
      <w:r w:rsidR="001E2268">
        <w:rPr>
          <w:szCs w:val="22"/>
        </w:rPr>
        <w:t>mit Zero-Tolerance</w:t>
      </w:r>
      <w:r>
        <w:rPr>
          <w:szCs w:val="22"/>
        </w:rPr>
        <w:t xml:space="preserve"> </w:t>
      </w:r>
      <w:r w:rsidR="00B26DDC" w:rsidRPr="00B57641">
        <w:rPr>
          <w:szCs w:val="22"/>
        </w:rPr>
        <w:t>einer Tot</w:t>
      </w:r>
      <w:r w:rsidR="001E2268">
        <w:rPr>
          <w:szCs w:val="22"/>
        </w:rPr>
        <w:t xml:space="preserve">alprohibition unterstellt sind und </w:t>
      </w:r>
      <w:r w:rsidR="00F41DB0">
        <w:rPr>
          <w:szCs w:val="22"/>
        </w:rPr>
        <w:t xml:space="preserve">damit </w:t>
      </w:r>
      <w:r w:rsidR="001E2268">
        <w:rPr>
          <w:szCs w:val="22"/>
        </w:rPr>
        <w:t>als Ko</w:t>
      </w:r>
      <w:r w:rsidR="001E2268">
        <w:rPr>
          <w:szCs w:val="22"/>
        </w:rPr>
        <w:t>n</w:t>
      </w:r>
      <w:r w:rsidR="001E2268">
        <w:rPr>
          <w:szCs w:val="22"/>
        </w:rPr>
        <w:t>sumentengruppe nicht von den Effekten der Regulierung profitieren kann.</w:t>
      </w:r>
    </w:p>
    <w:p w14:paraId="13FFAA85" w14:textId="2F71CF96" w:rsidR="00B57641" w:rsidRDefault="00B26DDC" w:rsidP="00F41DB0">
      <w:pPr>
        <w:pStyle w:val="Listenabsatz"/>
        <w:numPr>
          <w:ilvl w:val="0"/>
          <w:numId w:val="24"/>
        </w:numPr>
        <w:spacing w:line="276" w:lineRule="auto"/>
        <w:jc w:val="both"/>
        <w:rPr>
          <w:szCs w:val="22"/>
        </w:rPr>
      </w:pPr>
      <w:r w:rsidRPr="00B57641">
        <w:rPr>
          <w:szCs w:val="22"/>
        </w:rPr>
        <w:t xml:space="preserve">Zwar </w:t>
      </w:r>
      <w:r w:rsidR="00B57641" w:rsidRPr="00B57641">
        <w:rPr>
          <w:szCs w:val="22"/>
        </w:rPr>
        <w:t xml:space="preserve">sind die Zahlen der Beschlagnahmungen </w:t>
      </w:r>
      <w:r w:rsidRPr="00B57641">
        <w:rPr>
          <w:szCs w:val="22"/>
        </w:rPr>
        <w:t xml:space="preserve">auch </w:t>
      </w:r>
      <w:r w:rsidR="00F41DB0">
        <w:rPr>
          <w:szCs w:val="22"/>
        </w:rPr>
        <w:t>unter</w:t>
      </w:r>
      <w:r w:rsidR="001E2268" w:rsidRPr="00B57641">
        <w:rPr>
          <w:szCs w:val="22"/>
        </w:rPr>
        <w:t xml:space="preserve"> 12-17-Jährigen </w:t>
      </w:r>
      <w:r w:rsidR="00B57641" w:rsidRPr="00B57641">
        <w:rPr>
          <w:szCs w:val="22"/>
        </w:rPr>
        <w:t>zurück gega</w:t>
      </w:r>
      <w:r w:rsidR="00B57641" w:rsidRPr="00B57641">
        <w:rPr>
          <w:szCs w:val="22"/>
        </w:rPr>
        <w:t>n</w:t>
      </w:r>
      <w:r w:rsidR="00B57641" w:rsidRPr="00B57641">
        <w:rPr>
          <w:szCs w:val="22"/>
        </w:rPr>
        <w:t>gen, dennoch gilt zur Kenntnis zu nehmen, dass die</w:t>
      </w:r>
      <w:r w:rsidR="001E2268">
        <w:rPr>
          <w:szCs w:val="22"/>
        </w:rPr>
        <w:t>se</w:t>
      </w:r>
      <w:r w:rsidR="00B57641" w:rsidRPr="00B57641">
        <w:rPr>
          <w:szCs w:val="22"/>
        </w:rPr>
        <w:t xml:space="preserve"> Gruppe im Jahr 2014 </w:t>
      </w:r>
      <w:r w:rsidR="001E2268">
        <w:rPr>
          <w:szCs w:val="22"/>
        </w:rPr>
        <w:t>am Zusta</w:t>
      </w:r>
      <w:r w:rsidR="001E2268">
        <w:rPr>
          <w:szCs w:val="22"/>
        </w:rPr>
        <w:t>n</w:t>
      </w:r>
      <w:r w:rsidR="001E2268">
        <w:rPr>
          <w:szCs w:val="22"/>
        </w:rPr>
        <w:t>dekommen von</w:t>
      </w:r>
      <w:r w:rsidR="00B57641" w:rsidRPr="00B57641">
        <w:rPr>
          <w:szCs w:val="22"/>
        </w:rPr>
        <w:t xml:space="preserve"> 74 %</w:t>
      </w:r>
      <w:r w:rsidR="00F41DB0">
        <w:rPr>
          <w:szCs w:val="22"/>
        </w:rPr>
        <w:t xml:space="preserve"> all</w:t>
      </w:r>
      <w:r w:rsidR="00B57641" w:rsidRPr="00B57641">
        <w:rPr>
          <w:szCs w:val="22"/>
        </w:rPr>
        <w:t>er Beschlagnahmungen beteiligt war (vgl. ebenda)(vgl. Abbi</w:t>
      </w:r>
      <w:r w:rsidR="00B57641" w:rsidRPr="00B57641">
        <w:rPr>
          <w:szCs w:val="22"/>
        </w:rPr>
        <w:t>l</w:t>
      </w:r>
      <w:r w:rsidR="00B57641" w:rsidRPr="00B57641">
        <w:rPr>
          <w:szCs w:val="22"/>
        </w:rPr>
        <w:t>dung</w:t>
      </w:r>
      <w:r w:rsidR="00572A48">
        <w:rPr>
          <w:szCs w:val="22"/>
        </w:rPr>
        <w:t xml:space="preserve"> 41)</w:t>
      </w:r>
      <w:r w:rsidR="00B57641" w:rsidRPr="00B57641">
        <w:rPr>
          <w:szCs w:val="22"/>
        </w:rPr>
        <w:t>.</w:t>
      </w:r>
    </w:p>
    <w:p w14:paraId="4228DFA2" w14:textId="31B674F3" w:rsidR="00B57641" w:rsidRPr="00B26DDC" w:rsidRDefault="001A7A32" w:rsidP="00B57641">
      <w:pPr>
        <w:rPr>
          <w:rFonts w:cs="Georgia"/>
          <w:szCs w:val="22"/>
        </w:rPr>
      </w:pPr>
      <w:r w:rsidRPr="00B26DDC">
        <w:rPr>
          <w:rFonts w:cs="Georgia"/>
          <w:szCs w:val="22"/>
        </w:rPr>
        <w:tab/>
      </w:r>
      <w:r w:rsidRPr="00B26DDC">
        <w:rPr>
          <w:rFonts w:cs="Georgia"/>
          <w:szCs w:val="22"/>
        </w:rPr>
        <w:tab/>
      </w:r>
    </w:p>
    <w:p w14:paraId="1A6A9B61" w14:textId="77777777" w:rsidR="00494DD6" w:rsidRDefault="00494DD6" w:rsidP="00494DD6">
      <w:pPr>
        <w:keepNext/>
        <w:spacing w:line="276" w:lineRule="auto"/>
        <w:jc w:val="both"/>
      </w:pPr>
      <w:r>
        <w:rPr>
          <w:noProof/>
        </w:rPr>
        <w:drawing>
          <wp:inline distT="0" distB="0" distL="0" distR="0" wp14:anchorId="2C66912A" wp14:editId="5E1E4126">
            <wp:extent cx="5756910" cy="2954020"/>
            <wp:effectExtent l="25400" t="25400" r="34290" b="1778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7-02-15 um 18.30.04.png"/>
                    <pic:cNvPicPr/>
                  </pic:nvPicPr>
                  <pic:blipFill>
                    <a:blip r:embed="rId122">
                      <a:extLst>
                        <a:ext uri="{28A0092B-C50C-407E-A947-70E740481C1C}">
                          <a14:useLocalDpi xmlns:a14="http://schemas.microsoft.com/office/drawing/2010/main" val="0"/>
                        </a:ext>
                      </a:extLst>
                    </a:blip>
                    <a:stretch>
                      <a:fillRect/>
                    </a:stretch>
                  </pic:blipFill>
                  <pic:spPr>
                    <a:xfrm>
                      <a:off x="0" y="0"/>
                      <a:ext cx="5756910" cy="2954020"/>
                    </a:xfrm>
                    <a:prstGeom prst="rect">
                      <a:avLst/>
                    </a:prstGeom>
                    <a:ln>
                      <a:solidFill>
                        <a:srgbClr val="000000"/>
                      </a:solidFill>
                    </a:ln>
                  </pic:spPr>
                </pic:pic>
              </a:graphicData>
            </a:graphic>
          </wp:inline>
        </w:drawing>
      </w:r>
    </w:p>
    <w:p w14:paraId="0160B722" w14:textId="6A2B814F" w:rsidR="001A7A32" w:rsidRDefault="00494DD6" w:rsidP="00494DD6">
      <w:pPr>
        <w:pStyle w:val="Beschriftung"/>
        <w:jc w:val="both"/>
      </w:pPr>
      <w:r>
        <w:t xml:space="preserve">Abbildung </w:t>
      </w:r>
      <w:fldSimple w:instr=" SEQ Abbildung \* ARABIC ">
        <w:r w:rsidR="00B86830">
          <w:rPr>
            <w:noProof/>
          </w:rPr>
          <w:t>42</w:t>
        </w:r>
      </w:fldSimple>
      <w:r>
        <w:t>: Gesamtzahl der Beschlagnahmungen von Marihuana nach Altersgruppen</w:t>
      </w:r>
      <w:r w:rsidR="00572A48">
        <w:t xml:space="preserve"> (vgl. Washington Impact Report 2016, S. 93)</w:t>
      </w:r>
    </w:p>
    <w:p w14:paraId="3376043F" w14:textId="6F442DC7" w:rsidR="00572A48" w:rsidRDefault="00572A48" w:rsidP="00F41DB0">
      <w:pPr>
        <w:pStyle w:val="Listenabsatz"/>
        <w:numPr>
          <w:ilvl w:val="0"/>
          <w:numId w:val="24"/>
        </w:numPr>
        <w:spacing w:line="276" w:lineRule="auto"/>
        <w:jc w:val="both"/>
        <w:rPr>
          <w:szCs w:val="22"/>
        </w:rPr>
      </w:pPr>
      <w:r>
        <w:rPr>
          <w:szCs w:val="22"/>
        </w:rPr>
        <w:t>Trotz strenger Auflagen für Produktion, Erzeugung und Handel konnte im Zuge der R</w:t>
      </w:r>
      <w:r>
        <w:rPr>
          <w:szCs w:val="22"/>
        </w:rPr>
        <w:t>e</w:t>
      </w:r>
      <w:r>
        <w:rPr>
          <w:szCs w:val="22"/>
        </w:rPr>
        <w:t>gulierung bisher nicht verhindert werden, dass in Washington angebautes Marihuana in 43 weiteren Bundesstaaten beschlagnahmt wurde; der Bundesstaat damit weiterhin Li</w:t>
      </w:r>
      <w:r>
        <w:rPr>
          <w:szCs w:val="22"/>
        </w:rPr>
        <w:t>e</w:t>
      </w:r>
      <w:r>
        <w:rPr>
          <w:szCs w:val="22"/>
        </w:rPr>
        <w:t xml:space="preserve">ferant für praktisch die gesamte USA ist (ebenda) und </w:t>
      </w:r>
      <w:r w:rsidR="00F41DB0">
        <w:rPr>
          <w:szCs w:val="22"/>
        </w:rPr>
        <w:t>dafür</w:t>
      </w:r>
      <w:r>
        <w:rPr>
          <w:szCs w:val="22"/>
        </w:rPr>
        <w:t xml:space="preserve"> Transportwege auf den Straßen und Postversendungen </w:t>
      </w:r>
      <w:r w:rsidR="00F41DB0">
        <w:rPr>
          <w:szCs w:val="22"/>
        </w:rPr>
        <w:t>nutzte</w:t>
      </w:r>
      <w:r>
        <w:rPr>
          <w:szCs w:val="22"/>
        </w:rPr>
        <w:t>.</w:t>
      </w:r>
    </w:p>
    <w:p w14:paraId="6D91161F" w14:textId="52AB65E1" w:rsidR="00572A48" w:rsidRDefault="00572A48" w:rsidP="00F41DB0">
      <w:pPr>
        <w:spacing w:line="276" w:lineRule="auto"/>
        <w:jc w:val="both"/>
        <w:rPr>
          <w:szCs w:val="22"/>
        </w:rPr>
      </w:pPr>
      <w:r w:rsidRPr="00494DD6">
        <w:rPr>
          <w:szCs w:val="22"/>
        </w:rPr>
        <w:t xml:space="preserve">In den Berichten wird zudem darauf verwiesen, dass </w:t>
      </w:r>
      <w:r w:rsidR="00F41DB0">
        <w:rPr>
          <w:szCs w:val="22"/>
        </w:rPr>
        <w:t xml:space="preserve">durch die Regulierungsprozesse im </w:t>
      </w:r>
      <w:r w:rsidR="00F41DB0" w:rsidRPr="00494DD6">
        <w:rPr>
          <w:szCs w:val="22"/>
        </w:rPr>
        <w:t xml:space="preserve">Bereich </w:t>
      </w:r>
      <w:r w:rsidR="00F41DB0">
        <w:rPr>
          <w:szCs w:val="22"/>
        </w:rPr>
        <w:t>der</w:t>
      </w:r>
      <w:r w:rsidRPr="00494DD6">
        <w:rPr>
          <w:szCs w:val="22"/>
        </w:rPr>
        <w:t xml:space="preserve"> Strafverfolgung </w:t>
      </w:r>
      <w:r w:rsidR="00F41DB0">
        <w:rPr>
          <w:szCs w:val="22"/>
        </w:rPr>
        <w:t>höchste</w:t>
      </w:r>
      <w:r w:rsidRPr="00494DD6">
        <w:rPr>
          <w:szCs w:val="22"/>
        </w:rPr>
        <w:t xml:space="preserve"> Verunsicherungen </w:t>
      </w:r>
      <w:r>
        <w:rPr>
          <w:szCs w:val="22"/>
        </w:rPr>
        <w:t>für die</w:t>
      </w:r>
      <w:r w:rsidRPr="00494DD6">
        <w:rPr>
          <w:szCs w:val="22"/>
        </w:rPr>
        <w:t xml:space="preserve"> handelnden Personen </w:t>
      </w:r>
      <w:r w:rsidR="00F41DB0">
        <w:rPr>
          <w:szCs w:val="22"/>
        </w:rPr>
        <w:t>erzeugt wurden</w:t>
      </w:r>
      <w:r w:rsidRPr="00494DD6">
        <w:rPr>
          <w:szCs w:val="22"/>
        </w:rPr>
        <w:t xml:space="preserve">. </w:t>
      </w:r>
      <w:r w:rsidR="00F41DB0">
        <w:rPr>
          <w:szCs w:val="22"/>
        </w:rPr>
        <w:t xml:space="preserve">Auch nach </w:t>
      </w:r>
      <w:r w:rsidRPr="00494DD6">
        <w:rPr>
          <w:szCs w:val="22"/>
        </w:rPr>
        <w:t xml:space="preserve">zwei Jahren </w:t>
      </w:r>
      <w:r>
        <w:rPr>
          <w:szCs w:val="22"/>
        </w:rPr>
        <w:t xml:space="preserve">der Umsetzung drogenpolitischer Neuregelungen </w:t>
      </w:r>
      <w:r w:rsidR="00F41DB0">
        <w:rPr>
          <w:szCs w:val="22"/>
        </w:rPr>
        <w:t>existieren weiterhin</w:t>
      </w:r>
      <w:r w:rsidRPr="00494DD6">
        <w:rPr>
          <w:szCs w:val="22"/>
        </w:rPr>
        <w:t xml:space="preserve"> Irritationen über Strafverfolgungsziele, </w:t>
      </w:r>
      <w:r>
        <w:rPr>
          <w:szCs w:val="22"/>
        </w:rPr>
        <w:t xml:space="preserve">Kriterien dazu, </w:t>
      </w:r>
      <w:r w:rsidRPr="00494DD6">
        <w:rPr>
          <w:szCs w:val="22"/>
        </w:rPr>
        <w:t>wann Beschlagnahmung</w:t>
      </w:r>
      <w:r w:rsidR="00F41DB0">
        <w:rPr>
          <w:szCs w:val="22"/>
        </w:rPr>
        <w:t>en</w:t>
      </w:r>
      <w:r w:rsidRPr="00494DD6">
        <w:rPr>
          <w:szCs w:val="22"/>
        </w:rPr>
        <w:t xml:space="preserve"> und Verha</w:t>
      </w:r>
      <w:r w:rsidRPr="00494DD6">
        <w:rPr>
          <w:szCs w:val="22"/>
        </w:rPr>
        <w:t>f</w:t>
      </w:r>
      <w:r w:rsidRPr="00494DD6">
        <w:rPr>
          <w:szCs w:val="22"/>
        </w:rPr>
        <w:t>tung</w:t>
      </w:r>
      <w:r w:rsidR="00F41DB0">
        <w:rPr>
          <w:szCs w:val="22"/>
        </w:rPr>
        <w:t>en</w:t>
      </w:r>
      <w:r w:rsidRPr="00494DD6">
        <w:rPr>
          <w:szCs w:val="22"/>
        </w:rPr>
        <w:t xml:space="preserve"> angemessen </w:t>
      </w:r>
      <w:r>
        <w:rPr>
          <w:szCs w:val="22"/>
        </w:rPr>
        <w:t>sind</w:t>
      </w:r>
      <w:r w:rsidRPr="00494DD6">
        <w:rPr>
          <w:szCs w:val="22"/>
        </w:rPr>
        <w:t xml:space="preserve"> und </w:t>
      </w:r>
      <w:r w:rsidR="00F41DB0">
        <w:rPr>
          <w:szCs w:val="22"/>
        </w:rPr>
        <w:t>ob</w:t>
      </w:r>
      <w:r w:rsidRPr="00494DD6">
        <w:rPr>
          <w:szCs w:val="22"/>
        </w:rPr>
        <w:t xml:space="preserve"> überhaupt A</w:t>
      </w:r>
      <w:r>
        <w:rPr>
          <w:szCs w:val="22"/>
        </w:rPr>
        <w:t>nklagen eingereicht werden soll</w:t>
      </w:r>
      <w:r w:rsidRPr="00494DD6">
        <w:rPr>
          <w:szCs w:val="22"/>
        </w:rPr>
        <w:t>en. Viele Staatsa</w:t>
      </w:r>
      <w:r w:rsidRPr="00494DD6">
        <w:rPr>
          <w:szCs w:val="22"/>
        </w:rPr>
        <w:t>n</w:t>
      </w:r>
      <w:r w:rsidRPr="00494DD6">
        <w:rPr>
          <w:szCs w:val="22"/>
        </w:rPr>
        <w:t>wäl</w:t>
      </w:r>
      <w:r w:rsidR="00B05E62">
        <w:rPr>
          <w:szCs w:val="22"/>
        </w:rPr>
        <w:t>te hätt</w:t>
      </w:r>
      <w:r w:rsidRPr="00494DD6">
        <w:rPr>
          <w:szCs w:val="22"/>
        </w:rPr>
        <w:t>en abgelehnt, „Marihuana-Fälle“ zu verfolgen, wenn nicht extreme Umstände am Ta</w:t>
      </w:r>
      <w:r w:rsidRPr="00494DD6">
        <w:rPr>
          <w:szCs w:val="22"/>
        </w:rPr>
        <w:t>t</w:t>
      </w:r>
      <w:r w:rsidRPr="00494DD6">
        <w:rPr>
          <w:szCs w:val="22"/>
        </w:rPr>
        <w:t>hergang beteiligt waren</w:t>
      </w:r>
      <w:r>
        <w:rPr>
          <w:szCs w:val="22"/>
        </w:rPr>
        <w:t xml:space="preserve"> (ebenda)</w:t>
      </w:r>
      <w:r w:rsidRPr="00494DD6">
        <w:rPr>
          <w:szCs w:val="22"/>
        </w:rPr>
        <w:t>.</w:t>
      </w:r>
    </w:p>
    <w:p w14:paraId="720A972C" w14:textId="1A065077" w:rsidR="00572A48" w:rsidRDefault="00572A48" w:rsidP="00BE363F">
      <w:pPr>
        <w:pStyle w:val="berschrift2"/>
      </w:pPr>
      <w:bookmarkStart w:id="65" w:name="_Toc349300394"/>
      <w:r>
        <w:t>Das Beispiel Colorado</w:t>
      </w:r>
      <w:bookmarkEnd w:id="65"/>
    </w:p>
    <w:p w14:paraId="7FC3208A" w14:textId="230EA989" w:rsidR="00BE363F" w:rsidRDefault="00BE363F" w:rsidP="00BE363F">
      <w:pPr>
        <w:spacing w:line="276" w:lineRule="auto"/>
        <w:rPr>
          <w:szCs w:val="22"/>
        </w:rPr>
      </w:pPr>
      <w:r>
        <w:rPr>
          <w:szCs w:val="22"/>
        </w:rPr>
        <w:t xml:space="preserve">Auch im Bundesstaat Colorado hat der </w:t>
      </w:r>
      <w:r w:rsidR="00B05E62">
        <w:rPr>
          <w:szCs w:val="22"/>
        </w:rPr>
        <w:t>Start des</w:t>
      </w:r>
      <w:r>
        <w:rPr>
          <w:szCs w:val="22"/>
        </w:rPr>
        <w:t xml:space="preserve"> Regulierung</w:t>
      </w:r>
      <w:r w:rsidR="00B05E62">
        <w:rPr>
          <w:szCs w:val="22"/>
        </w:rPr>
        <w:t>sprozesses</w:t>
      </w:r>
      <w:r>
        <w:rPr>
          <w:szCs w:val="22"/>
        </w:rPr>
        <w:t xml:space="preserve"> umgehend zu einem enormen Rückgang der Strafverfolgung für </w:t>
      </w:r>
      <w:r w:rsidR="00B05E62">
        <w:rPr>
          <w:szCs w:val="22"/>
        </w:rPr>
        <w:t>Handlungen</w:t>
      </w:r>
      <w:r>
        <w:rPr>
          <w:szCs w:val="22"/>
        </w:rPr>
        <w:t xml:space="preserve"> in Zusammenhang mit Marihuana-Konsum geführt</w:t>
      </w:r>
      <w:r w:rsidR="00810790">
        <w:rPr>
          <w:szCs w:val="22"/>
        </w:rPr>
        <w:t xml:space="preserve"> (vgl. Abbildung 43)</w:t>
      </w:r>
      <w:r w:rsidR="00B05E62">
        <w:rPr>
          <w:szCs w:val="22"/>
        </w:rPr>
        <w:t>(Reed, a. a. O., S. 22)</w:t>
      </w:r>
      <w:r>
        <w:rPr>
          <w:szCs w:val="22"/>
        </w:rPr>
        <w:t>:</w:t>
      </w:r>
    </w:p>
    <w:p w14:paraId="2F6235CE" w14:textId="52B793D6" w:rsidR="00C84A89" w:rsidRPr="00C84608" w:rsidRDefault="00C84A89" w:rsidP="00C84608">
      <w:pPr>
        <w:pStyle w:val="Listenabsatz"/>
        <w:numPr>
          <w:ilvl w:val="0"/>
          <w:numId w:val="24"/>
        </w:numPr>
        <w:spacing w:line="276" w:lineRule="auto"/>
        <w:rPr>
          <w:szCs w:val="22"/>
        </w:rPr>
      </w:pPr>
      <w:r w:rsidRPr="00C84608">
        <w:rPr>
          <w:szCs w:val="22"/>
        </w:rPr>
        <w:t>Vor dem Beginn der Regulierung hatten Delikte in Zusammenhang mit dem Marihuana-Konsum einen Anteil von 6 % (2012) an allen Festnahmen. Diese Rate wurde mit dem Regulierungsprozess halbiert  (</w:t>
      </w:r>
      <w:r w:rsidR="00B05E62" w:rsidRPr="00C84608">
        <w:rPr>
          <w:szCs w:val="22"/>
        </w:rPr>
        <w:t>2014</w:t>
      </w:r>
      <w:r w:rsidR="00B05E62">
        <w:rPr>
          <w:szCs w:val="22"/>
        </w:rPr>
        <w:t xml:space="preserve"> = </w:t>
      </w:r>
      <w:r w:rsidRPr="00C84608">
        <w:rPr>
          <w:szCs w:val="22"/>
        </w:rPr>
        <w:t>3 %)</w:t>
      </w:r>
      <w:r w:rsidR="006F44FF">
        <w:rPr>
          <w:szCs w:val="22"/>
        </w:rPr>
        <w:t>(vgl. ebenda)</w:t>
      </w:r>
      <w:r w:rsidRPr="00C84608">
        <w:rPr>
          <w:szCs w:val="22"/>
        </w:rPr>
        <w:t xml:space="preserve">. </w:t>
      </w:r>
    </w:p>
    <w:p w14:paraId="25334D5A" w14:textId="497FEE61" w:rsidR="00C84608" w:rsidRDefault="00BE363F" w:rsidP="00BE363F">
      <w:pPr>
        <w:pStyle w:val="Listenabsatz"/>
        <w:numPr>
          <w:ilvl w:val="0"/>
          <w:numId w:val="24"/>
        </w:numPr>
        <w:spacing w:line="276" w:lineRule="auto"/>
        <w:rPr>
          <w:szCs w:val="22"/>
        </w:rPr>
      </w:pPr>
      <w:r w:rsidRPr="00C84608">
        <w:rPr>
          <w:szCs w:val="22"/>
        </w:rPr>
        <w:t xml:space="preserve">Die Gesamtzahl der Verhaftungen in Zusammenhang mit Marihuana-Konsum nahm </w:t>
      </w:r>
      <w:r w:rsidR="00C84A89" w:rsidRPr="00C84608">
        <w:rPr>
          <w:szCs w:val="22"/>
        </w:rPr>
        <w:t>um 47</w:t>
      </w:r>
      <w:r w:rsidRPr="00C84608">
        <w:rPr>
          <w:szCs w:val="22"/>
        </w:rPr>
        <w:t xml:space="preserve"> % ab (von </w:t>
      </w:r>
      <w:r w:rsidR="00B05E62">
        <w:rPr>
          <w:szCs w:val="22"/>
        </w:rPr>
        <w:t xml:space="preserve">2012 = </w:t>
      </w:r>
      <w:r w:rsidRPr="00C84608">
        <w:rPr>
          <w:szCs w:val="22"/>
        </w:rPr>
        <w:t>12.894</w:t>
      </w:r>
      <w:r w:rsidR="00B05E62">
        <w:rPr>
          <w:szCs w:val="22"/>
        </w:rPr>
        <w:t xml:space="preserve">, 2014 = </w:t>
      </w:r>
      <w:r w:rsidRPr="00C84608">
        <w:rPr>
          <w:szCs w:val="22"/>
        </w:rPr>
        <w:t>7.004</w:t>
      </w:r>
      <w:r w:rsidR="00DA7D09" w:rsidRPr="00C84608">
        <w:rPr>
          <w:szCs w:val="22"/>
        </w:rPr>
        <w:t xml:space="preserve"> Fälle)(vgl. </w:t>
      </w:r>
      <w:r w:rsidR="007C55FB">
        <w:rPr>
          <w:szCs w:val="22"/>
        </w:rPr>
        <w:t>Reed, a. a. O.,</w:t>
      </w:r>
      <w:r w:rsidR="00DA7D09" w:rsidRPr="00C84608">
        <w:rPr>
          <w:szCs w:val="22"/>
        </w:rPr>
        <w:t xml:space="preserve"> S. 6)</w:t>
      </w:r>
      <w:r w:rsidRPr="00C84608">
        <w:rPr>
          <w:szCs w:val="22"/>
        </w:rPr>
        <w:t xml:space="preserve">. </w:t>
      </w:r>
      <w:r w:rsidR="00C84A89" w:rsidRPr="00C84608">
        <w:rPr>
          <w:szCs w:val="22"/>
        </w:rPr>
        <w:t xml:space="preserve">Die größten Rückgänge erfolgten bei Verhaftungen </w:t>
      </w:r>
      <w:r w:rsidR="00DA7D09" w:rsidRPr="00C84608">
        <w:rPr>
          <w:szCs w:val="22"/>
        </w:rPr>
        <w:t xml:space="preserve">wegen </w:t>
      </w:r>
      <w:r w:rsidRPr="00C84608">
        <w:rPr>
          <w:szCs w:val="22"/>
        </w:rPr>
        <w:t>Marihuana-Besitz</w:t>
      </w:r>
      <w:r w:rsidR="00DA7D09" w:rsidRPr="00C84608">
        <w:rPr>
          <w:szCs w:val="22"/>
        </w:rPr>
        <w:t xml:space="preserve">, die mit der Regulierung </w:t>
      </w:r>
      <w:r w:rsidRPr="00C84608">
        <w:rPr>
          <w:szCs w:val="22"/>
        </w:rPr>
        <w:t>fast halbiert</w:t>
      </w:r>
      <w:r w:rsidR="00DA7D09" w:rsidRPr="00C84608">
        <w:rPr>
          <w:szCs w:val="22"/>
        </w:rPr>
        <w:t xml:space="preserve"> wurden</w:t>
      </w:r>
      <w:r w:rsidR="00C84A89" w:rsidRPr="00C84608">
        <w:rPr>
          <w:szCs w:val="22"/>
        </w:rPr>
        <w:t xml:space="preserve"> (</w:t>
      </w:r>
      <w:r w:rsidR="00B05E62">
        <w:rPr>
          <w:szCs w:val="22"/>
        </w:rPr>
        <w:t xml:space="preserve">2014 = - </w:t>
      </w:r>
      <w:r w:rsidR="00C84A89" w:rsidRPr="00C84608">
        <w:rPr>
          <w:szCs w:val="22"/>
        </w:rPr>
        <w:t xml:space="preserve">49 </w:t>
      </w:r>
      <w:r w:rsidRPr="00C84608">
        <w:rPr>
          <w:szCs w:val="22"/>
        </w:rPr>
        <w:t>%)</w:t>
      </w:r>
      <w:r w:rsidR="00DA7D09" w:rsidRPr="00C84608">
        <w:rPr>
          <w:szCs w:val="22"/>
        </w:rPr>
        <w:t>, auch</w:t>
      </w:r>
      <w:r w:rsidRPr="00C84608">
        <w:rPr>
          <w:szCs w:val="22"/>
        </w:rPr>
        <w:t xml:space="preserve"> </w:t>
      </w:r>
      <w:r w:rsidR="00DA7D09" w:rsidRPr="00C84608">
        <w:rPr>
          <w:szCs w:val="22"/>
        </w:rPr>
        <w:t>Verhaftungen wegen des Verkaufs von Mar</w:t>
      </w:r>
      <w:r w:rsidR="00DA7D09" w:rsidRPr="00C84608">
        <w:rPr>
          <w:szCs w:val="22"/>
        </w:rPr>
        <w:t>i</w:t>
      </w:r>
      <w:r w:rsidR="00DA7D09" w:rsidRPr="00C84608">
        <w:rPr>
          <w:szCs w:val="22"/>
        </w:rPr>
        <w:t>h</w:t>
      </w:r>
      <w:r w:rsidRPr="00C84608">
        <w:rPr>
          <w:szCs w:val="22"/>
        </w:rPr>
        <w:t xml:space="preserve">uana verringerte sich </w:t>
      </w:r>
      <w:r w:rsidR="00DA7D09" w:rsidRPr="00C84608">
        <w:rPr>
          <w:szCs w:val="22"/>
        </w:rPr>
        <w:t>deutlich (</w:t>
      </w:r>
      <w:r w:rsidR="00B05E62">
        <w:rPr>
          <w:szCs w:val="22"/>
        </w:rPr>
        <w:t xml:space="preserve">2014 = - </w:t>
      </w:r>
      <w:r w:rsidRPr="00C84608">
        <w:rPr>
          <w:szCs w:val="22"/>
        </w:rPr>
        <w:t>24</w:t>
      </w:r>
      <w:r w:rsidR="00DA7D09" w:rsidRPr="00C84608">
        <w:rPr>
          <w:szCs w:val="22"/>
        </w:rPr>
        <w:t xml:space="preserve"> </w:t>
      </w:r>
      <w:r w:rsidRPr="00C84608">
        <w:rPr>
          <w:szCs w:val="22"/>
        </w:rPr>
        <w:t>%</w:t>
      </w:r>
      <w:r w:rsidR="00DA7D09" w:rsidRPr="00C84608">
        <w:rPr>
          <w:szCs w:val="22"/>
        </w:rPr>
        <w:t>), genauso wie Verhaftungen in Zusa</w:t>
      </w:r>
      <w:r w:rsidR="00DA7D09" w:rsidRPr="00C84608">
        <w:rPr>
          <w:szCs w:val="22"/>
        </w:rPr>
        <w:t>m</w:t>
      </w:r>
      <w:r w:rsidR="00DA7D09" w:rsidRPr="00C84608">
        <w:rPr>
          <w:szCs w:val="22"/>
        </w:rPr>
        <w:t xml:space="preserve">menhang mit Marihuana, die nicht </w:t>
      </w:r>
      <w:r w:rsidR="00C84608" w:rsidRPr="00C84608">
        <w:rPr>
          <w:szCs w:val="22"/>
        </w:rPr>
        <w:t xml:space="preserve">weiter </w:t>
      </w:r>
      <w:r w:rsidR="00DA7D09" w:rsidRPr="00C84608">
        <w:rPr>
          <w:szCs w:val="22"/>
        </w:rPr>
        <w:t>spezifiziert wurden (</w:t>
      </w:r>
      <w:r w:rsidR="00B05E62">
        <w:rPr>
          <w:szCs w:val="22"/>
        </w:rPr>
        <w:t>2014 =</w:t>
      </w:r>
      <w:r w:rsidR="00DA7D09" w:rsidRPr="00C84608">
        <w:rPr>
          <w:szCs w:val="22"/>
        </w:rPr>
        <w:t xml:space="preserve"> </w:t>
      </w:r>
      <w:r w:rsidR="00B05E62">
        <w:rPr>
          <w:szCs w:val="22"/>
        </w:rPr>
        <w:t xml:space="preserve">- </w:t>
      </w:r>
      <w:r w:rsidR="00DA7D09" w:rsidRPr="00C84608">
        <w:rPr>
          <w:szCs w:val="22"/>
        </w:rPr>
        <w:t>42</w:t>
      </w:r>
      <w:r w:rsidR="00C17576">
        <w:rPr>
          <w:szCs w:val="22"/>
        </w:rPr>
        <w:t xml:space="preserve"> </w:t>
      </w:r>
      <w:r w:rsidR="00DA7D09" w:rsidRPr="00C84608">
        <w:rPr>
          <w:szCs w:val="22"/>
        </w:rPr>
        <w:t xml:space="preserve">%). </w:t>
      </w:r>
      <w:r w:rsidR="00C84A89" w:rsidRPr="00C84608">
        <w:rPr>
          <w:szCs w:val="22"/>
        </w:rPr>
        <w:t xml:space="preserve">Von den Regulierungen </w:t>
      </w:r>
      <w:r w:rsidR="00B05E62">
        <w:rPr>
          <w:szCs w:val="22"/>
        </w:rPr>
        <w:t xml:space="preserve">wurden </w:t>
      </w:r>
      <w:r w:rsidR="00C84A89" w:rsidRPr="00C84608">
        <w:rPr>
          <w:szCs w:val="22"/>
        </w:rPr>
        <w:t xml:space="preserve">die ohnehin sehr geringen Verhaftungszahlen in Zusammenhang mit der </w:t>
      </w:r>
      <w:r w:rsidRPr="00C84608">
        <w:rPr>
          <w:szCs w:val="22"/>
        </w:rPr>
        <w:t>Produkti</w:t>
      </w:r>
      <w:r w:rsidR="00C84608" w:rsidRPr="00C84608">
        <w:rPr>
          <w:szCs w:val="22"/>
        </w:rPr>
        <w:t>on, dem</w:t>
      </w:r>
      <w:r w:rsidR="00C84A89" w:rsidRPr="00C84608">
        <w:rPr>
          <w:szCs w:val="22"/>
        </w:rPr>
        <w:t xml:space="preserve"> Verkauf und dem Schmuggel </w:t>
      </w:r>
      <w:r w:rsidRPr="00C84608">
        <w:rPr>
          <w:szCs w:val="22"/>
        </w:rPr>
        <w:t>von Marihuana</w:t>
      </w:r>
      <w:r w:rsidR="00B05E62" w:rsidRPr="00B05E62">
        <w:rPr>
          <w:szCs w:val="22"/>
        </w:rPr>
        <w:t xml:space="preserve"> </w:t>
      </w:r>
      <w:r w:rsidR="00B05E62" w:rsidRPr="00C84608">
        <w:rPr>
          <w:szCs w:val="22"/>
        </w:rPr>
        <w:t>kaum tangiert</w:t>
      </w:r>
      <w:r w:rsidR="00B05E62">
        <w:rPr>
          <w:szCs w:val="22"/>
        </w:rPr>
        <w:t>. Auch diese sanken</w:t>
      </w:r>
      <w:r w:rsidR="00C84A89" w:rsidRPr="00C84608">
        <w:rPr>
          <w:szCs w:val="22"/>
        </w:rPr>
        <w:t xml:space="preserve">, </w:t>
      </w:r>
      <w:r w:rsidR="000C2060">
        <w:rPr>
          <w:szCs w:val="22"/>
        </w:rPr>
        <w:t xml:space="preserve"> wenn auch</w:t>
      </w:r>
      <w:r w:rsidR="00C84A89" w:rsidRPr="00C84608">
        <w:rPr>
          <w:szCs w:val="22"/>
        </w:rPr>
        <w:t xml:space="preserve"> kaum</w:t>
      </w:r>
      <w:r w:rsidRPr="00C84608">
        <w:rPr>
          <w:szCs w:val="22"/>
        </w:rPr>
        <w:t xml:space="preserve"> merk</w:t>
      </w:r>
      <w:r w:rsidR="00C84A89" w:rsidRPr="00C84608">
        <w:rPr>
          <w:szCs w:val="22"/>
        </w:rPr>
        <w:t>lich (</w:t>
      </w:r>
      <w:r w:rsidR="00B05E62">
        <w:rPr>
          <w:szCs w:val="22"/>
        </w:rPr>
        <w:t xml:space="preserve">2014 = </w:t>
      </w:r>
      <w:r w:rsidR="00C84A89" w:rsidRPr="00C84608">
        <w:rPr>
          <w:szCs w:val="22"/>
        </w:rPr>
        <w:t xml:space="preserve">5 </w:t>
      </w:r>
      <w:r w:rsidRPr="00C84608">
        <w:rPr>
          <w:szCs w:val="22"/>
        </w:rPr>
        <w:t>%)</w:t>
      </w:r>
      <w:r w:rsidR="006F44FF">
        <w:rPr>
          <w:szCs w:val="22"/>
        </w:rPr>
        <w:t>(vgl. ebenda)</w:t>
      </w:r>
      <w:r w:rsidRPr="00C84608">
        <w:rPr>
          <w:szCs w:val="22"/>
        </w:rPr>
        <w:t xml:space="preserve">. </w:t>
      </w:r>
    </w:p>
    <w:p w14:paraId="7BA7E8BA" w14:textId="5B2ABCAD" w:rsidR="001F071B" w:rsidRDefault="00C84608" w:rsidP="00BE363F">
      <w:pPr>
        <w:pStyle w:val="Listenabsatz"/>
        <w:numPr>
          <w:ilvl w:val="0"/>
          <w:numId w:val="24"/>
        </w:numPr>
        <w:spacing w:line="276" w:lineRule="auto"/>
        <w:rPr>
          <w:szCs w:val="22"/>
        </w:rPr>
      </w:pPr>
      <w:r w:rsidRPr="001F071B">
        <w:rPr>
          <w:szCs w:val="22"/>
        </w:rPr>
        <w:t>In den Jahren 2012-2015 vollzogen sich drastische Entwicklungen in Bezug auf die A</w:t>
      </w:r>
      <w:r w:rsidRPr="001F071B">
        <w:rPr>
          <w:szCs w:val="22"/>
        </w:rPr>
        <w:t>b</w:t>
      </w:r>
      <w:r w:rsidRPr="001F071B">
        <w:rPr>
          <w:szCs w:val="22"/>
        </w:rPr>
        <w:t xml:space="preserve">lehnung einer Anklageerhebung in Zusammenhang mit </w:t>
      </w:r>
      <w:r w:rsidR="00BE363F" w:rsidRPr="001F071B">
        <w:rPr>
          <w:szCs w:val="22"/>
        </w:rPr>
        <w:t>Marihuana</w:t>
      </w:r>
      <w:r w:rsidRPr="001F071B">
        <w:rPr>
          <w:szCs w:val="22"/>
        </w:rPr>
        <w:t xml:space="preserve">: Im Vergleich zu Prä-Regulierung 2012 wurden 2015 </w:t>
      </w:r>
      <w:r w:rsidR="00BE363F" w:rsidRPr="001F071B">
        <w:rPr>
          <w:szCs w:val="22"/>
        </w:rPr>
        <w:t>81</w:t>
      </w:r>
      <w:r w:rsidR="00B05E62">
        <w:rPr>
          <w:szCs w:val="22"/>
        </w:rPr>
        <w:t xml:space="preserve"> </w:t>
      </w:r>
      <w:r w:rsidR="00BE363F" w:rsidRPr="001F071B">
        <w:rPr>
          <w:szCs w:val="22"/>
        </w:rPr>
        <w:t xml:space="preserve">% </w:t>
      </w:r>
      <w:r w:rsidRPr="001F071B">
        <w:rPr>
          <w:szCs w:val="22"/>
        </w:rPr>
        <w:t xml:space="preserve">aller Anklageerhebungen </w:t>
      </w:r>
      <w:r w:rsidR="000C2060" w:rsidRPr="001F071B">
        <w:rPr>
          <w:szCs w:val="22"/>
        </w:rPr>
        <w:t xml:space="preserve">durch die Gerichte </w:t>
      </w:r>
      <w:r w:rsidRPr="001F071B">
        <w:rPr>
          <w:szCs w:val="22"/>
        </w:rPr>
        <w:t>abg</w:t>
      </w:r>
      <w:r w:rsidRPr="001F071B">
        <w:rPr>
          <w:szCs w:val="22"/>
        </w:rPr>
        <w:t>e</w:t>
      </w:r>
      <w:r w:rsidRPr="001F071B">
        <w:rPr>
          <w:szCs w:val="22"/>
        </w:rPr>
        <w:t>lehnt (</w:t>
      </w:r>
      <w:r w:rsidR="00B05E62" w:rsidRPr="001F071B">
        <w:rPr>
          <w:szCs w:val="22"/>
        </w:rPr>
        <w:t>2012</w:t>
      </w:r>
      <w:r w:rsidR="00B05E62">
        <w:rPr>
          <w:szCs w:val="22"/>
        </w:rPr>
        <w:t xml:space="preserve"> = </w:t>
      </w:r>
      <w:r w:rsidRPr="001F071B">
        <w:rPr>
          <w:szCs w:val="22"/>
        </w:rPr>
        <w:t xml:space="preserve">10.340, </w:t>
      </w:r>
      <w:r w:rsidR="00B05E62" w:rsidRPr="001F071B">
        <w:rPr>
          <w:szCs w:val="22"/>
        </w:rPr>
        <w:t>2015</w:t>
      </w:r>
      <w:r w:rsidR="00B05E62">
        <w:rPr>
          <w:szCs w:val="22"/>
        </w:rPr>
        <w:t xml:space="preserve"> = </w:t>
      </w:r>
      <w:r w:rsidRPr="001F071B">
        <w:rPr>
          <w:szCs w:val="22"/>
        </w:rPr>
        <w:t>1.954)</w:t>
      </w:r>
      <w:r w:rsidR="006F44FF">
        <w:rPr>
          <w:szCs w:val="22"/>
        </w:rPr>
        <w:t>(vgl. ebenda)</w:t>
      </w:r>
      <w:r w:rsidRPr="001F071B">
        <w:rPr>
          <w:szCs w:val="22"/>
        </w:rPr>
        <w:t xml:space="preserve">. </w:t>
      </w:r>
    </w:p>
    <w:p w14:paraId="6060FEC2" w14:textId="7A37E846" w:rsidR="006F44FF" w:rsidRPr="00B05E62" w:rsidRDefault="00B05E62" w:rsidP="00BE363F">
      <w:pPr>
        <w:pStyle w:val="Listenabsatz"/>
        <w:numPr>
          <w:ilvl w:val="0"/>
          <w:numId w:val="24"/>
        </w:numPr>
        <w:spacing w:line="276" w:lineRule="auto"/>
        <w:jc w:val="both"/>
        <w:rPr>
          <w:szCs w:val="22"/>
        </w:rPr>
      </w:pPr>
      <w:r w:rsidRPr="00B05E62">
        <w:rPr>
          <w:szCs w:val="22"/>
        </w:rPr>
        <w:t>Sinkende Fallzahlen der Strafverfolgung betrafen alle Dimensionen von Straftaten: s</w:t>
      </w:r>
      <w:r w:rsidRPr="00B05E62">
        <w:rPr>
          <w:szCs w:val="22"/>
        </w:rPr>
        <w:t>o</w:t>
      </w:r>
      <w:r w:rsidRPr="00B05E62">
        <w:rPr>
          <w:szCs w:val="22"/>
        </w:rPr>
        <w:t>wohl Anzeigen von Verbrechenstatbeständen in Zusammenhang mit Marihuana, Anze</w:t>
      </w:r>
      <w:r w:rsidRPr="00B05E62">
        <w:rPr>
          <w:szCs w:val="22"/>
        </w:rPr>
        <w:t>i</w:t>
      </w:r>
      <w:r w:rsidRPr="00B05E62">
        <w:rPr>
          <w:szCs w:val="22"/>
        </w:rPr>
        <w:t xml:space="preserve">gen von Vergehen und von Delikten, die als geringfügige Straftaten einzuordnen waren, sowie Vorladungen wegen Marihuana-Besitz: </w:t>
      </w:r>
      <w:r w:rsidR="00BE363F" w:rsidRPr="00B05E62">
        <w:rPr>
          <w:szCs w:val="22"/>
        </w:rPr>
        <w:t xml:space="preserve">Die Zahl der </w:t>
      </w:r>
      <w:r w:rsidR="001F071B" w:rsidRPr="00B05E62">
        <w:rPr>
          <w:szCs w:val="22"/>
        </w:rPr>
        <w:t>Anzeigen von Verbrechen</w:t>
      </w:r>
      <w:r w:rsidR="001F071B" w:rsidRPr="00B05E62">
        <w:rPr>
          <w:szCs w:val="22"/>
        </w:rPr>
        <w:t>s</w:t>
      </w:r>
      <w:r w:rsidR="001F071B" w:rsidRPr="00B05E62">
        <w:rPr>
          <w:szCs w:val="22"/>
        </w:rPr>
        <w:t>tatbeständen</w:t>
      </w:r>
      <w:r w:rsidR="006F44FF" w:rsidRPr="00B05E62">
        <w:rPr>
          <w:szCs w:val="22"/>
        </w:rPr>
        <w:t xml:space="preserve"> in Zusammenhang mit Marihuana</w:t>
      </w:r>
      <w:r w:rsidR="001F071B" w:rsidRPr="00B05E62">
        <w:rPr>
          <w:szCs w:val="22"/>
        </w:rPr>
        <w:t xml:space="preserve"> </w:t>
      </w:r>
      <w:r w:rsidR="00BE363F" w:rsidRPr="00B05E62">
        <w:rPr>
          <w:szCs w:val="22"/>
        </w:rPr>
        <w:t>sank um 45</w:t>
      </w:r>
      <w:r w:rsidR="001F071B" w:rsidRPr="00B05E62">
        <w:rPr>
          <w:szCs w:val="22"/>
        </w:rPr>
        <w:t xml:space="preserve"> </w:t>
      </w:r>
      <w:r w:rsidR="00BE363F" w:rsidRPr="00B05E62">
        <w:rPr>
          <w:szCs w:val="22"/>
        </w:rPr>
        <w:t>% (</w:t>
      </w:r>
      <w:r w:rsidRPr="00B05E62">
        <w:rPr>
          <w:szCs w:val="22"/>
        </w:rPr>
        <w:t xml:space="preserve">2012 = </w:t>
      </w:r>
      <w:r w:rsidR="00BE363F" w:rsidRPr="00B05E62">
        <w:rPr>
          <w:szCs w:val="22"/>
        </w:rPr>
        <w:t>1.023</w:t>
      </w:r>
      <w:r w:rsidR="001F071B" w:rsidRPr="00B05E62">
        <w:rPr>
          <w:szCs w:val="22"/>
        </w:rPr>
        <w:t xml:space="preserve">, </w:t>
      </w:r>
      <w:r w:rsidRPr="00B05E62">
        <w:rPr>
          <w:szCs w:val="22"/>
        </w:rPr>
        <w:t xml:space="preserve">2015 = </w:t>
      </w:r>
      <w:r w:rsidR="00BE363F" w:rsidRPr="00B05E62">
        <w:rPr>
          <w:szCs w:val="22"/>
        </w:rPr>
        <w:t xml:space="preserve">566), </w:t>
      </w:r>
      <w:r w:rsidR="001F071B" w:rsidRPr="00B05E62">
        <w:rPr>
          <w:szCs w:val="22"/>
        </w:rPr>
        <w:t xml:space="preserve">Anzeigen </w:t>
      </w:r>
      <w:r w:rsidRPr="00B05E62">
        <w:rPr>
          <w:szCs w:val="22"/>
        </w:rPr>
        <w:t xml:space="preserve">vom Niveau eines </w:t>
      </w:r>
      <w:r w:rsidR="00BE363F" w:rsidRPr="00B05E62">
        <w:rPr>
          <w:szCs w:val="22"/>
        </w:rPr>
        <w:t>Vergehen</w:t>
      </w:r>
      <w:r w:rsidRPr="00B05E62">
        <w:rPr>
          <w:szCs w:val="22"/>
        </w:rPr>
        <w:t>s</w:t>
      </w:r>
      <w:r w:rsidR="00BE363F" w:rsidRPr="00B05E62">
        <w:rPr>
          <w:szCs w:val="22"/>
        </w:rPr>
        <w:t xml:space="preserve"> </w:t>
      </w:r>
      <w:r w:rsidR="001F071B" w:rsidRPr="00B05E62">
        <w:rPr>
          <w:szCs w:val="22"/>
        </w:rPr>
        <w:t xml:space="preserve">um </w:t>
      </w:r>
      <w:r w:rsidR="00BE363F" w:rsidRPr="00B05E62">
        <w:rPr>
          <w:szCs w:val="22"/>
        </w:rPr>
        <w:t>1% (</w:t>
      </w:r>
      <w:r w:rsidRPr="00B05E62">
        <w:rPr>
          <w:szCs w:val="22"/>
        </w:rPr>
        <w:t xml:space="preserve">2012 = </w:t>
      </w:r>
      <w:r w:rsidR="00BE363F" w:rsidRPr="00B05E62">
        <w:rPr>
          <w:szCs w:val="22"/>
        </w:rPr>
        <w:t>586</w:t>
      </w:r>
      <w:r w:rsidR="001F071B" w:rsidRPr="00B05E62">
        <w:rPr>
          <w:szCs w:val="22"/>
        </w:rPr>
        <w:t>,</w:t>
      </w:r>
      <w:r w:rsidR="00BE363F" w:rsidRPr="00B05E62">
        <w:rPr>
          <w:szCs w:val="22"/>
        </w:rPr>
        <w:t xml:space="preserve"> </w:t>
      </w:r>
      <w:r w:rsidRPr="00B05E62">
        <w:rPr>
          <w:szCs w:val="22"/>
        </w:rPr>
        <w:t xml:space="preserve">2015 = </w:t>
      </w:r>
      <w:r w:rsidR="00BE363F" w:rsidRPr="00B05E62">
        <w:rPr>
          <w:szCs w:val="22"/>
        </w:rPr>
        <w:t xml:space="preserve">409), </w:t>
      </w:r>
      <w:r w:rsidR="006F44FF" w:rsidRPr="00B05E62">
        <w:rPr>
          <w:szCs w:val="22"/>
        </w:rPr>
        <w:t xml:space="preserve">Anzeigen von </w:t>
      </w:r>
      <w:r w:rsidR="001F071B" w:rsidRPr="00B05E62">
        <w:rPr>
          <w:szCs w:val="22"/>
        </w:rPr>
        <w:t>Delikte</w:t>
      </w:r>
      <w:r w:rsidR="006F44FF" w:rsidRPr="00B05E62">
        <w:rPr>
          <w:szCs w:val="22"/>
        </w:rPr>
        <w:t>n</w:t>
      </w:r>
      <w:r w:rsidR="001F071B" w:rsidRPr="00B05E62">
        <w:rPr>
          <w:szCs w:val="22"/>
        </w:rPr>
        <w:t xml:space="preserve">, die als </w:t>
      </w:r>
      <w:r w:rsidR="00BE363F" w:rsidRPr="00B05E62">
        <w:rPr>
          <w:szCs w:val="22"/>
        </w:rPr>
        <w:t xml:space="preserve">geringfügige Straftaten </w:t>
      </w:r>
      <w:r w:rsidR="001F071B" w:rsidRPr="00B05E62">
        <w:rPr>
          <w:szCs w:val="22"/>
        </w:rPr>
        <w:t>einzuordnen waren</w:t>
      </w:r>
      <w:r w:rsidR="006F44FF" w:rsidRPr="00B05E62">
        <w:rPr>
          <w:szCs w:val="22"/>
        </w:rPr>
        <w:t>,</w:t>
      </w:r>
      <w:r w:rsidR="001F071B" w:rsidRPr="00B05E62">
        <w:rPr>
          <w:szCs w:val="22"/>
        </w:rPr>
        <w:t xml:space="preserve"> </w:t>
      </w:r>
      <w:r w:rsidR="00BE363F" w:rsidRPr="00B05E62">
        <w:rPr>
          <w:szCs w:val="22"/>
        </w:rPr>
        <w:t>um 89</w:t>
      </w:r>
      <w:r w:rsidR="001F071B" w:rsidRPr="00B05E62">
        <w:rPr>
          <w:szCs w:val="22"/>
        </w:rPr>
        <w:t xml:space="preserve"> </w:t>
      </w:r>
      <w:r w:rsidR="00BE363F" w:rsidRPr="00B05E62">
        <w:rPr>
          <w:szCs w:val="22"/>
        </w:rPr>
        <w:t>% (8.728</w:t>
      </w:r>
      <w:r w:rsidR="00395A2D" w:rsidRPr="00B05E62">
        <w:rPr>
          <w:szCs w:val="22"/>
        </w:rPr>
        <w:t xml:space="preserve"> </w:t>
      </w:r>
      <w:r w:rsidR="001F071B" w:rsidRPr="00B05E62">
        <w:rPr>
          <w:szCs w:val="22"/>
        </w:rPr>
        <w:t>=</w:t>
      </w:r>
      <w:r w:rsidR="00395A2D" w:rsidRPr="00B05E62">
        <w:rPr>
          <w:szCs w:val="22"/>
        </w:rPr>
        <w:t xml:space="preserve"> </w:t>
      </w:r>
      <w:r w:rsidR="001F071B" w:rsidRPr="00B05E62">
        <w:rPr>
          <w:szCs w:val="22"/>
        </w:rPr>
        <w:t>21012,</w:t>
      </w:r>
      <w:r w:rsidR="00BE363F" w:rsidRPr="00B05E62">
        <w:rPr>
          <w:szCs w:val="22"/>
        </w:rPr>
        <w:t xml:space="preserve"> 979</w:t>
      </w:r>
      <w:r w:rsidR="00395A2D" w:rsidRPr="00B05E62">
        <w:rPr>
          <w:szCs w:val="22"/>
        </w:rPr>
        <w:t xml:space="preserve"> </w:t>
      </w:r>
      <w:r w:rsidR="001F071B" w:rsidRPr="00B05E62">
        <w:rPr>
          <w:szCs w:val="22"/>
        </w:rPr>
        <w:t>=</w:t>
      </w:r>
      <w:r w:rsidR="00395A2D" w:rsidRPr="00B05E62">
        <w:rPr>
          <w:szCs w:val="22"/>
        </w:rPr>
        <w:t xml:space="preserve"> </w:t>
      </w:r>
      <w:r w:rsidR="001F071B" w:rsidRPr="00B05E62">
        <w:rPr>
          <w:szCs w:val="22"/>
        </w:rPr>
        <w:t>2015</w:t>
      </w:r>
      <w:r w:rsidR="00BE363F" w:rsidRPr="00B05E62">
        <w:rPr>
          <w:szCs w:val="22"/>
        </w:rPr>
        <w:t>)</w:t>
      </w:r>
      <w:r w:rsidR="001F071B" w:rsidRPr="00B05E62">
        <w:rPr>
          <w:szCs w:val="22"/>
        </w:rPr>
        <w:t xml:space="preserve"> und Vorl</w:t>
      </w:r>
      <w:r w:rsidR="00BE363F" w:rsidRPr="00B05E62">
        <w:rPr>
          <w:szCs w:val="22"/>
        </w:rPr>
        <w:t>adung</w:t>
      </w:r>
      <w:r w:rsidR="001F071B" w:rsidRPr="00B05E62">
        <w:rPr>
          <w:szCs w:val="22"/>
        </w:rPr>
        <w:t xml:space="preserve">en wegen </w:t>
      </w:r>
      <w:r w:rsidR="00BE363F" w:rsidRPr="00B05E62">
        <w:rPr>
          <w:szCs w:val="22"/>
        </w:rPr>
        <w:t>Marihuana</w:t>
      </w:r>
      <w:r w:rsidR="001F071B" w:rsidRPr="00B05E62">
        <w:rPr>
          <w:szCs w:val="22"/>
        </w:rPr>
        <w:t>-B</w:t>
      </w:r>
      <w:r w:rsidR="00BE363F" w:rsidRPr="00B05E62">
        <w:rPr>
          <w:szCs w:val="22"/>
        </w:rPr>
        <w:t>esit</w:t>
      </w:r>
      <w:r w:rsidR="001F071B" w:rsidRPr="00B05E62">
        <w:rPr>
          <w:szCs w:val="22"/>
        </w:rPr>
        <w:t>z</w:t>
      </w:r>
      <w:r w:rsidR="00BE363F" w:rsidRPr="00B05E62">
        <w:rPr>
          <w:szCs w:val="22"/>
        </w:rPr>
        <w:t xml:space="preserve"> sank</w:t>
      </w:r>
      <w:r w:rsidR="006F44FF" w:rsidRPr="00B05E62">
        <w:rPr>
          <w:szCs w:val="22"/>
        </w:rPr>
        <w:t>en</w:t>
      </w:r>
      <w:r w:rsidR="00BE363F" w:rsidRPr="00B05E62">
        <w:rPr>
          <w:szCs w:val="22"/>
        </w:rPr>
        <w:t xml:space="preserve"> um 88</w:t>
      </w:r>
      <w:r w:rsidR="001F071B" w:rsidRPr="00B05E62">
        <w:rPr>
          <w:szCs w:val="22"/>
        </w:rPr>
        <w:t xml:space="preserve"> </w:t>
      </w:r>
      <w:r w:rsidR="00BE363F" w:rsidRPr="00B05E62">
        <w:rPr>
          <w:szCs w:val="22"/>
        </w:rPr>
        <w:t>% (9.130</w:t>
      </w:r>
      <w:r w:rsidR="00395A2D" w:rsidRPr="00B05E62">
        <w:rPr>
          <w:szCs w:val="22"/>
        </w:rPr>
        <w:t xml:space="preserve"> </w:t>
      </w:r>
      <w:r w:rsidR="001F071B" w:rsidRPr="00B05E62">
        <w:rPr>
          <w:szCs w:val="22"/>
        </w:rPr>
        <w:t>=</w:t>
      </w:r>
      <w:r w:rsidR="00395A2D" w:rsidRPr="00B05E62">
        <w:rPr>
          <w:szCs w:val="22"/>
        </w:rPr>
        <w:t xml:space="preserve"> </w:t>
      </w:r>
      <w:r w:rsidR="001F071B" w:rsidRPr="00B05E62">
        <w:rPr>
          <w:szCs w:val="22"/>
        </w:rPr>
        <w:t xml:space="preserve">2012, </w:t>
      </w:r>
      <w:r w:rsidR="00395A2D" w:rsidRPr="00B05E62">
        <w:rPr>
          <w:szCs w:val="22"/>
        </w:rPr>
        <w:t>1.</w:t>
      </w:r>
      <w:r w:rsidR="00BE363F" w:rsidRPr="00B05E62">
        <w:rPr>
          <w:szCs w:val="22"/>
        </w:rPr>
        <w:t>068</w:t>
      </w:r>
      <w:r w:rsidR="00395A2D" w:rsidRPr="00B05E62">
        <w:rPr>
          <w:szCs w:val="22"/>
        </w:rPr>
        <w:t xml:space="preserve"> </w:t>
      </w:r>
      <w:r w:rsidR="006F44FF" w:rsidRPr="00B05E62">
        <w:rPr>
          <w:szCs w:val="22"/>
        </w:rPr>
        <w:t>=</w:t>
      </w:r>
      <w:r w:rsidR="00395A2D" w:rsidRPr="00B05E62">
        <w:rPr>
          <w:szCs w:val="22"/>
        </w:rPr>
        <w:t xml:space="preserve"> </w:t>
      </w:r>
      <w:r w:rsidR="006F44FF" w:rsidRPr="00B05E62">
        <w:rPr>
          <w:szCs w:val="22"/>
        </w:rPr>
        <w:t>2015</w:t>
      </w:r>
      <w:r w:rsidR="00BE363F" w:rsidRPr="00B05E62">
        <w:rPr>
          <w:szCs w:val="22"/>
        </w:rPr>
        <w:t>)</w:t>
      </w:r>
      <w:r w:rsidR="006F44FF" w:rsidRPr="00B05E62">
        <w:rPr>
          <w:szCs w:val="22"/>
        </w:rPr>
        <w:t xml:space="preserve">(vgl. ebenda). </w:t>
      </w:r>
    </w:p>
    <w:p w14:paraId="4DA19C15" w14:textId="4DD6C7CE" w:rsidR="00395A2D" w:rsidRDefault="006F44FF" w:rsidP="00BE363F">
      <w:pPr>
        <w:pStyle w:val="Listenabsatz"/>
        <w:numPr>
          <w:ilvl w:val="0"/>
          <w:numId w:val="24"/>
        </w:numPr>
        <w:spacing w:line="276" w:lineRule="auto"/>
        <w:rPr>
          <w:szCs w:val="22"/>
        </w:rPr>
      </w:pPr>
      <w:r w:rsidRPr="00395A2D">
        <w:rPr>
          <w:szCs w:val="22"/>
        </w:rPr>
        <w:t>Von diesen Wendungen in der Strafverfolgungspraxis profitierten alle Altersgruppen</w:t>
      </w:r>
      <w:r w:rsidR="00395A2D">
        <w:rPr>
          <w:szCs w:val="22"/>
        </w:rPr>
        <w:t xml:space="preserve"> mit sinkenden Raten bei Arrestierungen</w:t>
      </w:r>
      <w:r w:rsidRPr="00395A2D">
        <w:rPr>
          <w:szCs w:val="22"/>
        </w:rPr>
        <w:t xml:space="preserve"> (18-20-Jährige =</w:t>
      </w:r>
      <w:r w:rsidR="00395A2D" w:rsidRPr="00395A2D">
        <w:rPr>
          <w:szCs w:val="22"/>
        </w:rPr>
        <w:t xml:space="preserve"> 33</w:t>
      </w:r>
      <w:r w:rsidRPr="00395A2D">
        <w:rPr>
          <w:szCs w:val="22"/>
        </w:rPr>
        <w:t xml:space="preserve"> %</w:t>
      </w:r>
      <w:r w:rsidR="00395A2D" w:rsidRPr="00395A2D">
        <w:rPr>
          <w:szCs w:val="22"/>
        </w:rPr>
        <w:t>, 21 Jahre und älter =</w:t>
      </w:r>
      <w:r w:rsidRPr="00395A2D">
        <w:rPr>
          <w:szCs w:val="22"/>
        </w:rPr>
        <w:t xml:space="preserve"> </w:t>
      </w:r>
      <w:r w:rsidR="00395A2D" w:rsidRPr="00395A2D">
        <w:rPr>
          <w:szCs w:val="22"/>
        </w:rPr>
        <w:t xml:space="preserve">78 %), nur </w:t>
      </w:r>
      <w:r w:rsidR="00395A2D">
        <w:rPr>
          <w:szCs w:val="22"/>
        </w:rPr>
        <w:t>für</w:t>
      </w:r>
      <w:r w:rsidR="00395A2D" w:rsidRPr="00395A2D">
        <w:rPr>
          <w:szCs w:val="22"/>
        </w:rPr>
        <w:t xml:space="preserve"> </w:t>
      </w:r>
      <w:r w:rsidR="00BE363F" w:rsidRPr="00395A2D">
        <w:rPr>
          <w:szCs w:val="22"/>
        </w:rPr>
        <w:t>Jugendli</w:t>
      </w:r>
      <w:r w:rsidR="00395A2D" w:rsidRPr="00395A2D">
        <w:rPr>
          <w:szCs w:val="22"/>
        </w:rPr>
        <w:t>che (</w:t>
      </w:r>
      <w:r w:rsidR="00BE363F" w:rsidRPr="00395A2D">
        <w:rPr>
          <w:szCs w:val="22"/>
        </w:rPr>
        <w:t>10</w:t>
      </w:r>
      <w:r w:rsidR="00395A2D" w:rsidRPr="00395A2D">
        <w:rPr>
          <w:szCs w:val="22"/>
        </w:rPr>
        <w:t>-</w:t>
      </w:r>
      <w:r w:rsidR="00BE363F" w:rsidRPr="00395A2D">
        <w:rPr>
          <w:szCs w:val="22"/>
        </w:rPr>
        <w:t>17</w:t>
      </w:r>
      <w:r w:rsidR="00395A2D" w:rsidRPr="00395A2D">
        <w:rPr>
          <w:szCs w:val="22"/>
        </w:rPr>
        <w:t>-Jährige = 5 %) änderte sich die Strafverfolgungspraxis quasi nicht (</w:t>
      </w:r>
      <w:r w:rsidR="00395A2D">
        <w:rPr>
          <w:szCs w:val="22"/>
        </w:rPr>
        <w:t>vgl. ebenda)</w:t>
      </w:r>
      <w:r w:rsidR="00395A2D" w:rsidRPr="00C84608">
        <w:rPr>
          <w:szCs w:val="22"/>
        </w:rPr>
        <w:t>.</w:t>
      </w:r>
    </w:p>
    <w:p w14:paraId="56425040" w14:textId="7145C620" w:rsidR="00BE363F" w:rsidRDefault="00BE363F" w:rsidP="00BE363F">
      <w:pPr>
        <w:pStyle w:val="Listenabsatz"/>
        <w:numPr>
          <w:ilvl w:val="0"/>
          <w:numId w:val="24"/>
        </w:numPr>
        <w:spacing w:line="276" w:lineRule="auto"/>
        <w:rPr>
          <w:szCs w:val="22"/>
        </w:rPr>
      </w:pPr>
      <w:r w:rsidRPr="00395A2D">
        <w:rPr>
          <w:szCs w:val="22"/>
        </w:rPr>
        <w:t xml:space="preserve">In Bezug auf die organisierte Kriminalität gab es zwischen 2012 und 2015 im Rahmen des Colorado Organized Crime Control Act (CRS18 17.104) 88 Fälle, die </w:t>
      </w:r>
      <w:r w:rsidR="00395A2D">
        <w:rPr>
          <w:szCs w:val="22"/>
        </w:rPr>
        <w:t>zu</w:t>
      </w:r>
      <w:r w:rsidRPr="00395A2D">
        <w:rPr>
          <w:szCs w:val="22"/>
        </w:rPr>
        <w:t xml:space="preserve"> einer </w:t>
      </w:r>
      <w:r w:rsidR="00395A2D">
        <w:rPr>
          <w:szCs w:val="22"/>
        </w:rPr>
        <w:t>Vorl</w:t>
      </w:r>
      <w:r w:rsidR="00395A2D">
        <w:rPr>
          <w:szCs w:val="22"/>
        </w:rPr>
        <w:t>a</w:t>
      </w:r>
      <w:r w:rsidR="00395A2D">
        <w:rPr>
          <w:szCs w:val="22"/>
        </w:rPr>
        <w:t>dung vor Gericht führten (</w:t>
      </w:r>
      <w:r w:rsidRPr="00395A2D">
        <w:rPr>
          <w:szCs w:val="22"/>
        </w:rPr>
        <w:t xml:space="preserve">darunter </w:t>
      </w:r>
      <w:r w:rsidR="00395A2D">
        <w:rPr>
          <w:szCs w:val="22"/>
        </w:rPr>
        <w:t xml:space="preserve">wegen </w:t>
      </w:r>
      <w:r w:rsidR="00810790">
        <w:rPr>
          <w:szCs w:val="22"/>
        </w:rPr>
        <w:t xml:space="preserve">Verteilung = </w:t>
      </w:r>
      <w:r w:rsidRPr="00395A2D">
        <w:rPr>
          <w:szCs w:val="22"/>
        </w:rPr>
        <w:t>56</w:t>
      </w:r>
      <w:r w:rsidR="00395A2D">
        <w:rPr>
          <w:szCs w:val="22"/>
        </w:rPr>
        <w:t xml:space="preserve"> Fälle</w:t>
      </w:r>
      <w:r w:rsidRPr="00395A2D">
        <w:rPr>
          <w:szCs w:val="22"/>
        </w:rPr>
        <w:t>, Verschwörung</w:t>
      </w:r>
      <w:r w:rsidR="00810790">
        <w:rPr>
          <w:szCs w:val="22"/>
        </w:rPr>
        <w:t xml:space="preserve"> = </w:t>
      </w:r>
      <w:r w:rsidRPr="00395A2D">
        <w:rPr>
          <w:szCs w:val="22"/>
        </w:rPr>
        <w:t>16</w:t>
      </w:r>
      <w:r w:rsidR="00810790">
        <w:rPr>
          <w:szCs w:val="22"/>
        </w:rPr>
        <w:t xml:space="preserve"> Fä</w:t>
      </w:r>
      <w:r w:rsidR="00810790">
        <w:rPr>
          <w:szCs w:val="22"/>
        </w:rPr>
        <w:t>l</w:t>
      </w:r>
      <w:r w:rsidR="00810790">
        <w:rPr>
          <w:szCs w:val="22"/>
        </w:rPr>
        <w:t>le</w:t>
      </w:r>
      <w:r w:rsidRPr="00395A2D">
        <w:rPr>
          <w:szCs w:val="22"/>
        </w:rPr>
        <w:t>, Her</w:t>
      </w:r>
      <w:r w:rsidR="00810790">
        <w:rPr>
          <w:szCs w:val="22"/>
        </w:rPr>
        <w:t xml:space="preserve">stellung = </w:t>
      </w:r>
      <w:r w:rsidRPr="00395A2D">
        <w:rPr>
          <w:szCs w:val="22"/>
        </w:rPr>
        <w:t>10</w:t>
      </w:r>
      <w:r w:rsidR="00810790">
        <w:rPr>
          <w:szCs w:val="22"/>
        </w:rPr>
        <w:t xml:space="preserve"> Fälle und </w:t>
      </w:r>
      <w:r w:rsidRPr="00395A2D">
        <w:rPr>
          <w:szCs w:val="22"/>
        </w:rPr>
        <w:t xml:space="preserve">Besitz </w:t>
      </w:r>
      <w:r w:rsidR="00810790">
        <w:rPr>
          <w:szCs w:val="22"/>
        </w:rPr>
        <w:t>zum</w:t>
      </w:r>
      <w:r w:rsidRPr="00395A2D">
        <w:rPr>
          <w:szCs w:val="22"/>
        </w:rPr>
        <w:t xml:space="preserve"> </w:t>
      </w:r>
      <w:r w:rsidR="00810790">
        <w:rPr>
          <w:szCs w:val="22"/>
        </w:rPr>
        <w:t xml:space="preserve">Weiterverkauf = </w:t>
      </w:r>
      <w:r w:rsidRPr="00395A2D">
        <w:rPr>
          <w:szCs w:val="22"/>
        </w:rPr>
        <w:t>6</w:t>
      </w:r>
      <w:r w:rsidR="00810790">
        <w:rPr>
          <w:szCs w:val="22"/>
        </w:rPr>
        <w:t xml:space="preserve"> Fälle</w:t>
      </w:r>
      <w:r w:rsidRPr="00395A2D">
        <w:rPr>
          <w:szCs w:val="22"/>
        </w:rPr>
        <w:t>)</w:t>
      </w:r>
      <w:r w:rsidR="00810790">
        <w:rPr>
          <w:szCs w:val="22"/>
        </w:rPr>
        <w:t>(vgl. ebenda)</w:t>
      </w:r>
      <w:r w:rsidRPr="00395A2D">
        <w:rPr>
          <w:szCs w:val="22"/>
        </w:rPr>
        <w:t>.</w:t>
      </w:r>
    </w:p>
    <w:p w14:paraId="0BFE85A3" w14:textId="77777777" w:rsidR="00810790" w:rsidRDefault="00810790" w:rsidP="00E86C7D">
      <w:pPr>
        <w:pStyle w:val="Listenabsatz"/>
        <w:spacing w:line="276" w:lineRule="auto"/>
        <w:rPr>
          <w:szCs w:val="22"/>
        </w:rPr>
      </w:pPr>
    </w:p>
    <w:p w14:paraId="6D3609FE" w14:textId="77777777" w:rsidR="00810790" w:rsidRDefault="00810790" w:rsidP="00810790">
      <w:pPr>
        <w:keepNext/>
        <w:spacing w:line="276" w:lineRule="auto"/>
      </w:pPr>
      <w:r>
        <w:rPr>
          <w:noProof/>
          <w:szCs w:val="22"/>
        </w:rPr>
        <w:drawing>
          <wp:inline distT="0" distB="0" distL="0" distR="0" wp14:anchorId="0881B74C" wp14:editId="1699534D">
            <wp:extent cx="5756910" cy="2376170"/>
            <wp:effectExtent l="25400" t="25400" r="34290" b="3683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7-02-16 um 08.39.26.png"/>
                    <pic:cNvPicPr/>
                  </pic:nvPicPr>
                  <pic:blipFill>
                    <a:blip r:embed="rId123">
                      <a:extLst>
                        <a:ext uri="{28A0092B-C50C-407E-A947-70E740481C1C}">
                          <a14:useLocalDpi xmlns:a14="http://schemas.microsoft.com/office/drawing/2010/main" val="0"/>
                        </a:ext>
                      </a:extLst>
                    </a:blip>
                    <a:stretch>
                      <a:fillRect/>
                    </a:stretch>
                  </pic:blipFill>
                  <pic:spPr>
                    <a:xfrm>
                      <a:off x="0" y="0"/>
                      <a:ext cx="5756910" cy="2376170"/>
                    </a:xfrm>
                    <a:prstGeom prst="rect">
                      <a:avLst/>
                    </a:prstGeom>
                    <a:ln>
                      <a:solidFill>
                        <a:srgbClr val="000000"/>
                      </a:solidFill>
                    </a:ln>
                  </pic:spPr>
                </pic:pic>
              </a:graphicData>
            </a:graphic>
          </wp:inline>
        </w:drawing>
      </w:r>
    </w:p>
    <w:p w14:paraId="1736E7C4" w14:textId="5C78B65C" w:rsidR="00810790" w:rsidRPr="00810790" w:rsidRDefault="00810790" w:rsidP="00810790">
      <w:pPr>
        <w:pStyle w:val="Beschriftung"/>
        <w:rPr>
          <w:szCs w:val="22"/>
        </w:rPr>
      </w:pPr>
      <w:r>
        <w:t xml:space="preserve">Abbildung </w:t>
      </w:r>
      <w:fldSimple w:instr=" SEQ Abbildung \* ARABIC ">
        <w:r w:rsidR="00B86830">
          <w:rPr>
            <w:noProof/>
          </w:rPr>
          <w:t>43</w:t>
        </w:r>
      </w:fldSimple>
      <w:r>
        <w:t>: Zur Entwicklung der Verhaftungen in Zusammenhang mit Handlungen rund um Marihuana (</w:t>
      </w:r>
      <w:r w:rsidR="00CE65B8">
        <w:t>Reed, a. a. O.</w:t>
      </w:r>
      <w:r>
        <w:t>, S. 22)</w:t>
      </w:r>
    </w:p>
    <w:p w14:paraId="08C6ED0A" w14:textId="55608A55" w:rsidR="00015081" w:rsidRDefault="00810790" w:rsidP="00572A48">
      <w:pPr>
        <w:spacing w:line="276" w:lineRule="auto"/>
        <w:rPr>
          <w:szCs w:val="22"/>
        </w:rPr>
      </w:pPr>
      <w:r>
        <w:rPr>
          <w:szCs w:val="22"/>
        </w:rPr>
        <w:t xml:space="preserve">Insgesamt zeigt sich auch in Colorado, dass im Zuge der Regulierungsprozesse eine drastische Reduktion der Strafverfolgung für Delikte in Zusammenhang mit dem persönlichen Konsum von Marihuana vorgenommen wurde, von der insbesondere diejenigen profitieren, die älter als 21-Jahre sind und damit unter die gesetzlichen Neuregelungen fallen. Wenngleich in den absoluten Zahlen </w:t>
      </w:r>
      <w:r w:rsidR="004C6E5A">
        <w:rPr>
          <w:szCs w:val="22"/>
        </w:rPr>
        <w:t xml:space="preserve">zumindest </w:t>
      </w:r>
      <w:r>
        <w:rPr>
          <w:szCs w:val="22"/>
        </w:rPr>
        <w:t xml:space="preserve">auch für </w:t>
      </w:r>
      <w:r w:rsidR="00B05E62">
        <w:rPr>
          <w:szCs w:val="22"/>
        </w:rPr>
        <w:t>18-20-Jährige</w:t>
      </w:r>
      <w:r w:rsidR="00B05E62">
        <w:rPr>
          <w:rStyle w:val="Funotenzeichen"/>
          <w:szCs w:val="22"/>
        </w:rPr>
        <w:footnoteReference w:id="60"/>
      </w:r>
      <w:r w:rsidR="004C6E5A">
        <w:rPr>
          <w:szCs w:val="22"/>
        </w:rPr>
        <w:t xml:space="preserve"> </w:t>
      </w:r>
      <w:r>
        <w:rPr>
          <w:szCs w:val="22"/>
        </w:rPr>
        <w:t>eine</w:t>
      </w:r>
      <w:r w:rsidR="004C6E5A">
        <w:rPr>
          <w:szCs w:val="22"/>
        </w:rPr>
        <w:t xml:space="preserve"> gewisse Rücknahme der Strafverfolgung erfolgt, blieben die weiterhin unter Totalprohibition stehenden 10-17-Jährigen von diesen Entwicklu</w:t>
      </w:r>
      <w:r w:rsidR="004C6E5A">
        <w:rPr>
          <w:szCs w:val="22"/>
        </w:rPr>
        <w:t>n</w:t>
      </w:r>
      <w:r w:rsidR="004C6E5A">
        <w:rPr>
          <w:szCs w:val="22"/>
        </w:rPr>
        <w:t xml:space="preserve">gen ausgeschlossen. Auf Grund dieser Gesamtentwicklung ist der Anteil der Jugendlichen (10-17 Jahre) an der Strafverfolgung im Zuge der Regulierung </w:t>
      </w:r>
      <w:r w:rsidR="00B05E62">
        <w:rPr>
          <w:szCs w:val="22"/>
        </w:rPr>
        <w:t xml:space="preserve">sprunghaft gestiegen </w:t>
      </w:r>
      <w:r w:rsidR="004C6E5A">
        <w:rPr>
          <w:szCs w:val="22"/>
        </w:rPr>
        <w:t>auf (</w:t>
      </w:r>
      <w:r w:rsidR="00B05E62">
        <w:rPr>
          <w:szCs w:val="22"/>
        </w:rPr>
        <w:t>2012 = 25,0 %, 2015 = 52,3 %</w:t>
      </w:r>
      <w:r w:rsidR="004C6E5A">
        <w:rPr>
          <w:szCs w:val="22"/>
        </w:rPr>
        <w:t xml:space="preserve">). Das heißt, auch in Colorado </w:t>
      </w:r>
      <w:r w:rsidR="00B05E62">
        <w:rPr>
          <w:szCs w:val="22"/>
        </w:rPr>
        <w:t>stehen nunmehr im</w:t>
      </w:r>
      <w:r w:rsidR="004C6E5A">
        <w:rPr>
          <w:szCs w:val="22"/>
        </w:rPr>
        <w:t xml:space="preserve"> Fokus</w:t>
      </w:r>
      <w:r w:rsidR="00015081">
        <w:rPr>
          <w:szCs w:val="22"/>
        </w:rPr>
        <w:t xml:space="preserve"> der Strafverfolgung</w:t>
      </w:r>
      <w:r w:rsidR="00B05E62" w:rsidRPr="00B05E62">
        <w:rPr>
          <w:szCs w:val="22"/>
        </w:rPr>
        <w:t xml:space="preserve"> </w:t>
      </w:r>
      <w:r w:rsidR="00B05E62">
        <w:rPr>
          <w:szCs w:val="22"/>
        </w:rPr>
        <w:t>J</w:t>
      </w:r>
      <w:r w:rsidR="00B05E62">
        <w:rPr>
          <w:szCs w:val="22"/>
        </w:rPr>
        <w:t>u</w:t>
      </w:r>
      <w:r w:rsidR="00B05E62">
        <w:rPr>
          <w:szCs w:val="22"/>
        </w:rPr>
        <w:t xml:space="preserve">gendliche, für die weiterhin </w:t>
      </w:r>
      <w:r w:rsidR="004C6E5A">
        <w:rPr>
          <w:szCs w:val="22"/>
        </w:rPr>
        <w:t>klare Orientierungen zu den Strafzielen und den Bewertungen von Ha</w:t>
      </w:r>
      <w:r w:rsidR="00015081">
        <w:rPr>
          <w:szCs w:val="22"/>
        </w:rPr>
        <w:t>ndlungen als Delik</w:t>
      </w:r>
      <w:r w:rsidR="00B05E62">
        <w:rPr>
          <w:szCs w:val="22"/>
        </w:rPr>
        <w:t>te existieren</w:t>
      </w:r>
      <w:r w:rsidR="00015081">
        <w:rPr>
          <w:szCs w:val="22"/>
        </w:rPr>
        <w:t>.</w:t>
      </w:r>
    </w:p>
    <w:p w14:paraId="0612B189" w14:textId="77777777" w:rsidR="00015081" w:rsidRDefault="00015081" w:rsidP="005E0BAB">
      <w:pPr>
        <w:pStyle w:val="berschrift2"/>
      </w:pPr>
      <w:bookmarkStart w:id="66" w:name="_Toc349300395"/>
      <w:r>
        <w:t>Drogenpolitische Schlussfolgerungen</w:t>
      </w:r>
      <w:bookmarkEnd w:id="66"/>
    </w:p>
    <w:p w14:paraId="1B567330" w14:textId="1D364E5C" w:rsidR="00572A48" w:rsidRDefault="00015081" w:rsidP="00572A48">
      <w:pPr>
        <w:spacing w:line="276" w:lineRule="auto"/>
        <w:rPr>
          <w:szCs w:val="22"/>
        </w:rPr>
      </w:pPr>
      <w:r>
        <w:rPr>
          <w:szCs w:val="22"/>
        </w:rPr>
        <w:t xml:space="preserve">Die vorliegenden Daten dokumentieren in beiden Bundesstaaten, dass zu den ersten Effekten einer Regulierung </w:t>
      </w:r>
      <w:r w:rsidR="00A6039F">
        <w:rPr>
          <w:szCs w:val="22"/>
        </w:rPr>
        <w:t>ein deutlicher</w:t>
      </w:r>
      <w:r>
        <w:rPr>
          <w:szCs w:val="22"/>
        </w:rPr>
        <w:t xml:space="preserve"> Rückgang der Strafverfolgung in Zusammenhang mit einem Marihuana-Konsum </w:t>
      </w:r>
      <w:r w:rsidR="00A6039F">
        <w:rPr>
          <w:szCs w:val="22"/>
        </w:rPr>
        <w:t>gehört</w:t>
      </w:r>
      <w:r>
        <w:rPr>
          <w:szCs w:val="22"/>
        </w:rPr>
        <w:t>. Insbesondere für vormals eher als ge</w:t>
      </w:r>
      <w:r w:rsidR="00A6039F">
        <w:rPr>
          <w:szCs w:val="22"/>
        </w:rPr>
        <w:t>ringfügig</w:t>
      </w:r>
      <w:r>
        <w:rPr>
          <w:szCs w:val="22"/>
        </w:rPr>
        <w:t xml:space="preserve"> oder Baga</w:t>
      </w:r>
      <w:r w:rsidR="00A6039F">
        <w:rPr>
          <w:szCs w:val="22"/>
        </w:rPr>
        <w:t>telldelikt</w:t>
      </w:r>
      <w:r>
        <w:rPr>
          <w:szCs w:val="22"/>
        </w:rPr>
        <w:t xml:space="preserve"> eingestufte Handlungen ist die Strafverfolgung quasi eingestellt worden, wenn die Betroffenen älter als 21 Jahre waren und </w:t>
      </w:r>
      <w:r w:rsidR="00A6039F">
        <w:rPr>
          <w:szCs w:val="22"/>
        </w:rPr>
        <w:t>damit unter die Neuregelungen fiel</w:t>
      </w:r>
      <w:r>
        <w:rPr>
          <w:szCs w:val="22"/>
        </w:rPr>
        <w:t>en. In geringfügiger Weise kon</w:t>
      </w:r>
      <w:r>
        <w:rPr>
          <w:szCs w:val="22"/>
        </w:rPr>
        <w:t>n</w:t>
      </w:r>
      <w:r>
        <w:rPr>
          <w:szCs w:val="22"/>
        </w:rPr>
        <w:t xml:space="preserve">ten auch die 18-20-Jährigen von einer </w:t>
      </w:r>
      <w:r w:rsidR="005E0BAB">
        <w:rPr>
          <w:szCs w:val="22"/>
        </w:rPr>
        <w:t xml:space="preserve">weniger intensiven Strafverfolgung profitieren. Dies ist wesentlich dem Umstand geschuldet, dass diese Altersgruppe bereits von einer medizinischen Vergabe von Marihuana profitieren </w:t>
      </w:r>
      <w:r w:rsidR="00A6039F">
        <w:rPr>
          <w:szCs w:val="22"/>
        </w:rPr>
        <w:t>darf</w:t>
      </w:r>
      <w:r w:rsidR="005E0BAB">
        <w:rPr>
          <w:szCs w:val="22"/>
        </w:rPr>
        <w:t xml:space="preserve"> und durch eine relativ problemlose Verschreibung einer Strafverfolgung entgehen kann.</w:t>
      </w:r>
    </w:p>
    <w:p w14:paraId="5F11F005" w14:textId="77777777" w:rsidR="005E0BAB" w:rsidRDefault="005E0BAB" w:rsidP="005E0BAB">
      <w:pPr>
        <w:spacing w:line="276" w:lineRule="auto"/>
        <w:rPr>
          <w:szCs w:val="22"/>
        </w:rPr>
      </w:pPr>
    </w:p>
    <w:p w14:paraId="0F627210" w14:textId="77777777" w:rsidR="00A6039F" w:rsidRDefault="005E0BAB" w:rsidP="005E0BAB">
      <w:pPr>
        <w:spacing w:line="276" w:lineRule="auto"/>
        <w:rPr>
          <w:szCs w:val="22"/>
        </w:rPr>
      </w:pPr>
      <w:r>
        <w:rPr>
          <w:szCs w:val="22"/>
        </w:rPr>
        <w:t>Problematisch sind die Entwicklungen, die sich im Zuge der Regulierung für Jugendliche zw</w:t>
      </w:r>
      <w:r>
        <w:rPr>
          <w:szCs w:val="22"/>
        </w:rPr>
        <w:t>i</w:t>
      </w:r>
      <w:r>
        <w:rPr>
          <w:szCs w:val="22"/>
        </w:rPr>
        <w:t>schen 10-17 Jahren ergeben</w:t>
      </w:r>
      <w:r w:rsidR="00A6039F">
        <w:rPr>
          <w:szCs w:val="22"/>
        </w:rPr>
        <w:t xml:space="preserve">: </w:t>
      </w:r>
      <w:r>
        <w:rPr>
          <w:szCs w:val="22"/>
        </w:rPr>
        <w:t>Diese sind weiterhin einer Totalprohibition unterstellt, weshalb sich auch die Strafziele, die Bewertungen von Handlungen als strafbare Delikte und die Verfa</w:t>
      </w:r>
      <w:r>
        <w:rPr>
          <w:szCs w:val="22"/>
        </w:rPr>
        <w:t>h</w:t>
      </w:r>
      <w:r>
        <w:rPr>
          <w:szCs w:val="22"/>
        </w:rPr>
        <w:t xml:space="preserve">rensweisen </w:t>
      </w:r>
      <w:r w:rsidR="00A6039F">
        <w:rPr>
          <w:szCs w:val="22"/>
        </w:rPr>
        <w:t>bei</w:t>
      </w:r>
      <w:r>
        <w:rPr>
          <w:szCs w:val="22"/>
        </w:rPr>
        <w:t xml:space="preserve"> Aufdeckung einer strafbaren Handlung nicht verändert haben</w:t>
      </w:r>
      <w:r w:rsidR="00A6039F">
        <w:rPr>
          <w:szCs w:val="22"/>
        </w:rPr>
        <w:t>. Damit besteht</w:t>
      </w:r>
      <w:r>
        <w:rPr>
          <w:szCs w:val="22"/>
        </w:rPr>
        <w:t xml:space="preserve"> für die handelnden Personen in den Strafverfolgungsbehörden zu ihrem Auftrag </w:t>
      </w:r>
      <w:r w:rsidR="00A6039F">
        <w:rPr>
          <w:szCs w:val="22"/>
        </w:rPr>
        <w:t xml:space="preserve">eine Sicherheit, die ansonsten im Zuge der Regulierung vielfach in Frage gestellt wird. </w:t>
      </w:r>
      <w:r>
        <w:rPr>
          <w:szCs w:val="22"/>
        </w:rPr>
        <w:t xml:space="preserve">Dies unterscheidet die Praxis im Vergleich zu anderen Altersgruppen, die von drogenpolitischen Neuregelungen profitieren können. </w:t>
      </w:r>
    </w:p>
    <w:p w14:paraId="0CFE2759" w14:textId="627FD4D3" w:rsidR="005E0BAB" w:rsidRDefault="00A6039F" w:rsidP="005E0BAB">
      <w:pPr>
        <w:spacing w:line="276" w:lineRule="auto"/>
        <w:rPr>
          <w:szCs w:val="22"/>
        </w:rPr>
      </w:pPr>
      <w:r>
        <w:rPr>
          <w:szCs w:val="22"/>
        </w:rPr>
        <w:t>Als Erfahrung aus dem Regulierungsprozess wird insbesondere für die Arbeit der Strafverfo</w:t>
      </w:r>
      <w:r>
        <w:rPr>
          <w:szCs w:val="22"/>
        </w:rPr>
        <w:t>l</w:t>
      </w:r>
      <w:r>
        <w:rPr>
          <w:szCs w:val="22"/>
        </w:rPr>
        <w:t>gungsbehörden</w:t>
      </w:r>
      <w:r w:rsidR="005E0BAB">
        <w:rPr>
          <w:szCs w:val="22"/>
        </w:rPr>
        <w:t xml:space="preserve"> herausgestellt, dass es regelmäßig massive </w:t>
      </w:r>
      <w:r w:rsidR="005E0BAB" w:rsidRPr="00494DD6">
        <w:rPr>
          <w:szCs w:val="22"/>
        </w:rPr>
        <w:t xml:space="preserve">Irritationen </w:t>
      </w:r>
      <w:r w:rsidR="005E0BAB">
        <w:rPr>
          <w:szCs w:val="22"/>
        </w:rPr>
        <w:t xml:space="preserve">dazu gibt, wie genau die </w:t>
      </w:r>
      <w:r w:rsidR="005E0BAB" w:rsidRPr="00494DD6">
        <w:rPr>
          <w:szCs w:val="22"/>
        </w:rPr>
        <w:t>Strafverfolgungsziele</w:t>
      </w:r>
      <w:r w:rsidR="005E0BAB">
        <w:rPr>
          <w:szCs w:val="22"/>
        </w:rPr>
        <w:t xml:space="preserve"> definiert sind</w:t>
      </w:r>
      <w:r w:rsidR="005E0BAB" w:rsidRPr="00494DD6">
        <w:rPr>
          <w:szCs w:val="22"/>
        </w:rPr>
        <w:t xml:space="preserve">, </w:t>
      </w:r>
      <w:r w:rsidR="005E0BAB">
        <w:rPr>
          <w:szCs w:val="22"/>
        </w:rPr>
        <w:t xml:space="preserve">welche Kriterien dazu gelten sollen, </w:t>
      </w:r>
      <w:r w:rsidR="005E0BAB" w:rsidRPr="00494DD6">
        <w:rPr>
          <w:szCs w:val="22"/>
        </w:rPr>
        <w:t>wann Beschlagna</w:t>
      </w:r>
      <w:r w:rsidR="005E0BAB" w:rsidRPr="00494DD6">
        <w:rPr>
          <w:szCs w:val="22"/>
        </w:rPr>
        <w:t>h</w:t>
      </w:r>
      <w:r w:rsidR="005E0BAB" w:rsidRPr="00494DD6">
        <w:rPr>
          <w:szCs w:val="22"/>
        </w:rPr>
        <w:t>mung</w:t>
      </w:r>
      <w:r>
        <w:rPr>
          <w:szCs w:val="22"/>
        </w:rPr>
        <w:t>en</w:t>
      </w:r>
      <w:r w:rsidR="005E0BAB" w:rsidRPr="00494DD6">
        <w:rPr>
          <w:szCs w:val="22"/>
        </w:rPr>
        <w:t xml:space="preserve"> und Verhaftung</w:t>
      </w:r>
      <w:r>
        <w:rPr>
          <w:szCs w:val="22"/>
        </w:rPr>
        <w:t>en</w:t>
      </w:r>
      <w:r w:rsidR="005E0BAB" w:rsidRPr="00494DD6">
        <w:rPr>
          <w:szCs w:val="22"/>
        </w:rPr>
        <w:t xml:space="preserve"> angemessen </w:t>
      </w:r>
      <w:r w:rsidR="005E0BAB">
        <w:rPr>
          <w:szCs w:val="22"/>
        </w:rPr>
        <w:t>sind</w:t>
      </w:r>
      <w:r w:rsidR="005E0BAB" w:rsidRPr="00494DD6">
        <w:rPr>
          <w:szCs w:val="22"/>
        </w:rPr>
        <w:t xml:space="preserve"> und </w:t>
      </w:r>
      <w:r>
        <w:rPr>
          <w:szCs w:val="22"/>
        </w:rPr>
        <w:t>ob</w:t>
      </w:r>
      <w:r w:rsidR="005E0BAB" w:rsidRPr="00494DD6">
        <w:rPr>
          <w:szCs w:val="22"/>
        </w:rPr>
        <w:t xml:space="preserve"> überhaupt A</w:t>
      </w:r>
      <w:r w:rsidR="005E0BAB">
        <w:rPr>
          <w:szCs w:val="22"/>
        </w:rPr>
        <w:t>nklagen eingereicht werden soll</w:t>
      </w:r>
      <w:r w:rsidR="005E0BAB" w:rsidRPr="00494DD6">
        <w:rPr>
          <w:szCs w:val="22"/>
        </w:rPr>
        <w:t>en. Viel</w:t>
      </w:r>
      <w:r w:rsidR="005E0BAB">
        <w:rPr>
          <w:szCs w:val="22"/>
        </w:rPr>
        <w:t>fach</w:t>
      </w:r>
      <w:r w:rsidR="005E0BAB" w:rsidRPr="00494DD6">
        <w:rPr>
          <w:szCs w:val="22"/>
        </w:rPr>
        <w:t xml:space="preserve"> </w:t>
      </w:r>
      <w:r>
        <w:rPr>
          <w:szCs w:val="22"/>
        </w:rPr>
        <w:t xml:space="preserve">wird </w:t>
      </w:r>
      <w:r w:rsidR="005E0BAB">
        <w:rPr>
          <w:szCs w:val="22"/>
        </w:rPr>
        <w:t xml:space="preserve">sogar </w:t>
      </w:r>
      <w:r w:rsidR="005E0BAB" w:rsidRPr="00494DD6">
        <w:rPr>
          <w:szCs w:val="22"/>
        </w:rPr>
        <w:t>abgelehnt, „Marihuana-Fälle“ zu verfolgen, wenn nicht extreme U</w:t>
      </w:r>
      <w:r w:rsidR="005E0BAB" w:rsidRPr="00494DD6">
        <w:rPr>
          <w:szCs w:val="22"/>
        </w:rPr>
        <w:t>m</w:t>
      </w:r>
      <w:r w:rsidR="005E0BAB" w:rsidRPr="00494DD6">
        <w:rPr>
          <w:szCs w:val="22"/>
        </w:rPr>
        <w:t xml:space="preserve">stände am Tathergang beteiligt </w:t>
      </w:r>
      <w:r w:rsidR="005E0BAB">
        <w:rPr>
          <w:szCs w:val="22"/>
        </w:rPr>
        <w:t>sind.</w:t>
      </w:r>
    </w:p>
    <w:p w14:paraId="386D83AB" w14:textId="77777777" w:rsidR="00A6039F" w:rsidRDefault="005E0BAB" w:rsidP="005E0BAB">
      <w:pPr>
        <w:spacing w:line="276" w:lineRule="auto"/>
        <w:rPr>
          <w:szCs w:val="22"/>
        </w:rPr>
      </w:pPr>
      <w:r>
        <w:rPr>
          <w:szCs w:val="22"/>
        </w:rPr>
        <w:t xml:space="preserve">Insofern drängt sich als Schlussfolgerung auf, </w:t>
      </w:r>
      <w:r w:rsidR="00B063B7">
        <w:rPr>
          <w:szCs w:val="22"/>
        </w:rPr>
        <w:t>bereits in Vorbereitung des Beginns drogenpolit</w:t>
      </w:r>
      <w:r w:rsidR="00B063B7">
        <w:rPr>
          <w:szCs w:val="22"/>
        </w:rPr>
        <w:t>i</w:t>
      </w:r>
      <w:r w:rsidR="00B063B7">
        <w:rPr>
          <w:szCs w:val="22"/>
        </w:rPr>
        <w:t xml:space="preserve">schen </w:t>
      </w:r>
      <w:r w:rsidR="00A6039F">
        <w:rPr>
          <w:szCs w:val="22"/>
        </w:rPr>
        <w:t>Regulierungen</w:t>
      </w:r>
      <w:r w:rsidR="00B063B7">
        <w:rPr>
          <w:szCs w:val="22"/>
        </w:rPr>
        <w:t xml:space="preserve"> Übergangsregel</w:t>
      </w:r>
      <w:r w:rsidR="00A6039F">
        <w:rPr>
          <w:szCs w:val="22"/>
        </w:rPr>
        <w:t xml:space="preserve">n </w:t>
      </w:r>
      <w:r w:rsidR="00B063B7">
        <w:rPr>
          <w:szCs w:val="22"/>
        </w:rPr>
        <w:t>zu schaffen, die den beteiligten Personen in den Strafve</w:t>
      </w:r>
      <w:r w:rsidR="00B063B7">
        <w:rPr>
          <w:szCs w:val="22"/>
        </w:rPr>
        <w:t>r</w:t>
      </w:r>
      <w:r w:rsidR="00B063B7">
        <w:rPr>
          <w:szCs w:val="22"/>
        </w:rPr>
        <w:t>folgungsinstit</w:t>
      </w:r>
      <w:r w:rsidR="00A6039F">
        <w:rPr>
          <w:szCs w:val="22"/>
        </w:rPr>
        <w:t xml:space="preserve">utionen Handlungssicherheiten </w:t>
      </w:r>
      <w:r w:rsidR="00B063B7">
        <w:rPr>
          <w:szCs w:val="22"/>
        </w:rPr>
        <w:t>mit einsichtigen Aufträgen und Handlungsanwe</w:t>
      </w:r>
      <w:r w:rsidR="00B063B7">
        <w:rPr>
          <w:szCs w:val="22"/>
        </w:rPr>
        <w:t>i</w:t>
      </w:r>
      <w:r w:rsidR="00B063B7">
        <w:rPr>
          <w:szCs w:val="22"/>
        </w:rPr>
        <w:t>sungen</w:t>
      </w:r>
      <w:r w:rsidR="00A6039F" w:rsidRPr="00A6039F">
        <w:rPr>
          <w:szCs w:val="22"/>
        </w:rPr>
        <w:t xml:space="preserve"> </w:t>
      </w:r>
      <w:r w:rsidR="00A6039F">
        <w:rPr>
          <w:szCs w:val="22"/>
        </w:rPr>
        <w:t>geben</w:t>
      </w:r>
      <w:r w:rsidR="00B063B7">
        <w:rPr>
          <w:szCs w:val="22"/>
        </w:rPr>
        <w:t xml:space="preserve">. </w:t>
      </w:r>
      <w:r w:rsidR="00A6039F">
        <w:rPr>
          <w:szCs w:val="22"/>
        </w:rPr>
        <w:t>Z</w:t>
      </w:r>
      <w:r w:rsidR="00B063B7">
        <w:rPr>
          <w:szCs w:val="22"/>
        </w:rPr>
        <w:t>u bedenken</w:t>
      </w:r>
      <w:r w:rsidR="00A6039F">
        <w:rPr>
          <w:szCs w:val="22"/>
        </w:rPr>
        <w:t xml:space="preserve"> ist</w:t>
      </w:r>
      <w:r w:rsidR="00B063B7">
        <w:rPr>
          <w:szCs w:val="22"/>
        </w:rPr>
        <w:t>, dass sich durch die Neureg</w:t>
      </w:r>
      <w:r w:rsidR="00A6039F">
        <w:rPr>
          <w:szCs w:val="22"/>
        </w:rPr>
        <w:t>e</w:t>
      </w:r>
      <w:r w:rsidR="00B063B7">
        <w:rPr>
          <w:szCs w:val="22"/>
        </w:rPr>
        <w:t xml:space="preserve">lungen </w:t>
      </w:r>
      <w:r w:rsidR="00A6039F">
        <w:rPr>
          <w:szCs w:val="22"/>
        </w:rPr>
        <w:t xml:space="preserve">in den Instanzen der sozialen Kontrolle </w:t>
      </w:r>
      <w:r w:rsidR="00B063B7">
        <w:rPr>
          <w:szCs w:val="22"/>
        </w:rPr>
        <w:t xml:space="preserve">Stück für Stück freie Ressourcen ergeben werden, die unverzüglich in andere Bereiche </w:t>
      </w:r>
      <w:r w:rsidR="00A6039F">
        <w:rPr>
          <w:szCs w:val="22"/>
        </w:rPr>
        <w:t>von Ordnung und</w:t>
      </w:r>
      <w:r w:rsidR="00B063B7">
        <w:rPr>
          <w:szCs w:val="22"/>
        </w:rPr>
        <w:t xml:space="preserve"> Sicherheit gelenkt werden sollten. Andernfalls entsteht die Gefahr, dass freie Kapazitäten dort eingesetzt werden, wo die drogenpolitischen Neuregelungen nicht relevant sind</w:t>
      </w:r>
      <w:r w:rsidR="00A6039F">
        <w:rPr>
          <w:szCs w:val="22"/>
        </w:rPr>
        <w:t>, die alten Routinen weiterhin gelten und die handelnden Personen Sicherheiten für ihr Tun finden können</w:t>
      </w:r>
      <w:r w:rsidR="00B063B7">
        <w:rPr>
          <w:szCs w:val="22"/>
        </w:rPr>
        <w:t xml:space="preserve">. </w:t>
      </w:r>
    </w:p>
    <w:p w14:paraId="03A5DBA0" w14:textId="77777777" w:rsidR="00A6039F" w:rsidRDefault="00B063B7" w:rsidP="005E0BAB">
      <w:pPr>
        <w:spacing w:line="276" w:lineRule="auto"/>
        <w:rPr>
          <w:szCs w:val="22"/>
        </w:rPr>
      </w:pPr>
      <w:r>
        <w:rPr>
          <w:szCs w:val="22"/>
        </w:rPr>
        <w:t xml:space="preserve">In Zusammenhang mit einer Regulierung von Marihuana droht auf diese Weise die Gefahr, dass insbesondere </w:t>
      </w:r>
      <w:r w:rsidR="00A6039F">
        <w:rPr>
          <w:szCs w:val="22"/>
        </w:rPr>
        <w:t>die Situation</w:t>
      </w:r>
      <w:r>
        <w:rPr>
          <w:szCs w:val="22"/>
        </w:rPr>
        <w:t xml:space="preserve"> Jugendliche</w:t>
      </w:r>
      <w:r w:rsidR="00A6039F">
        <w:rPr>
          <w:szCs w:val="22"/>
        </w:rPr>
        <w:t>r</w:t>
      </w:r>
      <w:r>
        <w:rPr>
          <w:szCs w:val="22"/>
        </w:rPr>
        <w:t>, die zudem eine der epidemiologisch relevanten Ko</w:t>
      </w:r>
      <w:r>
        <w:rPr>
          <w:szCs w:val="22"/>
        </w:rPr>
        <w:t>n</w:t>
      </w:r>
      <w:r>
        <w:rPr>
          <w:szCs w:val="22"/>
        </w:rPr>
        <w:t>sumentengruppe sind, besonder</w:t>
      </w:r>
      <w:r w:rsidR="00A6039F">
        <w:rPr>
          <w:szCs w:val="22"/>
        </w:rPr>
        <w:t>s v</w:t>
      </w:r>
      <w:r>
        <w:rPr>
          <w:szCs w:val="22"/>
        </w:rPr>
        <w:t>ulnerab</w:t>
      </w:r>
      <w:r w:rsidR="00A6039F">
        <w:rPr>
          <w:szCs w:val="22"/>
        </w:rPr>
        <w:t xml:space="preserve">el wird, weil </w:t>
      </w:r>
      <w:r>
        <w:rPr>
          <w:szCs w:val="22"/>
        </w:rPr>
        <w:t>frei werdende Ressourcen zu einer E</w:t>
      </w:r>
      <w:r>
        <w:rPr>
          <w:szCs w:val="22"/>
        </w:rPr>
        <w:t>r</w:t>
      </w:r>
      <w:r>
        <w:rPr>
          <w:szCs w:val="22"/>
        </w:rPr>
        <w:t xml:space="preserve">höhung der Verfolgungsintensitäten </w:t>
      </w:r>
      <w:r w:rsidR="00A6039F">
        <w:rPr>
          <w:szCs w:val="22"/>
        </w:rPr>
        <w:t>in dieser Gruppe</w:t>
      </w:r>
      <w:r>
        <w:rPr>
          <w:szCs w:val="22"/>
        </w:rPr>
        <w:t xml:space="preserve"> führen. </w:t>
      </w:r>
    </w:p>
    <w:p w14:paraId="2090D9A2" w14:textId="641B58F8" w:rsidR="006D6D63" w:rsidRDefault="00B063B7" w:rsidP="005E0BAB">
      <w:pPr>
        <w:spacing w:line="276" w:lineRule="auto"/>
        <w:rPr>
          <w:szCs w:val="22"/>
        </w:rPr>
      </w:pPr>
      <w:r>
        <w:rPr>
          <w:szCs w:val="22"/>
        </w:rPr>
        <w:t xml:space="preserve">Auch aus diesen </w:t>
      </w:r>
      <w:r w:rsidR="00A6039F">
        <w:rPr>
          <w:szCs w:val="22"/>
        </w:rPr>
        <w:t>Zusammenhängen</w:t>
      </w:r>
      <w:r>
        <w:rPr>
          <w:szCs w:val="22"/>
        </w:rPr>
        <w:t xml:space="preserve"> stellt sich nochmals di</w:t>
      </w:r>
      <w:r w:rsidR="006D6D63">
        <w:rPr>
          <w:szCs w:val="22"/>
        </w:rPr>
        <w:t>e Frage, wie ein sachgerechter</w:t>
      </w:r>
      <w:r>
        <w:rPr>
          <w:szCs w:val="22"/>
        </w:rPr>
        <w:t xml:space="preserve"> U</w:t>
      </w:r>
      <w:r>
        <w:rPr>
          <w:szCs w:val="22"/>
        </w:rPr>
        <w:t>m</w:t>
      </w:r>
      <w:r>
        <w:rPr>
          <w:szCs w:val="22"/>
        </w:rPr>
        <w:t>gang mit jugendlichem Marihuana-Konsum geregelt werden kann, der nicht</w:t>
      </w:r>
      <w:r w:rsidR="006D6D63">
        <w:rPr>
          <w:szCs w:val="22"/>
        </w:rPr>
        <w:t xml:space="preserve"> auf eine Totalproh</w:t>
      </w:r>
      <w:r w:rsidR="006D6D63">
        <w:rPr>
          <w:szCs w:val="22"/>
        </w:rPr>
        <w:t>i</w:t>
      </w:r>
      <w:r w:rsidR="006D6D63">
        <w:rPr>
          <w:szCs w:val="22"/>
        </w:rPr>
        <w:t xml:space="preserve">bition mit Zero-Tolerance </w:t>
      </w:r>
      <w:r w:rsidR="00A6039F">
        <w:rPr>
          <w:szCs w:val="22"/>
        </w:rPr>
        <w:t>hinausläuft</w:t>
      </w:r>
      <w:r w:rsidR="006D6D63">
        <w:rPr>
          <w:szCs w:val="22"/>
        </w:rPr>
        <w:t>.</w:t>
      </w:r>
    </w:p>
    <w:p w14:paraId="2949D783" w14:textId="77777777" w:rsidR="0018244F" w:rsidRDefault="006D6D63" w:rsidP="00C17576">
      <w:pPr>
        <w:pStyle w:val="berschrift2"/>
        <w:numPr>
          <w:ilvl w:val="0"/>
          <w:numId w:val="0"/>
        </w:numPr>
      </w:pPr>
      <w:bookmarkStart w:id="67" w:name="_Toc349300396"/>
      <w:r>
        <w:t>Literatur</w:t>
      </w:r>
      <w:bookmarkEnd w:id="67"/>
      <w:r w:rsidR="00B063B7">
        <w:t xml:space="preserve">  </w:t>
      </w:r>
    </w:p>
    <w:p w14:paraId="1EB8B8F5" w14:textId="49E4F032" w:rsidR="0018244F" w:rsidRPr="00B87691" w:rsidRDefault="00AF03D4" w:rsidP="0018244F">
      <w:pPr>
        <w:pStyle w:val="KeinLeerraum"/>
        <w:ind w:left="284" w:hanging="284"/>
        <w:jc w:val="both"/>
        <w:rPr>
          <w:rFonts w:cs="Times"/>
          <w:szCs w:val="22"/>
        </w:rPr>
      </w:pPr>
      <w:r>
        <w:rPr>
          <w:rFonts w:cs="Arial"/>
          <w:bCs/>
          <w:szCs w:val="22"/>
        </w:rPr>
        <w:t>Northwest High Intensity Drug Trafficking A</w:t>
      </w:r>
      <w:r w:rsidR="0018244F" w:rsidRPr="00B87691">
        <w:rPr>
          <w:rFonts w:cs="Arial"/>
          <w:bCs/>
          <w:szCs w:val="22"/>
        </w:rPr>
        <w:t>rea (</w:t>
      </w:r>
      <w:r w:rsidR="0018244F" w:rsidRPr="00B87691">
        <w:rPr>
          <w:rFonts w:cs="Calibri"/>
          <w:szCs w:val="22"/>
        </w:rPr>
        <w:t xml:space="preserve">NWHIDTA) </w:t>
      </w:r>
      <w:r w:rsidR="0018244F" w:rsidRPr="00B87691">
        <w:rPr>
          <w:rFonts w:cs="Arial"/>
          <w:bCs/>
          <w:szCs w:val="22"/>
        </w:rPr>
        <w:t>(2016): Washington State Mariju</w:t>
      </w:r>
      <w:r w:rsidR="0018244F" w:rsidRPr="00B87691">
        <w:rPr>
          <w:rFonts w:cs="Arial"/>
          <w:bCs/>
          <w:szCs w:val="22"/>
        </w:rPr>
        <w:t>a</w:t>
      </w:r>
      <w:r w:rsidR="0018244F" w:rsidRPr="00B87691">
        <w:rPr>
          <w:rFonts w:cs="Arial"/>
          <w:bCs/>
          <w:szCs w:val="22"/>
        </w:rPr>
        <w:t>na Impact Report, Seattle</w:t>
      </w:r>
    </w:p>
    <w:p w14:paraId="2F9C4481" w14:textId="77777777" w:rsidR="0018244F" w:rsidRPr="00B87691" w:rsidRDefault="0018244F" w:rsidP="0018244F">
      <w:pPr>
        <w:pStyle w:val="KeinLeerraum"/>
        <w:ind w:left="284" w:hanging="284"/>
        <w:jc w:val="both"/>
        <w:rPr>
          <w:rFonts w:cs="Times"/>
          <w:szCs w:val="22"/>
        </w:rPr>
      </w:pPr>
      <w:r w:rsidRPr="00B87691">
        <w:rPr>
          <w:rFonts w:cs="Calibri"/>
          <w:bCs/>
          <w:szCs w:val="22"/>
        </w:rPr>
        <w:t xml:space="preserve">Reed, Jackson K. (2016): Marijuana Legalization in Colorado: Early Findings. </w:t>
      </w:r>
      <w:r w:rsidRPr="00B87691">
        <w:rPr>
          <w:rFonts w:cs="Calibri"/>
          <w:bCs/>
          <w:iCs/>
          <w:szCs w:val="22"/>
        </w:rPr>
        <w:t xml:space="preserve">A Report Pursuant to Senate Bill 13-283. </w:t>
      </w:r>
      <w:r w:rsidRPr="00B87691">
        <w:rPr>
          <w:rFonts w:cs="Arial"/>
          <w:bCs/>
          <w:szCs w:val="22"/>
        </w:rPr>
        <w:t xml:space="preserve">March 2016, Denver </w:t>
      </w:r>
      <w:r w:rsidRPr="00B87691">
        <w:rPr>
          <w:rFonts w:cs="Times"/>
          <w:szCs w:val="22"/>
        </w:rPr>
        <w:t xml:space="preserve">   </w:t>
      </w:r>
    </w:p>
    <w:p w14:paraId="56BDD530" w14:textId="10DD8EB7" w:rsidR="005E0BAB" w:rsidRDefault="00B063B7" w:rsidP="0018244F">
      <w:pPr>
        <w:pStyle w:val="berschrift2"/>
        <w:numPr>
          <w:ilvl w:val="0"/>
          <w:numId w:val="0"/>
        </w:numPr>
        <w:ind w:left="360"/>
      </w:pPr>
      <w:r>
        <w:t xml:space="preserve">  </w:t>
      </w:r>
    </w:p>
    <w:p w14:paraId="5130BA6D" w14:textId="77777777" w:rsidR="0097257C" w:rsidRDefault="0097257C" w:rsidP="00572A48">
      <w:pPr>
        <w:spacing w:line="276" w:lineRule="auto"/>
        <w:rPr>
          <w:szCs w:val="22"/>
        </w:rPr>
        <w:sectPr w:rsidR="0097257C" w:rsidSect="008901F7">
          <w:pgSz w:w="11900" w:h="16840"/>
          <w:pgMar w:top="1417" w:right="1417" w:bottom="1134" w:left="1417" w:header="708" w:footer="708" w:gutter="0"/>
          <w:cols w:space="708"/>
          <w:docGrid w:linePitch="360"/>
        </w:sectPr>
      </w:pPr>
    </w:p>
    <w:p w14:paraId="343FBED9" w14:textId="3F47B374" w:rsidR="001E7306" w:rsidRDefault="0097257C" w:rsidP="001E7306">
      <w:pPr>
        <w:pStyle w:val="berschrift1"/>
      </w:pPr>
      <w:bookmarkStart w:id="68" w:name="_Toc349300397"/>
      <w:r>
        <w:t>A</w:t>
      </w:r>
      <w:r w:rsidR="006D6D63">
        <w:t>usblick</w:t>
      </w:r>
      <w:bookmarkEnd w:id="68"/>
    </w:p>
    <w:p w14:paraId="437DD608" w14:textId="74B88A50" w:rsidR="00C1273A" w:rsidRDefault="00B86830" w:rsidP="00C1273A">
      <w:pPr>
        <w:pStyle w:val="berschrift2"/>
      </w:pPr>
      <w:bookmarkStart w:id="69" w:name="_Toc349300398"/>
      <w:r>
        <w:t xml:space="preserve">Die Marihuana-Industrie: </w:t>
      </w:r>
      <w:r w:rsidR="00C1273A">
        <w:t>David gegen Goliath</w:t>
      </w:r>
      <w:r w:rsidR="00640DFB">
        <w:t>?</w:t>
      </w:r>
      <w:bookmarkEnd w:id="69"/>
      <w:r w:rsidR="00C1273A">
        <w:t xml:space="preserve"> </w:t>
      </w:r>
    </w:p>
    <w:p w14:paraId="40843DDB" w14:textId="32E8E488" w:rsidR="00F245DA" w:rsidRPr="00762252" w:rsidRDefault="001E6362" w:rsidP="009D7629">
      <w:pPr>
        <w:spacing w:line="276" w:lineRule="auto"/>
        <w:jc w:val="both"/>
        <w:rPr>
          <w:szCs w:val="22"/>
        </w:rPr>
      </w:pPr>
      <w:r w:rsidRPr="00762252">
        <w:rPr>
          <w:szCs w:val="22"/>
        </w:rPr>
        <w:t xml:space="preserve">Schon </w:t>
      </w:r>
      <w:r w:rsidR="00B01A7A">
        <w:rPr>
          <w:szCs w:val="22"/>
        </w:rPr>
        <w:t>lange</w:t>
      </w:r>
      <w:r w:rsidRPr="00762252">
        <w:rPr>
          <w:szCs w:val="22"/>
        </w:rPr>
        <w:t xml:space="preserve"> vor der Regulierung </w:t>
      </w:r>
      <w:r w:rsidR="0083349F" w:rsidRPr="00762252">
        <w:rPr>
          <w:szCs w:val="22"/>
        </w:rPr>
        <w:t xml:space="preserve">existierten in vielen </w:t>
      </w:r>
      <w:r w:rsidR="00B86830">
        <w:rPr>
          <w:szCs w:val="22"/>
        </w:rPr>
        <w:t>U.A.-</w:t>
      </w:r>
      <w:r w:rsidR="0083349F" w:rsidRPr="00762252">
        <w:rPr>
          <w:szCs w:val="22"/>
        </w:rPr>
        <w:t>Bundesstaaten tausende kleine Fa</w:t>
      </w:r>
      <w:r w:rsidR="0083349F" w:rsidRPr="00762252">
        <w:rPr>
          <w:szCs w:val="22"/>
        </w:rPr>
        <w:t>r</w:t>
      </w:r>
      <w:r w:rsidR="0083349F" w:rsidRPr="00762252">
        <w:rPr>
          <w:szCs w:val="22"/>
        </w:rPr>
        <w:t xml:space="preserve">men, in denen </w:t>
      </w:r>
      <w:r w:rsidR="00C1273A">
        <w:rPr>
          <w:szCs w:val="22"/>
        </w:rPr>
        <w:t>Marihuana</w:t>
      </w:r>
      <w:r w:rsidR="007B11CD" w:rsidRPr="00762252">
        <w:rPr>
          <w:szCs w:val="22"/>
        </w:rPr>
        <w:t xml:space="preserve"> </w:t>
      </w:r>
      <w:r w:rsidR="0083349F" w:rsidRPr="00762252">
        <w:rPr>
          <w:szCs w:val="22"/>
        </w:rPr>
        <w:t>auf kleinen Flächen</w:t>
      </w:r>
      <w:r w:rsidR="007B11CD" w:rsidRPr="00762252">
        <w:rPr>
          <w:szCs w:val="22"/>
        </w:rPr>
        <w:t xml:space="preserve"> </w:t>
      </w:r>
      <w:r w:rsidR="00772C07" w:rsidRPr="00762252">
        <w:rPr>
          <w:szCs w:val="22"/>
        </w:rPr>
        <w:t>oder</w:t>
      </w:r>
      <w:r w:rsidR="007B11CD" w:rsidRPr="00762252">
        <w:rPr>
          <w:szCs w:val="22"/>
        </w:rPr>
        <w:t xml:space="preserve"> </w:t>
      </w:r>
      <w:r w:rsidR="00772C07" w:rsidRPr="00762252">
        <w:rPr>
          <w:szCs w:val="22"/>
        </w:rPr>
        <w:t xml:space="preserve">unter </w:t>
      </w:r>
      <w:r w:rsidR="00E132F7" w:rsidRPr="00762252">
        <w:rPr>
          <w:szCs w:val="22"/>
        </w:rPr>
        <w:t xml:space="preserve">eher </w:t>
      </w:r>
      <w:r w:rsidR="0083349F" w:rsidRPr="00762252">
        <w:rPr>
          <w:szCs w:val="22"/>
        </w:rPr>
        <w:t>garten</w:t>
      </w:r>
      <w:r w:rsidR="00772C07" w:rsidRPr="00762252">
        <w:rPr>
          <w:szCs w:val="22"/>
        </w:rPr>
        <w:t xml:space="preserve">ähnlichen Bedingungen </w:t>
      </w:r>
      <w:r w:rsidR="0083349F" w:rsidRPr="00762252">
        <w:rPr>
          <w:szCs w:val="22"/>
        </w:rPr>
        <w:t>angebaut wu</w:t>
      </w:r>
      <w:r w:rsidR="00080283" w:rsidRPr="00762252">
        <w:rPr>
          <w:szCs w:val="22"/>
        </w:rPr>
        <w:t>r</w:t>
      </w:r>
      <w:r w:rsidR="00B86830">
        <w:rPr>
          <w:szCs w:val="22"/>
        </w:rPr>
        <w:t>de. Die Ernte erfolgt</w:t>
      </w:r>
      <w:r w:rsidR="00080283" w:rsidRPr="00762252">
        <w:rPr>
          <w:szCs w:val="22"/>
        </w:rPr>
        <w:t xml:space="preserve"> in aufwe</w:t>
      </w:r>
      <w:r w:rsidR="0083349F" w:rsidRPr="00762252">
        <w:rPr>
          <w:szCs w:val="22"/>
        </w:rPr>
        <w:t xml:space="preserve">ndiger Handarbeit und </w:t>
      </w:r>
      <w:r w:rsidR="00B86830">
        <w:rPr>
          <w:szCs w:val="22"/>
        </w:rPr>
        <w:t>ermöglicht</w:t>
      </w:r>
      <w:r w:rsidR="0083349F" w:rsidRPr="00762252">
        <w:rPr>
          <w:szCs w:val="22"/>
        </w:rPr>
        <w:t xml:space="preserve"> den beteilig</w:t>
      </w:r>
      <w:r w:rsidR="007B11CD" w:rsidRPr="00762252">
        <w:rPr>
          <w:szCs w:val="22"/>
        </w:rPr>
        <w:t>ten F</w:t>
      </w:r>
      <w:r w:rsidR="0083349F" w:rsidRPr="00762252">
        <w:rPr>
          <w:szCs w:val="22"/>
        </w:rPr>
        <w:t>a</w:t>
      </w:r>
      <w:r w:rsidR="007B11CD" w:rsidRPr="00762252">
        <w:rPr>
          <w:szCs w:val="22"/>
        </w:rPr>
        <w:t>r</w:t>
      </w:r>
      <w:r w:rsidR="0083349F" w:rsidRPr="00762252">
        <w:rPr>
          <w:szCs w:val="22"/>
        </w:rPr>
        <w:t>mern,</w:t>
      </w:r>
      <w:r w:rsidR="007B11CD" w:rsidRPr="00762252">
        <w:rPr>
          <w:szCs w:val="22"/>
        </w:rPr>
        <w:t xml:space="preserve"> aber auch den Erntehelfern ein relativ hohes Einkommen</w:t>
      </w:r>
      <w:r w:rsidR="00080283" w:rsidRPr="00762252">
        <w:rPr>
          <w:szCs w:val="22"/>
        </w:rPr>
        <w:t xml:space="preserve"> (vgl. </w:t>
      </w:r>
      <w:r w:rsidR="00011A6D" w:rsidRPr="00762252">
        <w:rPr>
          <w:szCs w:val="22"/>
        </w:rPr>
        <w:t>Krissmann 2015</w:t>
      </w:r>
      <w:r w:rsidR="00221BC0" w:rsidRPr="00762252">
        <w:rPr>
          <w:szCs w:val="22"/>
        </w:rPr>
        <w:t>)</w:t>
      </w:r>
      <w:r w:rsidR="007B11CD" w:rsidRPr="00762252">
        <w:rPr>
          <w:szCs w:val="22"/>
        </w:rPr>
        <w:t>.</w:t>
      </w:r>
      <w:r w:rsidR="0083349F" w:rsidRPr="00762252">
        <w:rPr>
          <w:szCs w:val="22"/>
        </w:rPr>
        <w:t xml:space="preserve"> </w:t>
      </w:r>
      <w:r w:rsidR="007B11CD" w:rsidRPr="00762252">
        <w:rPr>
          <w:szCs w:val="22"/>
        </w:rPr>
        <w:t>Der Ver</w:t>
      </w:r>
      <w:r w:rsidR="00B86830">
        <w:rPr>
          <w:szCs w:val="22"/>
        </w:rPr>
        <w:t>trieb und Handel wi</w:t>
      </w:r>
      <w:r w:rsidR="007B11CD" w:rsidRPr="00762252">
        <w:rPr>
          <w:szCs w:val="22"/>
        </w:rPr>
        <w:t>rd über persönliche Netzwerke organisiert</w:t>
      </w:r>
      <w:r w:rsidR="0039062A" w:rsidRPr="00762252">
        <w:rPr>
          <w:szCs w:val="22"/>
        </w:rPr>
        <w:t>, die</w:t>
      </w:r>
      <w:r w:rsidR="00E132F7" w:rsidRPr="00762252">
        <w:rPr>
          <w:szCs w:val="22"/>
        </w:rPr>
        <w:t xml:space="preserve"> dadurch einen Bezug zu den Anbaur</w:t>
      </w:r>
      <w:r w:rsidR="00B86830">
        <w:rPr>
          <w:szCs w:val="22"/>
        </w:rPr>
        <w:t>egionen beha</w:t>
      </w:r>
      <w:r w:rsidR="0039062A" w:rsidRPr="00762252">
        <w:rPr>
          <w:szCs w:val="22"/>
        </w:rPr>
        <w:t>l</w:t>
      </w:r>
      <w:r w:rsidR="00E132F7" w:rsidRPr="00762252">
        <w:rPr>
          <w:szCs w:val="22"/>
        </w:rPr>
        <w:t>ten</w:t>
      </w:r>
      <w:r w:rsidR="0039062A" w:rsidRPr="00762252">
        <w:rPr>
          <w:szCs w:val="22"/>
        </w:rPr>
        <w:t xml:space="preserve">. </w:t>
      </w:r>
      <w:r w:rsidR="00F245DA" w:rsidRPr="00762252">
        <w:rPr>
          <w:szCs w:val="22"/>
        </w:rPr>
        <w:t>Die Il</w:t>
      </w:r>
      <w:r w:rsidR="00B01A7A">
        <w:rPr>
          <w:szCs w:val="22"/>
        </w:rPr>
        <w:t xml:space="preserve">legalisierung </w:t>
      </w:r>
      <w:r w:rsidR="00B86830">
        <w:rPr>
          <w:szCs w:val="22"/>
        </w:rPr>
        <w:t>sorgte</w:t>
      </w:r>
      <w:r w:rsidR="00F245DA" w:rsidRPr="00762252">
        <w:rPr>
          <w:szCs w:val="22"/>
        </w:rPr>
        <w:t xml:space="preserve"> zwar dafür, dass in diesen Beschäft</w:t>
      </w:r>
      <w:r w:rsidR="00F245DA" w:rsidRPr="00762252">
        <w:rPr>
          <w:szCs w:val="22"/>
        </w:rPr>
        <w:t>i</w:t>
      </w:r>
      <w:r w:rsidR="00F245DA" w:rsidRPr="00762252">
        <w:rPr>
          <w:szCs w:val="22"/>
        </w:rPr>
        <w:t xml:space="preserve">gungsverhältnissen sonst geltende Standards in Bezug auf die Ausgestaltung </w:t>
      </w:r>
      <w:r w:rsidR="00B01A7A">
        <w:rPr>
          <w:szCs w:val="22"/>
        </w:rPr>
        <w:t>von</w:t>
      </w:r>
      <w:r w:rsidR="00F245DA" w:rsidRPr="00762252">
        <w:rPr>
          <w:szCs w:val="22"/>
        </w:rPr>
        <w:t xml:space="preserve"> Arbeitsbedi</w:t>
      </w:r>
      <w:r w:rsidR="00F245DA" w:rsidRPr="00762252">
        <w:rPr>
          <w:szCs w:val="22"/>
        </w:rPr>
        <w:t>n</w:t>
      </w:r>
      <w:r w:rsidR="00F245DA" w:rsidRPr="00762252">
        <w:rPr>
          <w:szCs w:val="22"/>
        </w:rPr>
        <w:t xml:space="preserve">gungen, Arbeitssicherheit und Lohngestaltung unterlaufen werden konnten. Allerdings </w:t>
      </w:r>
      <w:r w:rsidR="00B86830">
        <w:rPr>
          <w:szCs w:val="22"/>
        </w:rPr>
        <w:t>sind</w:t>
      </w:r>
      <w:r w:rsidR="00F245DA" w:rsidRPr="00762252">
        <w:rPr>
          <w:szCs w:val="22"/>
        </w:rPr>
        <w:t xml:space="preserve"> die geringen Hierarchien zwischen den Farmern und ihren</w:t>
      </w:r>
      <w:r w:rsidR="00E132F7" w:rsidRPr="00762252">
        <w:rPr>
          <w:szCs w:val="22"/>
        </w:rPr>
        <w:t>,</w:t>
      </w:r>
      <w:r w:rsidR="00F245DA" w:rsidRPr="00762252">
        <w:rPr>
          <w:szCs w:val="22"/>
        </w:rPr>
        <w:t xml:space="preserve"> oft auch aus </w:t>
      </w:r>
      <w:r w:rsidR="00E132F7" w:rsidRPr="00762252">
        <w:rPr>
          <w:szCs w:val="22"/>
        </w:rPr>
        <w:t xml:space="preserve">dem Freundeskreis und </w:t>
      </w:r>
      <w:r w:rsidR="00F245DA" w:rsidRPr="00762252">
        <w:rPr>
          <w:szCs w:val="22"/>
        </w:rPr>
        <w:t>der weiteren Familie kommenden Helfern ein wichtiges Gegengewicht, bestimmte</w:t>
      </w:r>
      <w:r w:rsidR="00925BC6" w:rsidRPr="00762252">
        <w:rPr>
          <w:szCs w:val="22"/>
        </w:rPr>
        <w:t xml:space="preserve"> </w:t>
      </w:r>
      <w:r w:rsidR="00F245DA" w:rsidRPr="00762252">
        <w:rPr>
          <w:szCs w:val="22"/>
        </w:rPr>
        <w:t>Standards nicht zu unterschreiten</w:t>
      </w:r>
      <w:r w:rsidR="00011A6D" w:rsidRPr="00762252">
        <w:rPr>
          <w:szCs w:val="22"/>
        </w:rPr>
        <w:t xml:space="preserve"> (vgl. ebenda)</w:t>
      </w:r>
      <w:r w:rsidR="00F245DA" w:rsidRPr="00762252">
        <w:rPr>
          <w:szCs w:val="22"/>
        </w:rPr>
        <w:t xml:space="preserve">. </w:t>
      </w:r>
    </w:p>
    <w:p w14:paraId="1F125B2C" w14:textId="485B66A1" w:rsidR="0039062A" w:rsidRPr="00B01A7A" w:rsidRDefault="00F245DA" w:rsidP="00B01A7A">
      <w:pPr>
        <w:pStyle w:val="KeinLeerraum"/>
        <w:spacing w:line="276" w:lineRule="auto"/>
        <w:rPr>
          <w:rFonts w:cs="Times"/>
        </w:rPr>
      </w:pPr>
      <w:r w:rsidRPr="00762252">
        <w:t xml:space="preserve">Deutlich wird, dass </w:t>
      </w:r>
      <w:r w:rsidR="0039062A" w:rsidRPr="00762252">
        <w:t>in den USA schon unter den Bedingungen der Illegalität</w:t>
      </w:r>
      <w:r w:rsidR="00C1273A">
        <w:t xml:space="preserve"> des Freizeitkonsums</w:t>
      </w:r>
      <w:r w:rsidR="0039062A" w:rsidRPr="00762252">
        <w:t xml:space="preserve"> eine vollständig</w:t>
      </w:r>
      <w:r w:rsidR="00B01A7A">
        <w:t xml:space="preserve"> ausgebaute</w:t>
      </w:r>
      <w:r w:rsidR="0039062A" w:rsidRPr="00762252">
        <w:t xml:space="preserve"> </w:t>
      </w:r>
      <w:r w:rsidR="00925BC6" w:rsidRPr="00762252">
        <w:t>Marihuana-</w:t>
      </w:r>
      <w:r w:rsidR="00E132F7" w:rsidRPr="00762252">
        <w:t>Wirtschaft</w:t>
      </w:r>
      <w:r w:rsidR="0039062A" w:rsidRPr="00762252">
        <w:t xml:space="preserve"> mit Produktion, Verarbeitung, Distribution und Handel</w:t>
      </w:r>
      <w:r w:rsidRPr="00762252">
        <w:t xml:space="preserve"> entstand</w:t>
      </w:r>
      <w:r w:rsidR="00B01A7A">
        <w:t>en ist</w:t>
      </w:r>
      <w:r w:rsidR="0039062A" w:rsidRPr="00762252">
        <w:t>.</w:t>
      </w:r>
      <w:r w:rsidR="00B01A7A">
        <w:t xml:space="preserve"> Der legalisierte Sektor der Marihuana-Industrie</w:t>
      </w:r>
      <w:r w:rsidR="00B01A7A">
        <w:rPr>
          <w:rStyle w:val="Funotenzeichen"/>
          <w:szCs w:val="22"/>
        </w:rPr>
        <w:footnoteReference w:id="61"/>
      </w:r>
      <w:r w:rsidR="00B01A7A">
        <w:t xml:space="preserve"> erzeugt </w:t>
      </w:r>
      <w:r w:rsidR="00C1273A">
        <w:t xml:space="preserve">bereits jetzt </w:t>
      </w:r>
      <w:r w:rsidR="00B01A7A">
        <w:t>Einkünfte in Höhe einer halben Billionen Dollar und erzielt jedes Jahr eine Handelsbilan</w:t>
      </w:r>
      <w:r w:rsidR="00B01A7A">
        <w:t>z</w:t>
      </w:r>
      <w:r w:rsidR="00B01A7A">
        <w:t xml:space="preserve">überschuss </w:t>
      </w:r>
      <w:r w:rsidR="00BB75AC" w:rsidRPr="00B01A7A">
        <w:rPr>
          <w:rFonts w:cs="Arial"/>
        </w:rPr>
        <w:t>(</w:t>
      </w:r>
      <w:r w:rsidR="00BB75AC" w:rsidRPr="00B01A7A">
        <w:rPr>
          <w:rFonts w:cs="Arial"/>
          <w:iCs/>
        </w:rPr>
        <w:t xml:space="preserve">US Congress </w:t>
      </w:r>
      <w:r w:rsidR="00BB75AC" w:rsidRPr="00B01A7A">
        <w:rPr>
          <w:rFonts w:cs="Arial"/>
        </w:rPr>
        <w:t>2013</w:t>
      </w:r>
      <w:r w:rsidR="00BB75AC" w:rsidRPr="00762252">
        <w:rPr>
          <w:rFonts w:cs="Arial"/>
        </w:rPr>
        <w:t xml:space="preserve">). </w:t>
      </w:r>
      <w:r w:rsidR="00C1273A">
        <w:rPr>
          <w:rFonts w:cs="Arial"/>
        </w:rPr>
        <w:t>In der Marihuana-W</w:t>
      </w:r>
      <w:r w:rsidR="00B01A7A">
        <w:rPr>
          <w:rFonts w:cs="Arial"/>
        </w:rPr>
        <w:t xml:space="preserve">irtschaft </w:t>
      </w:r>
      <w:r w:rsidR="00B01A7A">
        <w:t>können</w:t>
      </w:r>
      <w:r w:rsidR="0039062A" w:rsidRPr="00762252">
        <w:t xml:space="preserve"> </w:t>
      </w:r>
      <w:r w:rsidR="00B01A7A">
        <w:t xml:space="preserve">mindestens eine Millionen </w:t>
      </w:r>
      <w:r w:rsidR="0039062A" w:rsidRPr="00762252">
        <w:t xml:space="preserve">Farmer, aus der Region kommende Erntehelfer und einwandernde Migranten </w:t>
      </w:r>
      <w:r w:rsidRPr="00762252">
        <w:t xml:space="preserve">eine gut bezahlte Arbeit finden und </w:t>
      </w:r>
      <w:r w:rsidR="00B01A7A">
        <w:t xml:space="preserve">so </w:t>
      </w:r>
      <w:r w:rsidR="0039062A" w:rsidRPr="00762252">
        <w:t>ihre Familien ernähren</w:t>
      </w:r>
      <w:r w:rsidRPr="00762252">
        <w:t>; die erwirtschafteten Gewinne ver</w:t>
      </w:r>
      <w:r w:rsidR="00B01A7A">
        <w:t>blei</w:t>
      </w:r>
      <w:r w:rsidRPr="00762252">
        <w:t xml:space="preserve">ben </w:t>
      </w:r>
      <w:r w:rsidR="00B01A7A">
        <w:t>zu Teilen</w:t>
      </w:r>
      <w:r w:rsidR="00E132F7" w:rsidRPr="00762252">
        <w:t xml:space="preserve"> </w:t>
      </w:r>
      <w:r w:rsidRPr="00762252">
        <w:t xml:space="preserve">in der jeweiligen Region und sorgen für </w:t>
      </w:r>
      <w:r w:rsidR="00E132F7" w:rsidRPr="00762252">
        <w:t xml:space="preserve">stabile wirtschaftliche Verhältnisse und </w:t>
      </w:r>
      <w:r w:rsidRPr="00762252">
        <w:t>einen gewissen Wohlstand</w:t>
      </w:r>
      <w:r w:rsidR="00B86830">
        <w:t xml:space="preserve"> vor allem dort, wo keine weiteren Einnahmequellen existieren</w:t>
      </w:r>
      <w:r w:rsidR="0039062A" w:rsidRPr="00762252">
        <w:t xml:space="preserve">. </w:t>
      </w:r>
    </w:p>
    <w:p w14:paraId="4AFC63C4" w14:textId="77777777" w:rsidR="00B86830" w:rsidRDefault="00B86830" w:rsidP="00B01A7A">
      <w:pPr>
        <w:pStyle w:val="KeinLeerraum"/>
        <w:spacing w:line="276" w:lineRule="auto"/>
      </w:pPr>
    </w:p>
    <w:p w14:paraId="110E1F9B" w14:textId="6D07CBCC" w:rsidR="00F245DA" w:rsidRPr="00762252" w:rsidRDefault="00B01A7A" w:rsidP="00B01A7A">
      <w:pPr>
        <w:pStyle w:val="KeinLeerraum"/>
        <w:spacing w:line="276" w:lineRule="auto"/>
      </w:pPr>
      <w:r>
        <w:t>Damit</w:t>
      </w:r>
      <w:r w:rsidR="00E132F7" w:rsidRPr="00762252">
        <w:t xml:space="preserve"> </w:t>
      </w:r>
      <w:r>
        <w:t>ist</w:t>
      </w:r>
      <w:r w:rsidR="0039062A" w:rsidRPr="00762252">
        <w:t xml:space="preserve"> ein bedeutsamer Unterschied zu </w:t>
      </w:r>
      <w:r w:rsidR="00772C07" w:rsidRPr="00762252">
        <w:t>Deutschland</w:t>
      </w:r>
      <w:r w:rsidR="00E132F7" w:rsidRPr="00762252">
        <w:t xml:space="preserve"> </w:t>
      </w:r>
      <w:r>
        <w:t>benannt</w:t>
      </w:r>
      <w:r w:rsidR="006D6D63">
        <w:t>:</w:t>
      </w:r>
      <w:r w:rsidR="00F245DA" w:rsidRPr="00762252">
        <w:t xml:space="preserve"> Hier </w:t>
      </w:r>
      <w:r>
        <w:t>wird das besser zu tran</w:t>
      </w:r>
      <w:r>
        <w:t>s</w:t>
      </w:r>
      <w:r>
        <w:t>portierende</w:t>
      </w:r>
      <w:r w:rsidR="00E132F7" w:rsidRPr="00762252">
        <w:t xml:space="preserve"> </w:t>
      </w:r>
      <w:r>
        <w:t>Cannabisprodukt „</w:t>
      </w:r>
      <w:r w:rsidR="00E132F7" w:rsidRPr="00762252">
        <w:t>Haschisch</w:t>
      </w:r>
      <w:r>
        <w:t>“ zum</w:t>
      </w:r>
      <w:r w:rsidR="00E132F7" w:rsidRPr="00762252">
        <w:t xml:space="preserve"> </w:t>
      </w:r>
      <w:r>
        <w:t>grö</w:t>
      </w:r>
      <w:r w:rsidR="00772C07" w:rsidRPr="00762252">
        <w:t>ß</w:t>
      </w:r>
      <w:r>
        <w:t>t</w:t>
      </w:r>
      <w:r w:rsidR="00772C07" w:rsidRPr="00762252">
        <w:t>e</w:t>
      </w:r>
      <w:r>
        <w:t>n Teil</w:t>
      </w:r>
      <w:r w:rsidR="00772C07" w:rsidRPr="00762252">
        <w:t xml:space="preserve"> aus Regionen</w:t>
      </w:r>
      <w:r w:rsidR="00E132F7" w:rsidRPr="00762252">
        <w:t xml:space="preserve"> außerhalb Deutsc</w:t>
      </w:r>
      <w:r w:rsidR="00E132F7" w:rsidRPr="00762252">
        <w:t>h</w:t>
      </w:r>
      <w:r w:rsidR="00E132F7" w:rsidRPr="00762252">
        <w:t>lands</w:t>
      </w:r>
      <w:r w:rsidR="00772C07" w:rsidRPr="00762252">
        <w:t xml:space="preserve"> eingeführt</w:t>
      </w:r>
      <w:r w:rsidR="0039062A" w:rsidRPr="00762252">
        <w:t xml:space="preserve">. </w:t>
      </w:r>
      <w:r w:rsidR="00E132F7" w:rsidRPr="00762252">
        <w:t>Wirtschaftliche</w:t>
      </w:r>
      <w:r w:rsidR="00F245DA" w:rsidRPr="00762252">
        <w:t xml:space="preserve"> Impulse </w:t>
      </w:r>
      <w:r w:rsidR="00E132F7" w:rsidRPr="00762252">
        <w:t xml:space="preserve">aus </w:t>
      </w:r>
      <w:r w:rsidR="00B86830">
        <w:t>der „Schwarzarbeit im Cannabissektor“</w:t>
      </w:r>
      <w:r w:rsidR="00E132F7" w:rsidRPr="00762252">
        <w:t xml:space="preserve"> </w:t>
      </w:r>
      <w:r w:rsidR="00F245DA" w:rsidRPr="00762252">
        <w:t xml:space="preserve">ergeben sich weder in Form </w:t>
      </w:r>
      <w:r w:rsidR="00E132F7" w:rsidRPr="00762252">
        <w:t>von</w:t>
      </w:r>
      <w:r w:rsidR="00F245DA" w:rsidRPr="00762252">
        <w:t xml:space="preserve"> Arbeitsplät</w:t>
      </w:r>
      <w:r w:rsidR="00925BC6" w:rsidRPr="00762252">
        <w:t>ze</w:t>
      </w:r>
      <w:r w:rsidR="00E132F7" w:rsidRPr="00762252">
        <w:t>n</w:t>
      </w:r>
      <w:r w:rsidR="00F245DA" w:rsidRPr="00762252">
        <w:t xml:space="preserve">, </w:t>
      </w:r>
      <w:r w:rsidR="00925BC6" w:rsidRPr="00762252">
        <w:t>Arbeitse</w:t>
      </w:r>
      <w:r w:rsidR="00F245DA" w:rsidRPr="00762252">
        <w:t>in</w:t>
      </w:r>
      <w:r w:rsidR="00925BC6" w:rsidRPr="00762252">
        <w:t>kommen oder zusätzli</w:t>
      </w:r>
      <w:r w:rsidR="00E132F7" w:rsidRPr="00762252">
        <w:t>chen</w:t>
      </w:r>
      <w:r w:rsidR="00F245DA" w:rsidRPr="00762252">
        <w:t xml:space="preserve"> Einnahmen für die Gemeinden.</w:t>
      </w:r>
      <w:r w:rsidR="00E132F7" w:rsidRPr="00762252">
        <w:t xml:space="preserve"> </w:t>
      </w:r>
      <w:r w:rsidR="009E42A0" w:rsidRPr="00762252">
        <w:t xml:space="preserve">In Deutschland </w:t>
      </w:r>
      <w:r>
        <w:t xml:space="preserve">ergeben sich Wohlstandeffekte </w:t>
      </w:r>
      <w:r w:rsidR="00C1273A">
        <w:t xml:space="preserve">allein </w:t>
      </w:r>
      <w:r>
        <w:t xml:space="preserve">durch Arbeitsplätze für </w:t>
      </w:r>
      <w:r w:rsidR="00E132F7" w:rsidRPr="00762252">
        <w:t xml:space="preserve">die </w:t>
      </w:r>
      <w:r w:rsidR="00B86830">
        <w:t>Institutionen</w:t>
      </w:r>
      <w:r w:rsidR="00E132F7" w:rsidRPr="00762252">
        <w:t xml:space="preserve"> von Polizei</w:t>
      </w:r>
      <w:r w:rsidR="009E42A0" w:rsidRPr="00762252">
        <w:t xml:space="preserve"> und </w:t>
      </w:r>
      <w:r w:rsidR="00E132F7" w:rsidRPr="00762252">
        <w:t>Justiz</w:t>
      </w:r>
      <w:r w:rsidR="009E42A0" w:rsidRPr="00762252">
        <w:t xml:space="preserve"> </w:t>
      </w:r>
      <w:r w:rsidR="00B86830">
        <w:t>durch den Auftrag</w:t>
      </w:r>
      <w:r w:rsidR="009E42A0" w:rsidRPr="00762252">
        <w:t xml:space="preserve"> der Strafverfolgung sowie </w:t>
      </w:r>
      <w:r w:rsidR="00B86830">
        <w:t>für Instituti</w:t>
      </w:r>
      <w:r w:rsidR="00B86830">
        <w:t>o</w:t>
      </w:r>
      <w:r w:rsidR="00B86830">
        <w:t>nen von</w:t>
      </w:r>
      <w:r w:rsidR="00E132F7" w:rsidRPr="00762252">
        <w:t xml:space="preserve"> psychosozialer Hilfe und Therapie</w:t>
      </w:r>
      <w:r w:rsidR="009E42A0" w:rsidRPr="00762252">
        <w:t xml:space="preserve">, </w:t>
      </w:r>
      <w:r w:rsidR="00B86830">
        <w:t>wenn</w:t>
      </w:r>
      <w:r w:rsidR="00C1273A">
        <w:t xml:space="preserve"> </w:t>
      </w:r>
      <w:r w:rsidR="009E42A0" w:rsidRPr="00762252">
        <w:t>Konsumenten Angebote aus diesen Bereichen nach</w:t>
      </w:r>
      <w:r w:rsidR="00C1273A" w:rsidRPr="00762252">
        <w:t>fragen</w:t>
      </w:r>
      <w:r w:rsidR="009E42A0" w:rsidRPr="00762252">
        <w:t>.</w:t>
      </w:r>
      <w:r w:rsidR="00E132F7" w:rsidRPr="00762252">
        <w:t xml:space="preserve"> </w:t>
      </w:r>
      <w:r w:rsidR="00C1273A">
        <w:t xml:space="preserve">Diese Unterschiede zwischen Deutschland und den USA erklären zumindest zum Teil, warum in den amerikanischen drogenpolitischen Auseinandersetzungen um Regulierung wirtschaftliche </w:t>
      </w:r>
      <w:r w:rsidR="00B86830">
        <w:t>Argumente</w:t>
      </w:r>
      <w:r w:rsidR="00C1273A">
        <w:t xml:space="preserve"> nicht nur durch die Farmer selbst vorgetragen</w:t>
      </w:r>
      <w:r w:rsidR="00B86830">
        <w:t xml:space="preserve"> werden</w:t>
      </w:r>
      <w:r w:rsidR="00C1273A">
        <w:t xml:space="preserve">, sondern von der Bevölkerung auch Berechtigung zugesprochen </w:t>
      </w:r>
      <w:r w:rsidR="00B86830">
        <w:t>erhalten</w:t>
      </w:r>
      <w:r w:rsidR="00C1273A">
        <w:t>.</w:t>
      </w:r>
    </w:p>
    <w:p w14:paraId="7569CBD6" w14:textId="77777777" w:rsidR="00AF26CF" w:rsidRDefault="00AF26CF" w:rsidP="00B01A7A">
      <w:pPr>
        <w:pStyle w:val="KeinLeerraum"/>
        <w:spacing w:line="276" w:lineRule="auto"/>
      </w:pPr>
    </w:p>
    <w:p w14:paraId="65230DCE" w14:textId="423D1FBE" w:rsidR="00C1273A" w:rsidRDefault="00925BC6" w:rsidP="009D7629">
      <w:pPr>
        <w:spacing w:line="276" w:lineRule="auto"/>
        <w:jc w:val="both"/>
        <w:rPr>
          <w:szCs w:val="22"/>
        </w:rPr>
      </w:pPr>
      <w:r w:rsidRPr="00762252">
        <w:rPr>
          <w:szCs w:val="22"/>
        </w:rPr>
        <w:t>Mit der Regulierung entstehen neue Bedingungen, unter denen sich die Marihuana-</w:t>
      </w:r>
      <w:r w:rsidR="009E42A0" w:rsidRPr="00762252">
        <w:rPr>
          <w:szCs w:val="22"/>
        </w:rPr>
        <w:t>Wirtschaft</w:t>
      </w:r>
      <w:r w:rsidR="00C1273A">
        <w:rPr>
          <w:szCs w:val="22"/>
        </w:rPr>
        <w:t xml:space="preserve"> </w:t>
      </w:r>
      <w:r w:rsidR="00B86830">
        <w:rPr>
          <w:szCs w:val="22"/>
        </w:rPr>
        <w:t xml:space="preserve">auch </w:t>
      </w:r>
      <w:r w:rsidR="00C1273A">
        <w:rPr>
          <w:szCs w:val="22"/>
        </w:rPr>
        <w:t>umstrukturieren kann:</w:t>
      </w:r>
    </w:p>
    <w:p w14:paraId="467B71B0" w14:textId="6F4AB444" w:rsidR="00C1273A" w:rsidRPr="00C1273A" w:rsidRDefault="00925BC6" w:rsidP="00C1273A">
      <w:pPr>
        <w:pStyle w:val="Listenabsatz"/>
        <w:numPr>
          <w:ilvl w:val="0"/>
          <w:numId w:val="16"/>
        </w:numPr>
        <w:spacing w:line="276" w:lineRule="auto"/>
        <w:jc w:val="both"/>
        <w:rPr>
          <w:szCs w:val="22"/>
        </w:rPr>
      </w:pPr>
      <w:r w:rsidRPr="00C1273A">
        <w:rPr>
          <w:szCs w:val="22"/>
        </w:rPr>
        <w:t xml:space="preserve">Nunmehr wird es möglich, Marihuana quasi </w:t>
      </w:r>
      <w:r w:rsidR="00C1273A" w:rsidRPr="00C1273A">
        <w:rPr>
          <w:szCs w:val="22"/>
        </w:rPr>
        <w:t xml:space="preserve">auch </w:t>
      </w:r>
      <w:r w:rsidRPr="00C1273A">
        <w:rPr>
          <w:szCs w:val="22"/>
        </w:rPr>
        <w:t>industriell auf großen Flächen anz</w:t>
      </w:r>
      <w:r w:rsidRPr="00C1273A">
        <w:rPr>
          <w:szCs w:val="22"/>
        </w:rPr>
        <w:t>u</w:t>
      </w:r>
      <w:r w:rsidRPr="00C1273A">
        <w:rPr>
          <w:szCs w:val="22"/>
        </w:rPr>
        <w:t xml:space="preserve">bauen und über überregional agierende </w:t>
      </w:r>
      <w:r w:rsidR="00B86830">
        <w:rPr>
          <w:szCs w:val="22"/>
        </w:rPr>
        <w:t>Handelsketten</w:t>
      </w:r>
      <w:r w:rsidRPr="00C1273A">
        <w:rPr>
          <w:szCs w:val="22"/>
        </w:rPr>
        <w:t xml:space="preserve"> zu vermarkten</w:t>
      </w:r>
      <w:r w:rsidR="00C516CF" w:rsidRPr="00C1273A">
        <w:rPr>
          <w:szCs w:val="22"/>
        </w:rPr>
        <w:t>. D</w:t>
      </w:r>
      <w:r w:rsidRPr="00C1273A">
        <w:rPr>
          <w:szCs w:val="22"/>
        </w:rPr>
        <w:t xml:space="preserve">eren Gewinne </w:t>
      </w:r>
      <w:r w:rsidR="00C516CF" w:rsidRPr="00C1273A">
        <w:rPr>
          <w:szCs w:val="22"/>
        </w:rPr>
        <w:t xml:space="preserve">werden </w:t>
      </w:r>
      <w:r w:rsidRPr="00C1273A">
        <w:rPr>
          <w:szCs w:val="22"/>
        </w:rPr>
        <w:t xml:space="preserve">nicht mehr folgerichtig in </w:t>
      </w:r>
      <w:r w:rsidR="00C516CF" w:rsidRPr="00C1273A">
        <w:rPr>
          <w:szCs w:val="22"/>
        </w:rPr>
        <w:t>den</w:t>
      </w:r>
      <w:r w:rsidRPr="00C1273A">
        <w:rPr>
          <w:szCs w:val="22"/>
        </w:rPr>
        <w:t xml:space="preserve"> produzierenden Regionen </w:t>
      </w:r>
      <w:r w:rsidR="00C516CF" w:rsidRPr="00C1273A">
        <w:rPr>
          <w:szCs w:val="22"/>
        </w:rPr>
        <w:t>verbleiben, sondern aus dieser eher abgezogen</w:t>
      </w:r>
      <w:r w:rsidRPr="00C1273A">
        <w:rPr>
          <w:szCs w:val="22"/>
        </w:rPr>
        <w:t xml:space="preserve">. Wie </w:t>
      </w:r>
      <w:r w:rsidR="00C1273A" w:rsidRPr="00C1273A">
        <w:rPr>
          <w:szCs w:val="22"/>
        </w:rPr>
        <w:t>bei</w:t>
      </w:r>
      <w:r w:rsidRPr="00C1273A">
        <w:rPr>
          <w:szCs w:val="22"/>
        </w:rPr>
        <w:t xml:space="preserve"> jeder industriellen Produktion </w:t>
      </w:r>
      <w:r w:rsidR="00C516CF" w:rsidRPr="00C1273A">
        <w:rPr>
          <w:szCs w:val="22"/>
        </w:rPr>
        <w:t>wird ein großer Teil der vormaligen Handarbeit durch Maschinen übernommen</w:t>
      </w:r>
      <w:r w:rsidR="00C1273A" w:rsidRPr="00C1273A">
        <w:rPr>
          <w:szCs w:val="22"/>
        </w:rPr>
        <w:t xml:space="preserve"> werden</w:t>
      </w:r>
      <w:r w:rsidR="00C516CF" w:rsidRPr="00C1273A">
        <w:rPr>
          <w:szCs w:val="22"/>
        </w:rPr>
        <w:t>, wodurch die bish</w:t>
      </w:r>
      <w:r w:rsidR="00C516CF" w:rsidRPr="00C1273A">
        <w:rPr>
          <w:szCs w:val="22"/>
        </w:rPr>
        <w:t>e</w:t>
      </w:r>
      <w:r w:rsidR="00C516CF" w:rsidRPr="00C1273A">
        <w:rPr>
          <w:szCs w:val="22"/>
        </w:rPr>
        <w:t xml:space="preserve">rigen </w:t>
      </w:r>
      <w:r w:rsidR="009E42A0" w:rsidRPr="00C1273A">
        <w:rPr>
          <w:szCs w:val="22"/>
        </w:rPr>
        <w:t xml:space="preserve">weniger qualifizierten, aber </w:t>
      </w:r>
      <w:r w:rsidR="00C516CF" w:rsidRPr="00C1273A">
        <w:rPr>
          <w:szCs w:val="22"/>
        </w:rPr>
        <w:t>relativ gut bezahlten</w:t>
      </w:r>
      <w:r w:rsidR="009E42A0" w:rsidRPr="00C1273A">
        <w:rPr>
          <w:szCs w:val="22"/>
        </w:rPr>
        <w:t xml:space="preserve"> </w:t>
      </w:r>
      <w:r w:rsidR="00C516CF" w:rsidRPr="00C1273A">
        <w:rPr>
          <w:szCs w:val="22"/>
        </w:rPr>
        <w:t xml:space="preserve">Arbeitsplätze verloren gehen. </w:t>
      </w:r>
    </w:p>
    <w:p w14:paraId="1F6765C0" w14:textId="1FF29881" w:rsidR="00C1273A" w:rsidRPr="00C1273A" w:rsidRDefault="00C516CF" w:rsidP="00C1273A">
      <w:pPr>
        <w:pStyle w:val="Listenabsatz"/>
        <w:numPr>
          <w:ilvl w:val="0"/>
          <w:numId w:val="16"/>
        </w:numPr>
        <w:spacing w:line="276" w:lineRule="auto"/>
        <w:jc w:val="both"/>
        <w:rPr>
          <w:szCs w:val="22"/>
        </w:rPr>
      </w:pPr>
      <w:r w:rsidRPr="00C1273A">
        <w:rPr>
          <w:szCs w:val="22"/>
        </w:rPr>
        <w:t xml:space="preserve">Wie bei allen Formen industrieller Pflanzenproduktion </w:t>
      </w:r>
      <w:r w:rsidR="00FA1168" w:rsidRPr="00C1273A">
        <w:rPr>
          <w:szCs w:val="22"/>
        </w:rPr>
        <w:t xml:space="preserve">werden auch die Konsumenten von Marihuana </w:t>
      </w:r>
      <w:r w:rsidR="009E42A0" w:rsidRPr="00C1273A">
        <w:rPr>
          <w:szCs w:val="22"/>
        </w:rPr>
        <w:t xml:space="preserve">mit </w:t>
      </w:r>
      <w:r w:rsidR="00925BC6" w:rsidRPr="00C1273A">
        <w:rPr>
          <w:szCs w:val="22"/>
        </w:rPr>
        <w:t>all</w:t>
      </w:r>
      <w:r w:rsidR="009E42A0" w:rsidRPr="00C1273A">
        <w:rPr>
          <w:szCs w:val="22"/>
        </w:rPr>
        <w:t xml:space="preserve"> den</w:t>
      </w:r>
      <w:r w:rsidR="00925BC6" w:rsidRPr="00C1273A">
        <w:rPr>
          <w:szCs w:val="22"/>
        </w:rPr>
        <w:t xml:space="preserve"> </w:t>
      </w:r>
      <w:r w:rsidR="00FA1168" w:rsidRPr="00C1273A">
        <w:rPr>
          <w:szCs w:val="22"/>
        </w:rPr>
        <w:t>Nachteile</w:t>
      </w:r>
      <w:r w:rsidR="009E42A0" w:rsidRPr="00C1273A">
        <w:rPr>
          <w:szCs w:val="22"/>
        </w:rPr>
        <w:t>n</w:t>
      </w:r>
      <w:r w:rsidR="00B638A6" w:rsidRPr="00C1273A">
        <w:rPr>
          <w:szCs w:val="22"/>
        </w:rPr>
        <w:t xml:space="preserve"> </w:t>
      </w:r>
      <w:r w:rsidR="009E42A0" w:rsidRPr="00C1273A">
        <w:rPr>
          <w:szCs w:val="22"/>
        </w:rPr>
        <w:t>konfrontiert</w:t>
      </w:r>
      <w:r w:rsidR="00B86830">
        <w:rPr>
          <w:szCs w:val="22"/>
        </w:rPr>
        <w:t xml:space="preserve"> werden</w:t>
      </w:r>
      <w:r w:rsidR="00FA1168" w:rsidRPr="00C1273A">
        <w:rPr>
          <w:szCs w:val="22"/>
        </w:rPr>
        <w:t>, die mit einer solchen Pr</w:t>
      </w:r>
      <w:r w:rsidR="00FA1168" w:rsidRPr="00C1273A">
        <w:rPr>
          <w:szCs w:val="22"/>
        </w:rPr>
        <w:t>o</w:t>
      </w:r>
      <w:r w:rsidR="00FA1168" w:rsidRPr="00C1273A">
        <w:rPr>
          <w:szCs w:val="22"/>
        </w:rPr>
        <w:t xml:space="preserve">duktionsweise </w:t>
      </w:r>
      <w:r w:rsidR="00B638A6" w:rsidRPr="00C1273A">
        <w:rPr>
          <w:szCs w:val="22"/>
        </w:rPr>
        <w:t>regelmäßig verbunden sind</w:t>
      </w:r>
      <w:r w:rsidR="00FA1168" w:rsidRPr="00C1273A">
        <w:rPr>
          <w:szCs w:val="22"/>
        </w:rPr>
        <w:t xml:space="preserve">. </w:t>
      </w:r>
      <w:r w:rsidR="00925BC6" w:rsidRPr="00C1273A">
        <w:rPr>
          <w:szCs w:val="22"/>
        </w:rPr>
        <w:t xml:space="preserve">Dazu gehört </w:t>
      </w:r>
      <w:r w:rsidR="009E42A0" w:rsidRPr="00C1273A">
        <w:rPr>
          <w:szCs w:val="22"/>
        </w:rPr>
        <w:t xml:space="preserve">ein Wechsel hin zu </w:t>
      </w:r>
      <w:r w:rsidR="00925BC6" w:rsidRPr="00C1273A">
        <w:rPr>
          <w:szCs w:val="22"/>
        </w:rPr>
        <w:t xml:space="preserve">Cannabis, das genmanipuliert von hochpotenten Pflanzen gewonnen wird, </w:t>
      </w:r>
      <w:r w:rsidR="00FA1168" w:rsidRPr="00C1273A">
        <w:rPr>
          <w:szCs w:val="22"/>
        </w:rPr>
        <w:t>der</w:t>
      </w:r>
      <w:r w:rsidRPr="00C1273A">
        <w:rPr>
          <w:szCs w:val="22"/>
        </w:rPr>
        <w:t xml:space="preserve"> Einsatz von </w:t>
      </w:r>
      <w:r w:rsidR="00925BC6" w:rsidRPr="00C1273A">
        <w:rPr>
          <w:szCs w:val="22"/>
        </w:rPr>
        <w:t>Pfla</w:t>
      </w:r>
      <w:r w:rsidR="00925BC6" w:rsidRPr="00C1273A">
        <w:rPr>
          <w:szCs w:val="22"/>
        </w:rPr>
        <w:t>n</w:t>
      </w:r>
      <w:r w:rsidR="00925BC6" w:rsidRPr="00C1273A">
        <w:rPr>
          <w:szCs w:val="22"/>
        </w:rPr>
        <w:t>zendünger</w:t>
      </w:r>
      <w:r w:rsidRPr="00C1273A">
        <w:rPr>
          <w:szCs w:val="22"/>
        </w:rPr>
        <w:t xml:space="preserve"> und</w:t>
      </w:r>
      <w:r w:rsidR="00925BC6" w:rsidRPr="00C1273A">
        <w:rPr>
          <w:szCs w:val="22"/>
        </w:rPr>
        <w:t xml:space="preserve"> Pestiziden</w:t>
      </w:r>
      <w:r w:rsidRPr="00C1273A">
        <w:rPr>
          <w:szCs w:val="22"/>
        </w:rPr>
        <w:t xml:space="preserve">, </w:t>
      </w:r>
      <w:r w:rsidR="00FA1168" w:rsidRPr="00C1273A">
        <w:rPr>
          <w:szCs w:val="22"/>
        </w:rPr>
        <w:t xml:space="preserve">eine </w:t>
      </w:r>
      <w:r w:rsidRPr="00C1273A">
        <w:rPr>
          <w:szCs w:val="22"/>
        </w:rPr>
        <w:t xml:space="preserve">industriell </w:t>
      </w:r>
      <w:r w:rsidR="00FA1168" w:rsidRPr="00C1273A">
        <w:rPr>
          <w:szCs w:val="22"/>
        </w:rPr>
        <w:t>vorgenommene Ernte, die nicht mehr die h</w:t>
      </w:r>
      <w:r w:rsidR="00FA1168" w:rsidRPr="00C1273A">
        <w:rPr>
          <w:szCs w:val="22"/>
        </w:rPr>
        <w:t>o</w:t>
      </w:r>
      <w:r w:rsidR="00FA1168" w:rsidRPr="00C1273A">
        <w:rPr>
          <w:szCs w:val="22"/>
        </w:rPr>
        <w:t>hen Qualitätsmaßstä</w:t>
      </w:r>
      <w:r w:rsidR="009E42A0" w:rsidRPr="00C1273A">
        <w:rPr>
          <w:szCs w:val="22"/>
        </w:rPr>
        <w:t>be</w:t>
      </w:r>
      <w:r w:rsidR="00B638A6" w:rsidRPr="00C1273A">
        <w:rPr>
          <w:szCs w:val="22"/>
        </w:rPr>
        <w:t xml:space="preserve"> eines</w:t>
      </w:r>
      <w:r w:rsidR="00FA1168" w:rsidRPr="00C1273A">
        <w:rPr>
          <w:szCs w:val="22"/>
        </w:rPr>
        <w:t xml:space="preserve"> handverlesenen </w:t>
      </w:r>
      <w:r w:rsidR="00B638A6" w:rsidRPr="00C1273A">
        <w:rPr>
          <w:szCs w:val="22"/>
        </w:rPr>
        <w:t>Erze</w:t>
      </w:r>
      <w:r w:rsidR="009E42A0" w:rsidRPr="00C1273A">
        <w:rPr>
          <w:szCs w:val="22"/>
        </w:rPr>
        <w:t>u</w:t>
      </w:r>
      <w:r w:rsidR="00B638A6" w:rsidRPr="00C1273A">
        <w:rPr>
          <w:szCs w:val="22"/>
        </w:rPr>
        <w:t>gnisses</w:t>
      </w:r>
      <w:r w:rsidR="00FA1168" w:rsidRPr="00C1273A">
        <w:rPr>
          <w:szCs w:val="22"/>
        </w:rPr>
        <w:t xml:space="preserve"> erreicht</w:t>
      </w:r>
      <w:r w:rsidRPr="00C1273A">
        <w:rPr>
          <w:szCs w:val="22"/>
        </w:rPr>
        <w:t xml:space="preserve"> und </w:t>
      </w:r>
      <w:r w:rsidR="00FA1168" w:rsidRPr="00C1273A">
        <w:rPr>
          <w:szCs w:val="22"/>
        </w:rPr>
        <w:t>zudem mit ve</w:t>
      </w:r>
      <w:r w:rsidR="00FA1168" w:rsidRPr="00C1273A">
        <w:rPr>
          <w:szCs w:val="22"/>
        </w:rPr>
        <w:t>r</w:t>
      </w:r>
      <w:r w:rsidR="00FA1168" w:rsidRPr="00C1273A">
        <w:rPr>
          <w:szCs w:val="22"/>
        </w:rPr>
        <w:t xml:space="preserve">schiedenen Chemikalien behandelt werden muss, um diese großen Mengen </w:t>
      </w:r>
      <w:r w:rsidRPr="00C1273A">
        <w:rPr>
          <w:szCs w:val="22"/>
        </w:rPr>
        <w:t>verarbeite</w:t>
      </w:r>
      <w:r w:rsidR="00FA1168" w:rsidRPr="00C1273A">
        <w:rPr>
          <w:szCs w:val="22"/>
        </w:rPr>
        <w:t xml:space="preserve">n zu können. </w:t>
      </w:r>
    </w:p>
    <w:p w14:paraId="693F422E" w14:textId="5CB73876" w:rsidR="00925BC6" w:rsidRPr="00C1273A" w:rsidRDefault="00FA1168" w:rsidP="00C1273A">
      <w:pPr>
        <w:pStyle w:val="Listenabsatz"/>
        <w:numPr>
          <w:ilvl w:val="0"/>
          <w:numId w:val="16"/>
        </w:numPr>
        <w:spacing w:line="276" w:lineRule="auto"/>
        <w:jc w:val="both"/>
        <w:rPr>
          <w:szCs w:val="22"/>
        </w:rPr>
      </w:pPr>
      <w:r w:rsidRPr="00C1273A">
        <w:rPr>
          <w:szCs w:val="22"/>
        </w:rPr>
        <w:t>Mit einer industriellen Produktion lassen sich zudem M</w:t>
      </w:r>
      <w:r w:rsidR="00C1273A" w:rsidRPr="00C1273A">
        <w:rPr>
          <w:szCs w:val="22"/>
        </w:rPr>
        <w:t>arihuana-M</w:t>
      </w:r>
      <w:r w:rsidRPr="00C1273A">
        <w:rPr>
          <w:szCs w:val="22"/>
        </w:rPr>
        <w:t>engen herstellen, die weit über die gegenwärtige Nachfrage hinausgehen. Die besonderen ökonomischen Int</w:t>
      </w:r>
      <w:r w:rsidRPr="00C1273A">
        <w:rPr>
          <w:szCs w:val="22"/>
        </w:rPr>
        <w:t>e</w:t>
      </w:r>
      <w:r w:rsidRPr="00C1273A">
        <w:rPr>
          <w:szCs w:val="22"/>
        </w:rPr>
        <w:t xml:space="preserve">ressen dieser Großproduzenten werden ihrerseits in der Lage sein, Marktregulierungen zu unterlaufen, umsatz- und konsumankurbelnde Mechanismen </w:t>
      </w:r>
      <w:r w:rsidR="00B638A6" w:rsidRPr="00C1273A">
        <w:rPr>
          <w:szCs w:val="22"/>
        </w:rPr>
        <w:t xml:space="preserve">zu </w:t>
      </w:r>
      <w:r w:rsidRPr="00C1273A">
        <w:rPr>
          <w:szCs w:val="22"/>
        </w:rPr>
        <w:t xml:space="preserve">installieren und schließlich auch politische Prozesse zu beeinflussen, die diese Prozesse zu unterbinden versuchen. </w:t>
      </w:r>
    </w:p>
    <w:p w14:paraId="58DE25A1" w14:textId="38D153D2" w:rsidR="00C1273A" w:rsidRDefault="009E42A0" w:rsidP="009D7629">
      <w:pPr>
        <w:spacing w:line="276" w:lineRule="auto"/>
        <w:jc w:val="both"/>
        <w:rPr>
          <w:szCs w:val="22"/>
        </w:rPr>
      </w:pPr>
      <w:r w:rsidRPr="00762252">
        <w:rPr>
          <w:szCs w:val="22"/>
        </w:rPr>
        <w:t xml:space="preserve">In der Gesamtschau wird nachvollziehbar, dass Maßnahmen einer </w:t>
      </w:r>
      <w:r w:rsidR="00D01097">
        <w:rPr>
          <w:szCs w:val="22"/>
        </w:rPr>
        <w:t>Regulierung</w:t>
      </w:r>
      <w:r w:rsidRPr="00762252">
        <w:rPr>
          <w:szCs w:val="22"/>
        </w:rPr>
        <w:t xml:space="preserve"> </w:t>
      </w:r>
      <w:r w:rsidR="00C1273A">
        <w:rPr>
          <w:szCs w:val="22"/>
        </w:rPr>
        <w:t xml:space="preserve">auch </w:t>
      </w:r>
      <w:r w:rsidRPr="00762252">
        <w:rPr>
          <w:szCs w:val="22"/>
        </w:rPr>
        <w:t>grundsät</w:t>
      </w:r>
      <w:r w:rsidRPr="00762252">
        <w:rPr>
          <w:szCs w:val="22"/>
        </w:rPr>
        <w:t>z</w:t>
      </w:r>
      <w:r w:rsidRPr="00762252">
        <w:rPr>
          <w:szCs w:val="22"/>
        </w:rPr>
        <w:t xml:space="preserve">liche Weichen </w:t>
      </w:r>
      <w:r w:rsidR="00C1273A">
        <w:rPr>
          <w:szCs w:val="22"/>
        </w:rPr>
        <w:t xml:space="preserve">dazu </w:t>
      </w:r>
      <w:r w:rsidRPr="00762252">
        <w:rPr>
          <w:szCs w:val="22"/>
        </w:rPr>
        <w:t xml:space="preserve">stellen, unter welchen Rahmenbedingungen sich nunmehr </w:t>
      </w:r>
      <w:r w:rsidR="00C1273A">
        <w:rPr>
          <w:szCs w:val="22"/>
        </w:rPr>
        <w:t xml:space="preserve">welche Formen einer </w:t>
      </w:r>
      <w:r w:rsidRPr="00762252">
        <w:rPr>
          <w:szCs w:val="22"/>
        </w:rPr>
        <w:t>Cannabiswirtschaft entwickeln soll</w:t>
      </w:r>
      <w:r w:rsidR="00C1273A">
        <w:rPr>
          <w:szCs w:val="22"/>
        </w:rPr>
        <w:t>en</w:t>
      </w:r>
      <w:r w:rsidRPr="00762252">
        <w:rPr>
          <w:szCs w:val="22"/>
        </w:rPr>
        <w:t>.</w:t>
      </w:r>
      <w:r w:rsidR="00C1273A">
        <w:rPr>
          <w:szCs w:val="22"/>
        </w:rPr>
        <w:t xml:space="preserve"> In den Bundesstaaten mit Regulierungsprozessen gibt es in verschiedenen Regionen Aktivitäten, mit denen sich die einzelnen Farmer nicht nur gegenseitig dabei unterstützen, zügig Routinen und Standards zu entwickeln, um den eingefüh</w:t>
      </w:r>
      <w:r w:rsidR="00C1273A">
        <w:rPr>
          <w:szCs w:val="22"/>
        </w:rPr>
        <w:t>r</w:t>
      </w:r>
      <w:r w:rsidR="00C1273A">
        <w:rPr>
          <w:szCs w:val="22"/>
        </w:rPr>
        <w:t>ten Regel</w:t>
      </w:r>
      <w:r w:rsidR="00B86830">
        <w:rPr>
          <w:szCs w:val="22"/>
        </w:rPr>
        <w:t>n</w:t>
      </w:r>
      <w:r w:rsidR="00C1273A">
        <w:rPr>
          <w:szCs w:val="22"/>
        </w:rPr>
        <w:t xml:space="preserve"> und Vorschriften für Anbau, Produktion und Handel entsprechen zu können. Es geht zugleich um Widerstand gegen Bestrebungen großer Agar-Industriekomplexe, zügig den grö</w:t>
      </w:r>
      <w:r w:rsidR="00C1273A">
        <w:rPr>
          <w:szCs w:val="22"/>
        </w:rPr>
        <w:t>ß</w:t>
      </w:r>
      <w:r w:rsidR="00C1273A">
        <w:rPr>
          <w:szCs w:val="22"/>
        </w:rPr>
        <w:t xml:space="preserve">ten Teil der Marihuana-Wirtschaft zu übernehmen. </w:t>
      </w:r>
    </w:p>
    <w:p w14:paraId="15122D0B" w14:textId="518979A7" w:rsidR="00636564" w:rsidRPr="00762252" w:rsidRDefault="00C1273A" w:rsidP="009D7629">
      <w:pPr>
        <w:spacing w:line="276" w:lineRule="auto"/>
        <w:jc w:val="both"/>
        <w:rPr>
          <w:szCs w:val="22"/>
        </w:rPr>
      </w:pPr>
      <w:r>
        <w:rPr>
          <w:szCs w:val="22"/>
        </w:rPr>
        <w:t>Zumindest in Kalifornien wurden mit dem Gesetz zur Regulierung des Freizeitkonsums Fünf-Jahres-Fristen festgeschrieben, in denen Zentralisierung und Monopolisierung der Marihuana-Industrie unterbunden werden sollen. Diesen Schutzklauseln wird allerdings großes Misstrauen entgegen gebracht. Befürchtet wird, dass die auferlegten neuen Regelungen zur Kontrolle von Anbau, Produktion und Handeln dazu führen werden, die über Jahrzehnte gewachsene Expertise der kleinen Farmer abzuschöpfen, um nach der Schutzfrist mit großem Kapitel den Markt umz</w:t>
      </w:r>
      <w:r>
        <w:rPr>
          <w:szCs w:val="22"/>
        </w:rPr>
        <w:t>u</w:t>
      </w:r>
      <w:r>
        <w:rPr>
          <w:szCs w:val="22"/>
        </w:rPr>
        <w:t>strukturieren – Kapital, das durch sinkende Einnahmen als Folge des Systems von Mehrfachl</w:t>
      </w:r>
      <w:r>
        <w:rPr>
          <w:szCs w:val="22"/>
        </w:rPr>
        <w:t>i</w:t>
      </w:r>
      <w:r>
        <w:rPr>
          <w:szCs w:val="22"/>
        </w:rPr>
        <w:t>zenzierung für Produktion, Erzeugung und Handel sowie zurückgehende</w:t>
      </w:r>
      <w:r w:rsidR="00B86830">
        <w:rPr>
          <w:szCs w:val="22"/>
        </w:rPr>
        <w:t>r</w:t>
      </w:r>
      <w:r>
        <w:rPr>
          <w:szCs w:val="22"/>
        </w:rPr>
        <w:t xml:space="preserve"> Gewinne durch si</w:t>
      </w:r>
      <w:r>
        <w:rPr>
          <w:szCs w:val="22"/>
        </w:rPr>
        <w:t>n</w:t>
      </w:r>
      <w:r>
        <w:rPr>
          <w:szCs w:val="22"/>
        </w:rPr>
        <w:t>kende Preise auf dem regulierten Markt von kleinen Farmern nicht so schnell aufgebracht we</w:t>
      </w:r>
      <w:r>
        <w:rPr>
          <w:szCs w:val="22"/>
        </w:rPr>
        <w:t>r</w:t>
      </w:r>
      <w:r>
        <w:rPr>
          <w:szCs w:val="22"/>
        </w:rPr>
        <w:t>den kann und durch die Banken weiterhin nicht bereitgestellt wird. Insofern sind mit dem Reg</w:t>
      </w:r>
      <w:r>
        <w:rPr>
          <w:szCs w:val="22"/>
        </w:rPr>
        <w:t>u</w:t>
      </w:r>
      <w:r>
        <w:rPr>
          <w:szCs w:val="22"/>
        </w:rPr>
        <w:t xml:space="preserve">lierungsprozess auch weitreichende ökonomische Entwicklungen angestoßen worden, die einer wissenschaftlichen Begleitung und Politikberatung dringlich bedürfen. </w:t>
      </w:r>
      <w:r w:rsidR="00925BC6" w:rsidRPr="00762252">
        <w:rPr>
          <w:szCs w:val="22"/>
        </w:rPr>
        <w:t xml:space="preserve">  </w:t>
      </w:r>
    </w:p>
    <w:p w14:paraId="76BDB658" w14:textId="220CD7C2" w:rsidR="001C1EE3" w:rsidRPr="00762252" w:rsidRDefault="001C1EE3" w:rsidP="00B86830">
      <w:pPr>
        <w:pStyle w:val="berschrift2"/>
      </w:pPr>
      <w:bookmarkStart w:id="70" w:name="_Toc349300399"/>
      <w:r w:rsidRPr="00762252">
        <w:t>Fazit</w:t>
      </w:r>
      <w:r w:rsidR="00B86830">
        <w:t>: Wir schaffen das auch!</w:t>
      </w:r>
      <w:bookmarkEnd w:id="70"/>
      <w:r w:rsidR="00AE34A2" w:rsidRPr="00762252">
        <w:t xml:space="preserve"> </w:t>
      </w:r>
    </w:p>
    <w:p w14:paraId="06966730" w14:textId="78A25F6A" w:rsidR="00B86830" w:rsidRPr="00762252" w:rsidRDefault="001C1EE3" w:rsidP="00B86830">
      <w:pPr>
        <w:spacing w:line="276" w:lineRule="auto"/>
        <w:jc w:val="both"/>
        <w:rPr>
          <w:szCs w:val="22"/>
        </w:rPr>
      </w:pPr>
      <w:r w:rsidRPr="00762252">
        <w:rPr>
          <w:szCs w:val="22"/>
        </w:rPr>
        <w:t>Die Entscheidung zu einer Entkriminalisierung des Cannabiskonsums und für eine Regulierung des bis dahin existierenden Schwarzm</w:t>
      </w:r>
      <w:r w:rsidR="003665BF" w:rsidRPr="00762252">
        <w:rPr>
          <w:szCs w:val="22"/>
        </w:rPr>
        <w:t>arktes ist eine revolutionäre drogenpolitische Wendung</w:t>
      </w:r>
      <w:r w:rsidR="00C1273A">
        <w:rPr>
          <w:szCs w:val="22"/>
        </w:rPr>
        <w:t xml:space="preserve"> mit weitreichenden Konsequenzen</w:t>
      </w:r>
      <w:r w:rsidR="003665BF" w:rsidRPr="00762252">
        <w:rPr>
          <w:szCs w:val="22"/>
        </w:rPr>
        <w:t xml:space="preserve">. </w:t>
      </w:r>
      <w:r w:rsidR="00B86830">
        <w:rPr>
          <w:szCs w:val="22"/>
        </w:rPr>
        <w:t>A</w:t>
      </w:r>
      <w:r w:rsidR="003665BF" w:rsidRPr="00762252">
        <w:rPr>
          <w:szCs w:val="22"/>
        </w:rPr>
        <w:t>llein</w:t>
      </w:r>
      <w:r w:rsidR="00B86830">
        <w:rPr>
          <w:szCs w:val="22"/>
        </w:rPr>
        <w:t xml:space="preserve"> das Votum zu einer Gesetzesvorlage</w:t>
      </w:r>
      <w:r w:rsidR="003665BF" w:rsidRPr="00762252">
        <w:rPr>
          <w:szCs w:val="22"/>
        </w:rPr>
        <w:t xml:space="preserve"> macht jedoch noch nicht </w:t>
      </w:r>
      <w:r w:rsidR="00505920" w:rsidRPr="00762252">
        <w:rPr>
          <w:szCs w:val="22"/>
        </w:rPr>
        <w:t>ein</w:t>
      </w:r>
      <w:r w:rsidR="00F85C11" w:rsidRPr="00762252">
        <w:rPr>
          <w:szCs w:val="22"/>
        </w:rPr>
        <w:t xml:space="preserve">en </w:t>
      </w:r>
      <w:r w:rsidR="003665BF" w:rsidRPr="00762252">
        <w:rPr>
          <w:szCs w:val="22"/>
        </w:rPr>
        <w:t xml:space="preserve">Erfolg aus, der sich umgehend mit Zahlen und Kennziffern belegen lässt. </w:t>
      </w:r>
      <w:r w:rsidR="00B86830" w:rsidRPr="00762252">
        <w:rPr>
          <w:szCs w:val="22"/>
        </w:rPr>
        <w:t xml:space="preserve">Es </w:t>
      </w:r>
      <w:r w:rsidR="00B86830">
        <w:rPr>
          <w:szCs w:val="22"/>
        </w:rPr>
        <w:t xml:space="preserve">kann </w:t>
      </w:r>
      <w:r w:rsidR="00B86830" w:rsidRPr="00762252">
        <w:rPr>
          <w:szCs w:val="22"/>
        </w:rPr>
        <w:t xml:space="preserve">sogar bezweifelt werden, </w:t>
      </w:r>
      <w:r w:rsidR="00B86830">
        <w:rPr>
          <w:szCs w:val="22"/>
        </w:rPr>
        <w:t>dass</w:t>
      </w:r>
      <w:r w:rsidR="00AF03D4">
        <w:rPr>
          <w:szCs w:val="22"/>
        </w:rPr>
        <w:t xml:space="preserve"> sich dieser Radical Cultura</w:t>
      </w:r>
      <w:r w:rsidR="00B86830" w:rsidRPr="00762252">
        <w:rPr>
          <w:szCs w:val="22"/>
        </w:rPr>
        <w:t>l Shift überhaupt vollständig in merkantilen Zahlen ausdrücken lassen wird. Diese Zweifel be</w:t>
      </w:r>
      <w:bookmarkStart w:id="71" w:name="_GoBack"/>
      <w:bookmarkEnd w:id="71"/>
      <w:r w:rsidR="00B86830" w:rsidRPr="00762252">
        <w:rPr>
          <w:szCs w:val="22"/>
        </w:rPr>
        <w:t xml:space="preserve">gründen sich zum einen daraus, dass sich in diesem historischen Experiment kaum alle Bedingungen so stabil halten lassen, dass der Effekt einer einzelnen Maßnahme solide herausgestellt werden kann. </w:t>
      </w:r>
      <w:r w:rsidR="00B86830">
        <w:rPr>
          <w:szCs w:val="22"/>
        </w:rPr>
        <w:t>In</w:t>
      </w:r>
      <w:r w:rsidR="00B86830" w:rsidRPr="00762252">
        <w:rPr>
          <w:szCs w:val="22"/>
        </w:rPr>
        <w:t xml:space="preserve"> der gegenwärtigen Praxis </w:t>
      </w:r>
      <w:r w:rsidR="00B86830">
        <w:rPr>
          <w:szCs w:val="22"/>
        </w:rPr>
        <w:t>zeigt sich</w:t>
      </w:r>
      <w:r w:rsidR="00B86830" w:rsidRPr="00762252">
        <w:rPr>
          <w:szCs w:val="22"/>
        </w:rPr>
        <w:t xml:space="preserve"> eher, dass sich einzel</w:t>
      </w:r>
      <w:r w:rsidR="00B86830">
        <w:rPr>
          <w:szCs w:val="22"/>
        </w:rPr>
        <w:t xml:space="preserve">ne Effekte überlagern; einige </w:t>
      </w:r>
      <w:r w:rsidR="00B86830" w:rsidRPr="00762252">
        <w:rPr>
          <w:szCs w:val="22"/>
        </w:rPr>
        <w:t>dabei nicht einfach nur add</w:t>
      </w:r>
      <w:r w:rsidR="00B86830" w:rsidRPr="00762252">
        <w:rPr>
          <w:szCs w:val="22"/>
        </w:rPr>
        <w:t>i</w:t>
      </w:r>
      <w:r w:rsidR="00B86830" w:rsidRPr="00762252">
        <w:rPr>
          <w:szCs w:val="22"/>
        </w:rPr>
        <w:t>tiv wirken, sondern sich positive und negative Wirkungen einstellen, die sich in einer Gesam</w:t>
      </w:r>
      <w:r w:rsidR="00B86830" w:rsidRPr="00762252">
        <w:rPr>
          <w:szCs w:val="22"/>
        </w:rPr>
        <w:t>t</w:t>
      </w:r>
      <w:r w:rsidR="00B86830" w:rsidRPr="00762252">
        <w:rPr>
          <w:szCs w:val="22"/>
        </w:rPr>
        <w:t>rechnung eher ausgleichen</w:t>
      </w:r>
      <w:r w:rsidR="00B86830">
        <w:rPr>
          <w:szCs w:val="22"/>
        </w:rPr>
        <w:t>. All dies führt dazu, dass sich der Regulierungsprozess</w:t>
      </w:r>
      <w:r w:rsidR="00B86830" w:rsidRPr="00762252">
        <w:rPr>
          <w:szCs w:val="22"/>
        </w:rPr>
        <w:t xml:space="preserve"> </w:t>
      </w:r>
      <w:r w:rsidR="00B86830">
        <w:rPr>
          <w:szCs w:val="22"/>
        </w:rPr>
        <w:t>in seiner</w:t>
      </w:r>
      <w:r w:rsidR="00B86830" w:rsidRPr="00762252">
        <w:rPr>
          <w:szCs w:val="22"/>
        </w:rPr>
        <w:t xml:space="preserve"> ta</w:t>
      </w:r>
      <w:r w:rsidR="00B86830" w:rsidRPr="00762252">
        <w:rPr>
          <w:szCs w:val="22"/>
        </w:rPr>
        <w:t>t</w:t>
      </w:r>
      <w:r w:rsidR="00B86830" w:rsidRPr="00762252">
        <w:rPr>
          <w:szCs w:val="22"/>
        </w:rPr>
        <w:t xml:space="preserve">sächlichen </w:t>
      </w:r>
      <w:r w:rsidR="00B86830">
        <w:rPr>
          <w:szCs w:val="22"/>
        </w:rPr>
        <w:t xml:space="preserve">gesamten </w:t>
      </w:r>
      <w:r w:rsidR="00B86830" w:rsidRPr="00762252">
        <w:rPr>
          <w:szCs w:val="22"/>
        </w:rPr>
        <w:t>Dimensio</w:t>
      </w:r>
      <w:r w:rsidR="00B86830">
        <w:rPr>
          <w:szCs w:val="22"/>
        </w:rPr>
        <w:t>n</w:t>
      </w:r>
      <w:r w:rsidR="00B86830" w:rsidRPr="00762252">
        <w:rPr>
          <w:szCs w:val="22"/>
        </w:rPr>
        <w:t xml:space="preserve"> nicht be</w:t>
      </w:r>
      <w:r w:rsidR="00B86830">
        <w:rPr>
          <w:szCs w:val="22"/>
        </w:rPr>
        <w:t>schrei</w:t>
      </w:r>
      <w:r w:rsidR="00B86830" w:rsidRPr="00762252">
        <w:rPr>
          <w:szCs w:val="22"/>
        </w:rPr>
        <w:t xml:space="preserve">ben </w:t>
      </w:r>
      <w:r w:rsidR="00B86830">
        <w:rPr>
          <w:szCs w:val="22"/>
        </w:rPr>
        <w:t>lässt</w:t>
      </w:r>
      <w:r w:rsidR="00B86830" w:rsidRPr="00762252">
        <w:rPr>
          <w:szCs w:val="22"/>
        </w:rPr>
        <w:t xml:space="preserve"> (vgl. Dills, Goffard, Miron</w:t>
      </w:r>
      <w:r w:rsidR="00640DFB">
        <w:rPr>
          <w:szCs w:val="22"/>
        </w:rPr>
        <w:t xml:space="preserve"> 2016</w:t>
      </w:r>
      <w:r w:rsidR="00B86830" w:rsidRPr="00762252">
        <w:rPr>
          <w:szCs w:val="22"/>
        </w:rPr>
        <w:t xml:space="preserve">). </w:t>
      </w:r>
      <w:r w:rsidR="00B86830">
        <w:rPr>
          <w:szCs w:val="22"/>
        </w:rPr>
        <w:t>De</w:t>
      </w:r>
      <w:r w:rsidR="00B86830">
        <w:rPr>
          <w:szCs w:val="22"/>
        </w:rPr>
        <w:t>n</w:t>
      </w:r>
      <w:r w:rsidR="00B86830">
        <w:rPr>
          <w:szCs w:val="22"/>
        </w:rPr>
        <w:t>noch</w:t>
      </w:r>
      <w:r w:rsidR="00B86830" w:rsidRPr="00762252">
        <w:rPr>
          <w:szCs w:val="22"/>
        </w:rPr>
        <w:t xml:space="preserve"> können schon jetzt </w:t>
      </w:r>
      <w:r w:rsidR="00FF70EC">
        <w:rPr>
          <w:szCs w:val="22"/>
        </w:rPr>
        <w:t xml:space="preserve">auch </w:t>
      </w:r>
      <w:r w:rsidR="00B86830" w:rsidRPr="00762252">
        <w:rPr>
          <w:szCs w:val="22"/>
        </w:rPr>
        <w:t xml:space="preserve">Wohlstandsgewinne aufgezeigt werden, die sich </w:t>
      </w:r>
      <w:r w:rsidR="00B86830">
        <w:rPr>
          <w:szCs w:val="22"/>
        </w:rPr>
        <w:t>gar nicht</w:t>
      </w:r>
      <w:r w:rsidR="00B86830" w:rsidRPr="00762252">
        <w:rPr>
          <w:szCs w:val="22"/>
        </w:rPr>
        <w:t xml:space="preserve"> mon</w:t>
      </w:r>
      <w:r w:rsidR="00B86830" w:rsidRPr="00762252">
        <w:rPr>
          <w:szCs w:val="22"/>
        </w:rPr>
        <w:t>e</w:t>
      </w:r>
      <w:r w:rsidR="00B86830" w:rsidRPr="00762252">
        <w:rPr>
          <w:szCs w:val="22"/>
        </w:rPr>
        <w:t xml:space="preserve">tär/finanziell festhalten lassen. Dazu gehört </w:t>
      </w:r>
      <w:r w:rsidR="00B86830" w:rsidRPr="00B86830">
        <w:rPr>
          <w:i/>
          <w:szCs w:val="22"/>
        </w:rPr>
        <w:t>erstens</w:t>
      </w:r>
      <w:r w:rsidR="00B86830" w:rsidRPr="00762252">
        <w:rPr>
          <w:szCs w:val="22"/>
        </w:rPr>
        <w:t>, auch im Bereich der Drogenpolitik zu einer rationalen Politik finden</w:t>
      </w:r>
      <w:r w:rsidR="00B86830" w:rsidRPr="00B86830">
        <w:rPr>
          <w:szCs w:val="22"/>
        </w:rPr>
        <w:t xml:space="preserve"> </w:t>
      </w:r>
      <w:r w:rsidR="00B86830" w:rsidRPr="00762252">
        <w:rPr>
          <w:szCs w:val="22"/>
        </w:rPr>
        <w:t>zu</w:t>
      </w:r>
      <w:r w:rsidR="00B86830">
        <w:rPr>
          <w:szCs w:val="22"/>
        </w:rPr>
        <w:t xml:space="preserve"> können</w:t>
      </w:r>
      <w:r w:rsidR="00B86830" w:rsidRPr="00762252">
        <w:rPr>
          <w:szCs w:val="22"/>
        </w:rPr>
        <w:t xml:space="preserve">, die auf den Regeln der Vernunft beruht und ihre Grundlagen in der </w:t>
      </w:r>
      <w:r w:rsidR="00B86830">
        <w:rPr>
          <w:szCs w:val="22"/>
        </w:rPr>
        <w:t>Hinwendung</w:t>
      </w:r>
      <w:r w:rsidR="00B86830" w:rsidRPr="00762252">
        <w:rPr>
          <w:szCs w:val="22"/>
        </w:rPr>
        <w:t xml:space="preserve"> </w:t>
      </w:r>
      <w:r w:rsidR="00B86830">
        <w:rPr>
          <w:szCs w:val="22"/>
        </w:rPr>
        <w:t>zur</w:t>
      </w:r>
      <w:r w:rsidR="00B86830" w:rsidRPr="00762252">
        <w:rPr>
          <w:szCs w:val="22"/>
        </w:rPr>
        <w:t xml:space="preserve"> Wirk</w:t>
      </w:r>
      <w:r w:rsidR="00B86830">
        <w:rPr>
          <w:szCs w:val="22"/>
        </w:rPr>
        <w:t>lichkeit und ein</w:t>
      </w:r>
      <w:r w:rsidR="00B86830" w:rsidRPr="00762252">
        <w:rPr>
          <w:szCs w:val="22"/>
        </w:rPr>
        <w:t xml:space="preserve">er Akzeptanz grundlegender Fakten </w:t>
      </w:r>
      <w:r w:rsidR="00B86830">
        <w:rPr>
          <w:szCs w:val="22"/>
        </w:rPr>
        <w:t xml:space="preserve">u. a. zu </w:t>
      </w:r>
      <w:r w:rsidR="00B86830" w:rsidRPr="00762252">
        <w:rPr>
          <w:szCs w:val="22"/>
        </w:rPr>
        <w:t>psycho</w:t>
      </w:r>
      <w:r w:rsidR="00B86830">
        <w:rPr>
          <w:szCs w:val="22"/>
        </w:rPr>
        <w:t>-</w:t>
      </w:r>
      <w:r w:rsidR="00B86830" w:rsidRPr="00762252">
        <w:rPr>
          <w:szCs w:val="22"/>
        </w:rPr>
        <w:t>akti</w:t>
      </w:r>
      <w:r w:rsidR="00B86830">
        <w:rPr>
          <w:szCs w:val="22"/>
        </w:rPr>
        <w:t>ven</w:t>
      </w:r>
      <w:r w:rsidR="00B86830" w:rsidRPr="00762252">
        <w:rPr>
          <w:szCs w:val="22"/>
        </w:rPr>
        <w:t xml:space="preserve"> Substanzen </w:t>
      </w:r>
      <w:r w:rsidR="00B86830">
        <w:rPr>
          <w:szCs w:val="22"/>
        </w:rPr>
        <w:t>hat</w:t>
      </w:r>
      <w:r w:rsidR="00B86830" w:rsidRPr="00762252">
        <w:rPr>
          <w:szCs w:val="22"/>
        </w:rPr>
        <w:t xml:space="preserve">. Dazu gehört </w:t>
      </w:r>
      <w:r w:rsidR="00B86830" w:rsidRPr="00B86830">
        <w:rPr>
          <w:i/>
          <w:szCs w:val="22"/>
        </w:rPr>
        <w:t>zweitens</w:t>
      </w:r>
      <w:r w:rsidR="00B86830">
        <w:rPr>
          <w:szCs w:val="22"/>
        </w:rPr>
        <w:t xml:space="preserve"> </w:t>
      </w:r>
      <w:r w:rsidR="00B86830" w:rsidRPr="00762252">
        <w:rPr>
          <w:szCs w:val="22"/>
        </w:rPr>
        <w:t>auch, dass sich im Drogenbereich die Leitideen einer offenen Gesellschaft durchsetzen</w:t>
      </w:r>
      <w:r w:rsidR="00B86830">
        <w:rPr>
          <w:szCs w:val="22"/>
        </w:rPr>
        <w:t xml:space="preserve">, die sich </w:t>
      </w:r>
      <w:r w:rsidR="00B86830" w:rsidRPr="00762252">
        <w:rPr>
          <w:szCs w:val="22"/>
        </w:rPr>
        <w:t xml:space="preserve">nur durch Selbstkritik </w:t>
      </w:r>
      <w:r w:rsidR="00B86830">
        <w:rPr>
          <w:szCs w:val="22"/>
        </w:rPr>
        <w:t xml:space="preserve">an </w:t>
      </w:r>
      <w:r w:rsidR="00B86830" w:rsidRPr="00762252">
        <w:rPr>
          <w:szCs w:val="22"/>
        </w:rPr>
        <w:t>ihre</w:t>
      </w:r>
      <w:r w:rsidR="00B86830">
        <w:rPr>
          <w:szCs w:val="22"/>
        </w:rPr>
        <w:t>n</w:t>
      </w:r>
      <w:r w:rsidR="00B86830" w:rsidRPr="00762252">
        <w:rPr>
          <w:szCs w:val="22"/>
        </w:rPr>
        <w:t xml:space="preserve"> eigenen Konze</w:t>
      </w:r>
      <w:r w:rsidR="00B86830" w:rsidRPr="00762252">
        <w:rPr>
          <w:szCs w:val="22"/>
        </w:rPr>
        <w:t>p</w:t>
      </w:r>
      <w:r w:rsidR="00B86830" w:rsidRPr="00762252">
        <w:rPr>
          <w:szCs w:val="22"/>
        </w:rPr>
        <w:t>te und Herangehens</w:t>
      </w:r>
      <w:r w:rsidR="00FF70EC">
        <w:rPr>
          <w:szCs w:val="22"/>
        </w:rPr>
        <w:t>weisen weiterentwickeln kann</w:t>
      </w:r>
      <w:r w:rsidR="00B86830">
        <w:rPr>
          <w:szCs w:val="22"/>
        </w:rPr>
        <w:t xml:space="preserve"> </w:t>
      </w:r>
      <w:r w:rsidR="00B86830" w:rsidRPr="00762252">
        <w:rPr>
          <w:szCs w:val="22"/>
        </w:rPr>
        <w:t xml:space="preserve">und </w:t>
      </w:r>
      <w:r w:rsidR="00B86830">
        <w:rPr>
          <w:szCs w:val="22"/>
        </w:rPr>
        <w:t>auf diese Weise</w:t>
      </w:r>
      <w:r w:rsidR="00B86830" w:rsidRPr="00762252">
        <w:rPr>
          <w:szCs w:val="22"/>
        </w:rPr>
        <w:t xml:space="preserve"> Entwicklung initiativ voran</w:t>
      </w:r>
      <w:r w:rsidR="00B86830">
        <w:rPr>
          <w:szCs w:val="22"/>
        </w:rPr>
        <w:t>treibt</w:t>
      </w:r>
      <w:r w:rsidR="00B86830" w:rsidRPr="00762252">
        <w:rPr>
          <w:szCs w:val="22"/>
        </w:rPr>
        <w:t xml:space="preserve">. </w:t>
      </w:r>
    </w:p>
    <w:p w14:paraId="67096DC5" w14:textId="77777777" w:rsidR="0006740C" w:rsidRPr="00762252" w:rsidRDefault="0006740C" w:rsidP="009D7629">
      <w:pPr>
        <w:spacing w:line="276" w:lineRule="auto"/>
        <w:jc w:val="both"/>
        <w:rPr>
          <w:szCs w:val="22"/>
        </w:rPr>
      </w:pPr>
    </w:p>
    <w:p w14:paraId="0E95C991" w14:textId="15332E6B" w:rsidR="00B86830" w:rsidRPr="00762252" w:rsidRDefault="00DB211E" w:rsidP="00B86830">
      <w:pPr>
        <w:spacing w:line="276" w:lineRule="auto"/>
        <w:jc w:val="both"/>
        <w:rPr>
          <w:szCs w:val="22"/>
        </w:rPr>
      </w:pPr>
      <w:r w:rsidRPr="00762252">
        <w:rPr>
          <w:szCs w:val="22"/>
        </w:rPr>
        <w:t>Auch in den USA ist die Überführung des existierenden Schwarzmarktes für Cannabis ein Rad</w:t>
      </w:r>
      <w:r w:rsidRPr="00762252">
        <w:rPr>
          <w:szCs w:val="22"/>
        </w:rPr>
        <w:t>i</w:t>
      </w:r>
      <w:r w:rsidRPr="00762252">
        <w:rPr>
          <w:szCs w:val="22"/>
        </w:rPr>
        <w:t xml:space="preserve">cal cultural Shift, der in tastenden Schritten gegangen wird. </w:t>
      </w:r>
      <w:r w:rsidR="00B86830">
        <w:rPr>
          <w:szCs w:val="22"/>
        </w:rPr>
        <w:t>Dazu</w:t>
      </w:r>
      <w:r w:rsidR="00B86830" w:rsidRPr="00762252">
        <w:rPr>
          <w:szCs w:val="22"/>
        </w:rPr>
        <w:t xml:space="preserve"> sind zunächst eine Reihe no</w:t>
      </w:r>
      <w:r w:rsidR="00B86830" w:rsidRPr="00762252">
        <w:rPr>
          <w:szCs w:val="22"/>
        </w:rPr>
        <w:t>t</w:t>
      </w:r>
      <w:r w:rsidR="00B86830" w:rsidRPr="00762252">
        <w:rPr>
          <w:szCs w:val="22"/>
        </w:rPr>
        <w:t>wen</w:t>
      </w:r>
      <w:r w:rsidR="00B86830">
        <w:rPr>
          <w:szCs w:val="22"/>
        </w:rPr>
        <w:t>diger</w:t>
      </w:r>
      <w:r w:rsidR="00B86830" w:rsidRPr="00762252">
        <w:rPr>
          <w:szCs w:val="22"/>
        </w:rPr>
        <w:t xml:space="preserve"> Folgeentscheidungen </w:t>
      </w:r>
      <w:r w:rsidR="00B86830">
        <w:rPr>
          <w:szCs w:val="22"/>
        </w:rPr>
        <w:t>für</w:t>
      </w:r>
      <w:r w:rsidR="00B86830" w:rsidRPr="00762252">
        <w:rPr>
          <w:szCs w:val="22"/>
        </w:rPr>
        <w:t xml:space="preserve"> sehr unterschi</w:t>
      </w:r>
      <w:r w:rsidR="00B86830">
        <w:rPr>
          <w:szCs w:val="22"/>
        </w:rPr>
        <w:t>edlichen Bereiche</w:t>
      </w:r>
      <w:r w:rsidR="00B86830" w:rsidRPr="00762252">
        <w:rPr>
          <w:szCs w:val="22"/>
        </w:rPr>
        <w:t xml:space="preserve"> der Gesellschaft zu konz</w:t>
      </w:r>
      <w:r w:rsidR="00B86830" w:rsidRPr="00762252">
        <w:rPr>
          <w:szCs w:val="22"/>
        </w:rPr>
        <w:t>i</w:t>
      </w:r>
      <w:r w:rsidR="00B86830" w:rsidRPr="00762252">
        <w:rPr>
          <w:szCs w:val="22"/>
        </w:rPr>
        <w:t>pieren, zu treffen, durchzusetzen, kritische zu analysieren und auszutarieren.</w:t>
      </w:r>
    </w:p>
    <w:p w14:paraId="72AD6920" w14:textId="55FCFAC2" w:rsidR="00DB211E" w:rsidRPr="00762252" w:rsidRDefault="00B86830" w:rsidP="009D7629">
      <w:pPr>
        <w:spacing w:line="276" w:lineRule="auto"/>
        <w:jc w:val="both"/>
        <w:rPr>
          <w:szCs w:val="22"/>
        </w:rPr>
      </w:pPr>
      <w:r>
        <w:rPr>
          <w:szCs w:val="22"/>
        </w:rPr>
        <w:t>In den einzelnen Bundesstaaten</w:t>
      </w:r>
      <w:r w:rsidR="00DB211E" w:rsidRPr="00762252">
        <w:rPr>
          <w:szCs w:val="22"/>
        </w:rPr>
        <w:t xml:space="preserve"> wird zum einen mit sehr unterschiedlich ausgestalteten Mode</w:t>
      </w:r>
      <w:r w:rsidR="00DB211E" w:rsidRPr="00762252">
        <w:rPr>
          <w:szCs w:val="22"/>
        </w:rPr>
        <w:t>l</w:t>
      </w:r>
      <w:r w:rsidR="00DB211E" w:rsidRPr="00762252">
        <w:rPr>
          <w:szCs w:val="22"/>
        </w:rPr>
        <w:t>len und Regeln experimentiert</w:t>
      </w:r>
      <w:r w:rsidR="00C1273A">
        <w:rPr>
          <w:szCs w:val="22"/>
        </w:rPr>
        <w:t>. Z</w:t>
      </w:r>
      <w:r w:rsidR="00DB211E" w:rsidRPr="00762252">
        <w:rPr>
          <w:szCs w:val="22"/>
        </w:rPr>
        <w:t>um anderen werden immer wieder Kurskorrekturen vorg</w:t>
      </w:r>
      <w:r w:rsidR="00DB211E" w:rsidRPr="00762252">
        <w:rPr>
          <w:szCs w:val="22"/>
        </w:rPr>
        <w:t>e</w:t>
      </w:r>
      <w:r w:rsidR="00DB211E" w:rsidRPr="00762252">
        <w:rPr>
          <w:szCs w:val="22"/>
        </w:rPr>
        <w:t>nommenen, mit denen auf sich einstellende erwünschte und nicht erwünschte Effekte korrigi</w:t>
      </w:r>
      <w:r w:rsidR="00DB211E" w:rsidRPr="00762252">
        <w:rPr>
          <w:szCs w:val="22"/>
        </w:rPr>
        <w:t>e</w:t>
      </w:r>
      <w:r w:rsidR="00DB211E" w:rsidRPr="00762252">
        <w:rPr>
          <w:szCs w:val="22"/>
        </w:rPr>
        <w:t xml:space="preserve">rend reagiert wird. </w:t>
      </w:r>
      <w:r>
        <w:rPr>
          <w:szCs w:val="22"/>
        </w:rPr>
        <w:t>I</w:t>
      </w:r>
      <w:r w:rsidRPr="00762252">
        <w:rPr>
          <w:szCs w:val="22"/>
        </w:rPr>
        <w:t xml:space="preserve">nsofern erfolgt </w:t>
      </w:r>
      <w:r>
        <w:rPr>
          <w:szCs w:val="22"/>
        </w:rPr>
        <w:t>d</w:t>
      </w:r>
      <w:r w:rsidR="00DB211E" w:rsidRPr="00762252">
        <w:rPr>
          <w:szCs w:val="22"/>
        </w:rPr>
        <w:t xml:space="preserve">ie Überführung des Cannabis-Schwarzmarktes in einen regulierten legalen Markt in den USA </w:t>
      </w:r>
      <w:r>
        <w:rPr>
          <w:szCs w:val="22"/>
        </w:rPr>
        <w:t>nicht</w:t>
      </w:r>
      <w:r w:rsidR="00DB211E" w:rsidRPr="00762252">
        <w:rPr>
          <w:szCs w:val="22"/>
        </w:rPr>
        <w:t xml:space="preserve"> auf einheitliche Weise</w:t>
      </w:r>
      <w:r>
        <w:rPr>
          <w:szCs w:val="22"/>
        </w:rPr>
        <w:t>, zudem</w:t>
      </w:r>
      <w:r w:rsidR="00DB211E" w:rsidRPr="00762252">
        <w:rPr>
          <w:szCs w:val="22"/>
        </w:rPr>
        <w:t xml:space="preserve"> in kleinen kontrollie</w:t>
      </w:r>
      <w:r w:rsidR="00DB211E" w:rsidRPr="00762252">
        <w:rPr>
          <w:szCs w:val="22"/>
        </w:rPr>
        <w:t>r</w:t>
      </w:r>
      <w:r w:rsidR="00DB211E" w:rsidRPr="00762252">
        <w:rPr>
          <w:szCs w:val="22"/>
        </w:rPr>
        <w:t>ten Schritten und ist bis heute nicht abgeschlossen. Vorliegende Daten und Einschätzungen sind deshalb immer als Rückmeldungen zu einem sich vollziehenden sozialen Lernprozess zu verst</w:t>
      </w:r>
      <w:r w:rsidR="00DB211E" w:rsidRPr="00762252">
        <w:rPr>
          <w:szCs w:val="22"/>
        </w:rPr>
        <w:t>e</w:t>
      </w:r>
      <w:r w:rsidR="00DB211E" w:rsidRPr="00762252">
        <w:rPr>
          <w:szCs w:val="22"/>
        </w:rPr>
        <w:t>hen, in dem notwendige Folgeentscheidungen erkannt, umgesetzt und ggf. auch wieder korr</w:t>
      </w:r>
      <w:r w:rsidR="00DB211E" w:rsidRPr="00762252">
        <w:rPr>
          <w:szCs w:val="22"/>
        </w:rPr>
        <w:t>i</w:t>
      </w:r>
      <w:r w:rsidR="00DB211E" w:rsidRPr="00762252">
        <w:rPr>
          <w:szCs w:val="22"/>
        </w:rPr>
        <w:t>giert werden. Dies gilt es bei der Bewertung der bisher vorliegenden Erfahrungen zu berücksic</w:t>
      </w:r>
      <w:r w:rsidR="00DB211E" w:rsidRPr="00762252">
        <w:rPr>
          <w:szCs w:val="22"/>
        </w:rPr>
        <w:t>h</w:t>
      </w:r>
      <w:r w:rsidR="00DB211E" w:rsidRPr="00762252">
        <w:rPr>
          <w:szCs w:val="22"/>
        </w:rPr>
        <w:t>tigen. Folgerichtig verbietet sich, aus einzelnen zeitlich limitierten Trends generalisierende Ei</w:t>
      </w:r>
      <w:r w:rsidR="00DB211E" w:rsidRPr="00762252">
        <w:rPr>
          <w:szCs w:val="22"/>
        </w:rPr>
        <w:t>n</w:t>
      </w:r>
      <w:r w:rsidR="00DB211E" w:rsidRPr="00762252">
        <w:rPr>
          <w:szCs w:val="22"/>
        </w:rPr>
        <w:t xml:space="preserve">schätzungen über den Erfolg oder das Scheitern von Regulierungsmodellen abzuleiten. </w:t>
      </w:r>
    </w:p>
    <w:p w14:paraId="5DB141AF" w14:textId="77777777" w:rsidR="00FF70EC" w:rsidRDefault="00FF70EC" w:rsidP="009D7629">
      <w:pPr>
        <w:spacing w:line="276" w:lineRule="auto"/>
        <w:jc w:val="both"/>
        <w:rPr>
          <w:szCs w:val="22"/>
        </w:rPr>
      </w:pPr>
    </w:p>
    <w:p w14:paraId="7D9CB94F" w14:textId="4EFF0D8B" w:rsidR="00DB211E" w:rsidRPr="00762252" w:rsidRDefault="00DB211E" w:rsidP="009D7629">
      <w:pPr>
        <w:spacing w:line="276" w:lineRule="auto"/>
        <w:jc w:val="both"/>
        <w:rPr>
          <w:szCs w:val="22"/>
        </w:rPr>
      </w:pPr>
      <w:r w:rsidRPr="00762252">
        <w:rPr>
          <w:szCs w:val="22"/>
        </w:rPr>
        <w:t>Für Deutschland ergibt sich aus dieser Vorreiterrolle der USA die besondere Chance, von diesem sozialen Lernprozess zu profitieren. Dazu sind die sehr unterschiedlichen Erfahrungen zur Kenntnis zu nehmen</w:t>
      </w:r>
      <w:r w:rsidR="00B86830">
        <w:rPr>
          <w:szCs w:val="22"/>
        </w:rPr>
        <w:t xml:space="preserve">, </w:t>
      </w:r>
      <w:r w:rsidRPr="00762252">
        <w:rPr>
          <w:szCs w:val="22"/>
        </w:rPr>
        <w:t>deren Hintergründe auszuloten und die Chancen einer Übertragbarkeit bestimmter Konzeptideen auf di</w:t>
      </w:r>
      <w:r w:rsidR="00B86830">
        <w:rPr>
          <w:szCs w:val="22"/>
        </w:rPr>
        <w:t>e deutsche Kultur kritisch zu über</w:t>
      </w:r>
      <w:r w:rsidRPr="00762252">
        <w:rPr>
          <w:szCs w:val="22"/>
        </w:rPr>
        <w:t xml:space="preserve">denken.  </w:t>
      </w:r>
    </w:p>
    <w:p w14:paraId="5B82779C" w14:textId="0582DA20" w:rsidR="009B77AA" w:rsidRDefault="009B77AA" w:rsidP="009B77AA">
      <w:pPr>
        <w:spacing w:line="276" w:lineRule="auto"/>
        <w:jc w:val="both"/>
        <w:rPr>
          <w:szCs w:val="22"/>
        </w:rPr>
      </w:pPr>
      <w:r>
        <w:t>Im Zuge der Auseinandersetzung mit den amerikanischen Daten wird zudem deutlich, dass die wissenschaftliche Begleitforschung eines drogenpolitischen Wechsels mit einem möglichst we</w:t>
      </w:r>
      <w:r>
        <w:t>i</w:t>
      </w:r>
      <w:r>
        <w:t>ten Vorlauf beginnen sollte, über einen tatsächlich aussagefähigen Datenfundus nachzudenken und dazu ein belastbares Monitoring</w:t>
      </w:r>
      <w:r w:rsidR="00B86830">
        <w:t>-S</w:t>
      </w:r>
      <w:r>
        <w:t>ystem aufzubauen. In diesem sollten Daten sehr unte</w:t>
      </w:r>
      <w:r>
        <w:t>r</w:t>
      </w:r>
      <w:r>
        <w:t xml:space="preserve">schiedlicher sozialer Bereiche zusammengeführt, deren Hintergründe dargestellt und mögliche weitere Entwicklungen so festgehalten werden, dass belastbare Prä- und Postvergleiche möglich werden. </w:t>
      </w:r>
      <w:r w:rsidR="00B86830">
        <w:rPr>
          <w:szCs w:val="22"/>
        </w:rPr>
        <w:t>Insofern gibt es auch in Deutschland schon jetzt viel zu tun!</w:t>
      </w:r>
    </w:p>
    <w:p w14:paraId="437BF56B" w14:textId="77777777" w:rsidR="00B86830" w:rsidRDefault="00B86830" w:rsidP="009B77AA">
      <w:pPr>
        <w:spacing w:line="276" w:lineRule="auto"/>
        <w:jc w:val="both"/>
        <w:rPr>
          <w:szCs w:val="22"/>
        </w:rPr>
      </w:pPr>
    </w:p>
    <w:p w14:paraId="07F69F59" w14:textId="2B1B8F2E" w:rsidR="00B86830" w:rsidRPr="00855FC9" w:rsidRDefault="00B86830" w:rsidP="00B86830">
      <w:pPr>
        <w:spacing w:line="276" w:lineRule="auto"/>
        <w:jc w:val="center"/>
        <w:rPr>
          <w:szCs w:val="22"/>
        </w:rPr>
      </w:pPr>
      <w:r>
        <w:rPr>
          <w:szCs w:val="22"/>
        </w:rPr>
        <w:t>„Wir schaffen das auch!“</w:t>
      </w:r>
    </w:p>
    <w:p w14:paraId="69C59217" w14:textId="77777777" w:rsidR="009B77AA" w:rsidRDefault="009B77AA" w:rsidP="009D7629">
      <w:pPr>
        <w:spacing w:line="276" w:lineRule="auto"/>
        <w:jc w:val="both"/>
        <w:rPr>
          <w:szCs w:val="22"/>
        </w:rPr>
      </w:pPr>
    </w:p>
    <w:p w14:paraId="36770991" w14:textId="77777777" w:rsidR="003350C6" w:rsidRDefault="003350C6" w:rsidP="009D7629">
      <w:pPr>
        <w:spacing w:line="276" w:lineRule="auto"/>
        <w:jc w:val="both"/>
        <w:rPr>
          <w:szCs w:val="22"/>
        </w:rPr>
      </w:pPr>
    </w:p>
    <w:p w14:paraId="1A040D92" w14:textId="3969505B" w:rsidR="00640DFB" w:rsidRPr="00640DFB" w:rsidRDefault="00640DFB" w:rsidP="00640DFB">
      <w:pPr>
        <w:pStyle w:val="berschrift2"/>
        <w:numPr>
          <w:ilvl w:val="0"/>
          <w:numId w:val="0"/>
        </w:numPr>
      </w:pPr>
      <w:bookmarkStart w:id="72" w:name="_Toc349300400"/>
      <w:r w:rsidRPr="00640DFB">
        <w:t>Literatur</w:t>
      </w:r>
      <w:bookmarkEnd w:id="72"/>
    </w:p>
    <w:p w14:paraId="5EF8EA6A" w14:textId="77777777" w:rsidR="00640DFB" w:rsidRDefault="00640DFB" w:rsidP="00640DFB">
      <w:pPr>
        <w:pStyle w:val="KeinLeerraum"/>
        <w:spacing w:line="276" w:lineRule="auto"/>
        <w:ind w:left="142" w:hanging="142"/>
        <w:jc w:val="both"/>
        <w:rPr>
          <w:rFonts w:cs="Arial"/>
          <w:szCs w:val="22"/>
        </w:rPr>
      </w:pPr>
      <w:r w:rsidRPr="00762252">
        <w:rPr>
          <w:rFonts w:cs="Arial"/>
          <w:szCs w:val="22"/>
        </w:rPr>
        <w:t xml:space="preserve">Krissman, Fred (2015): “Comparing Apples and Oranges with Cannabis: protecting California’s last small farms.” Presented at the Drug Policy Alliance and Emerald Triangle Association’s </w:t>
      </w:r>
      <w:r w:rsidRPr="00762252">
        <w:rPr>
          <w:rFonts w:cs="Arial"/>
          <w:iCs/>
          <w:szCs w:val="22"/>
        </w:rPr>
        <w:t>M</w:t>
      </w:r>
      <w:r w:rsidRPr="00762252">
        <w:rPr>
          <w:rFonts w:cs="Arial"/>
          <w:iCs/>
          <w:szCs w:val="22"/>
        </w:rPr>
        <w:t>a</w:t>
      </w:r>
      <w:r w:rsidRPr="00762252">
        <w:rPr>
          <w:rFonts w:cs="Arial"/>
          <w:iCs/>
          <w:szCs w:val="22"/>
        </w:rPr>
        <w:t xml:space="preserve">rijuana and the Environment </w:t>
      </w:r>
      <w:r w:rsidRPr="00762252">
        <w:rPr>
          <w:rFonts w:cs="Arial"/>
          <w:szCs w:val="22"/>
        </w:rPr>
        <w:t xml:space="preserve">symposium, Eureka, California, 4-11. </w:t>
      </w:r>
    </w:p>
    <w:p w14:paraId="6CD9C4DD" w14:textId="77777777" w:rsidR="00640DFB" w:rsidRPr="00762252" w:rsidRDefault="00640DFB" w:rsidP="00640DFB">
      <w:pPr>
        <w:pStyle w:val="KeinLeerraum"/>
        <w:spacing w:line="276" w:lineRule="auto"/>
        <w:ind w:left="284" w:hanging="284"/>
        <w:jc w:val="both"/>
        <w:rPr>
          <w:rFonts w:cs="Times"/>
          <w:szCs w:val="22"/>
        </w:rPr>
      </w:pPr>
      <w:r w:rsidRPr="00762252">
        <w:rPr>
          <w:rFonts w:cs="Georgia"/>
          <w:iCs/>
          <w:szCs w:val="22"/>
        </w:rPr>
        <w:t xml:space="preserve">Dills, Angela; Goffard, Sietse; Miron, Jeffrey (2016):  </w:t>
      </w:r>
      <w:r w:rsidRPr="00762252">
        <w:rPr>
          <w:rFonts w:cs="Times"/>
          <w:szCs w:val="22"/>
        </w:rPr>
        <w:t>Dose of Reality: The Effect of State Mariju</w:t>
      </w:r>
      <w:r w:rsidRPr="00762252">
        <w:rPr>
          <w:rFonts w:cs="Times"/>
          <w:szCs w:val="22"/>
        </w:rPr>
        <w:t>a</w:t>
      </w:r>
      <w:r w:rsidRPr="00762252">
        <w:rPr>
          <w:rFonts w:cs="Times"/>
          <w:szCs w:val="22"/>
        </w:rPr>
        <w:t xml:space="preserve">na Legalizations. In:  POLICY ANALYSIS NO. 799, S. Cato Institute, </w:t>
      </w:r>
      <w:r w:rsidRPr="00762252">
        <w:rPr>
          <w:rFonts w:cs="Georgia"/>
          <w:iCs/>
          <w:szCs w:val="22"/>
        </w:rPr>
        <w:t xml:space="preserve">By September 16, 2016 </w:t>
      </w:r>
    </w:p>
    <w:p w14:paraId="255945DC" w14:textId="77777777" w:rsidR="00640DFB" w:rsidRPr="00762252" w:rsidRDefault="00640DFB" w:rsidP="00640DFB">
      <w:pPr>
        <w:pStyle w:val="KeinLeerraum"/>
        <w:spacing w:line="276" w:lineRule="auto"/>
        <w:ind w:left="142" w:hanging="142"/>
        <w:jc w:val="both"/>
        <w:rPr>
          <w:rFonts w:cs="Arial"/>
          <w:szCs w:val="22"/>
        </w:rPr>
      </w:pPr>
    </w:p>
    <w:sectPr w:rsidR="00640DFB" w:rsidRPr="00762252" w:rsidSect="008901F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1BDDC" w14:textId="77777777" w:rsidR="00617CD2" w:rsidRDefault="00617CD2" w:rsidP="00F15239">
      <w:r>
        <w:separator/>
      </w:r>
    </w:p>
  </w:endnote>
  <w:endnote w:type="continuationSeparator" w:id="0">
    <w:p w14:paraId="65921AAE" w14:textId="77777777" w:rsidR="00617CD2" w:rsidRDefault="00617CD2" w:rsidP="00F15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ourceSansPro-Semibold">
    <w:altName w:val="Cambria"/>
    <w:panose1 w:val="00000000000000000000"/>
    <w:charset w:val="00"/>
    <w:family w:val="auto"/>
    <w:notTrueType/>
    <w:pitch w:val="default"/>
    <w:sig w:usb0="00000003" w:usb1="00000000" w:usb2="00000000" w:usb3="00000000" w:csb0="00000001" w:csb1="00000000"/>
  </w:font>
  <w:font w:name="SourceSansPro-Regular">
    <w:altName w:val="Cambria"/>
    <w:panose1 w:val="00000000000000000000"/>
    <w:charset w:val="00"/>
    <w:family w:val="auto"/>
    <w:notTrueType/>
    <w:pitch w:val="default"/>
    <w:sig w:usb0="00000003" w:usb1="00000000" w:usb2="00000000" w:usb3="00000000" w:csb0="00000001" w:csb1="00000000"/>
  </w:font>
  <w:font w:name="Lato-Bold">
    <w:altName w:val="Cambria"/>
    <w:panose1 w:val="00000000000000000000"/>
    <w:charset w:val="00"/>
    <w:family w:val="auto"/>
    <w:notTrueType/>
    <w:pitch w:val="default"/>
    <w:sig w:usb0="00000003" w:usb1="00000000" w:usb2="00000000" w:usb3="00000000" w:csb0="00000001" w:csb1="00000000"/>
  </w:font>
  <w:font w:name="Lato-Regular">
    <w:altName w:val="Cambria"/>
    <w:panose1 w:val="00000000000000000000"/>
    <w:charset w:val="00"/>
    <w:family w:val="auto"/>
    <w:notTrueType/>
    <w:pitch w:val="default"/>
    <w:sig w:usb0="00000003" w:usb1="00000000" w:usb2="00000000" w:usb3="00000000" w:csb0="00000001" w:csb1="00000000"/>
  </w:font>
  <w:font w:name="RobotoSlab-Regular">
    <w:altName w:val="Cambria"/>
    <w:panose1 w:val="00000000000000000000"/>
    <w:charset w:val="00"/>
    <w:family w:val="auto"/>
    <w:notTrueType/>
    <w:pitch w:val="default"/>
    <w:sig w:usb0="00000003" w:usb1="00000000" w:usb2="00000000" w:usb3="00000000" w:csb0="00000001" w:csb1="00000000"/>
  </w:font>
  <w:font w:name="AGaramondPro">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Roboto-Bold">
    <w:altName w:val="Cambria"/>
    <w:panose1 w:val="00000000000000000000"/>
    <w:charset w:val="00"/>
    <w:family w:val="auto"/>
    <w:notTrueType/>
    <w:pitch w:val="default"/>
    <w:sig w:usb0="00000003" w:usb1="00000000" w:usb2="00000000" w:usb3="00000000" w:csb0="00000001" w:csb1="00000000"/>
  </w:font>
  <w:font w:name="RobotoCondensed-Regular">
    <w:altName w:val="Cambria"/>
    <w:panose1 w:val="00000000000000000000"/>
    <w:charset w:val="00"/>
    <w:family w:val="auto"/>
    <w:notTrueType/>
    <w:pitch w:val="default"/>
    <w:sig w:usb0="00000003" w:usb1="00000000" w:usb2="00000000" w:usb3="00000000" w:csb0="00000001" w:csb1="00000000"/>
  </w:font>
  <w:font w:name="font000000001dbab6f8">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6B801" w14:textId="77777777" w:rsidR="00617CD2" w:rsidRDefault="00617CD2" w:rsidP="00FE026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EBC3A56" w14:textId="77777777" w:rsidR="00617CD2" w:rsidRDefault="00617CD2">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63090" w14:textId="77777777" w:rsidR="00617CD2" w:rsidRDefault="00617CD2" w:rsidP="00FE026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AF03D4">
      <w:rPr>
        <w:rStyle w:val="Seitenzahl"/>
        <w:noProof/>
      </w:rPr>
      <w:t>1</w:t>
    </w:r>
    <w:r>
      <w:rPr>
        <w:rStyle w:val="Seitenzahl"/>
      </w:rPr>
      <w:fldChar w:fldCharType="end"/>
    </w:r>
  </w:p>
  <w:p w14:paraId="01933F0B" w14:textId="77777777" w:rsidR="00617CD2" w:rsidRDefault="00617CD2">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A08E6" w14:textId="77777777" w:rsidR="00617CD2" w:rsidRDefault="00617CD2" w:rsidP="00F15239">
      <w:r>
        <w:separator/>
      </w:r>
    </w:p>
  </w:footnote>
  <w:footnote w:type="continuationSeparator" w:id="0">
    <w:p w14:paraId="0BB205B9" w14:textId="77777777" w:rsidR="00617CD2" w:rsidRDefault="00617CD2" w:rsidP="00F15239">
      <w:r>
        <w:continuationSeparator/>
      </w:r>
    </w:p>
  </w:footnote>
  <w:footnote w:id="1">
    <w:p w14:paraId="494DA0DA" w14:textId="77777777" w:rsidR="00617CD2" w:rsidRPr="00116DFD" w:rsidRDefault="00617CD2" w:rsidP="00FD1963">
      <w:pPr>
        <w:pStyle w:val="Funotentext"/>
        <w:ind w:left="142" w:hanging="142"/>
        <w:jc w:val="both"/>
        <w:rPr>
          <w:sz w:val="18"/>
          <w:szCs w:val="18"/>
        </w:rPr>
      </w:pPr>
      <w:r>
        <w:rPr>
          <w:rStyle w:val="Funotenzeichen"/>
        </w:rPr>
        <w:footnoteRef/>
      </w:r>
      <w:r>
        <w:t xml:space="preserve"> </w:t>
      </w:r>
      <w:r w:rsidRPr="00A55769">
        <w:rPr>
          <w:sz w:val="18"/>
          <w:szCs w:val="18"/>
        </w:rPr>
        <w:t>Diese 30-Tage-Prävalenz wird unter „eingeschwungenen“ drogenpolitischen Bedingungen immer als „aktueller Konsum“ gewertet. Es stellt sich aber die Frage, ob eine solche Interpretation auch in der Anfangszeit eines droge</w:t>
      </w:r>
      <w:r w:rsidRPr="00A55769">
        <w:rPr>
          <w:sz w:val="18"/>
          <w:szCs w:val="18"/>
        </w:rPr>
        <w:t>n</w:t>
      </w:r>
      <w:r w:rsidRPr="00A55769">
        <w:rPr>
          <w:sz w:val="18"/>
          <w:szCs w:val="18"/>
        </w:rPr>
        <w:t>politischen Shifts gültig ist? Insbesondere in Anbetracht der sich abzeichnenden Besonderheit, dass beispielsweise nachholende Konsumerfahrungen in Form von Neugier-Konsum eine sich relativ schnell einstellende Besonderheit ist, sollte diese Wertung epidemiologisch anders erfolgen.</w:t>
      </w:r>
      <w:r w:rsidRPr="00D72630">
        <w:rPr>
          <w:sz w:val="20"/>
          <w:szCs w:val="20"/>
        </w:rPr>
        <w:t xml:space="preserve"> </w:t>
      </w:r>
    </w:p>
  </w:footnote>
  <w:footnote w:id="2">
    <w:p w14:paraId="07479752" w14:textId="31096AF8" w:rsidR="00617CD2" w:rsidRDefault="00617CD2" w:rsidP="003C2289">
      <w:pPr>
        <w:pStyle w:val="Funotentext"/>
        <w:ind w:left="142" w:hanging="142"/>
      </w:pPr>
      <w:r w:rsidRPr="003C2289">
        <w:rPr>
          <w:rStyle w:val="Funotenzeichen"/>
          <w:sz w:val="20"/>
          <w:szCs w:val="20"/>
        </w:rPr>
        <w:footnoteRef/>
      </w:r>
      <w:r w:rsidRPr="003C2289">
        <w:rPr>
          <w:sz w:val="20"/>
          <w:szCs w:val="20"/>
        </w:rPr>
        <w:t xml:space="preserve"> Dieser gesetzliche Status ist vergleichbar mit den betäubungsrechtlichen Regelungen Deutschlands, in denen die Zuordnung einzelner Substanzen </w:t>
      </w:r>
      <w:r>
        <w:rPr>
          <w:sz w:val="20"/>
          <w:szCs w:val="20"/>
        </w:rPr>
        <w:t xml:space="preserve">in eine der drei Anlagen </w:t>
      </w:r>
      <w:r w:rsidRPr="003C2289">
        <w:rPr>
          <w:sz w:val="20"/>
          <w:szCs w:val="20"/>
        </w:rPr>
        <w:t xml:space="preserve">regelt, wer </w:t>
      </w:r>
      <w:r>
        <w:rPr>
          <w:sz w:val="20"/>
          <w:szCs w:val="20"/>
        </w:rPr>
        <w:t xml:space="preserve">Zugang </w:t>
      </w:r>
      <w:r w:rsidRPr="003C2289">
        <w:rPr>
          <w:sz w:val="20"/>
          <w:szCs w:val="20"/>
        </w:rPr>
        <w:t xml:space="preserve">zu </w:t>
      </w:r>
      <w:r>
        <w:rPr>
          <w:sz w:val="20"/>
          <w:szCs w:val="20"/>
        </w:rPr>
        <w:t>diesen Su</w:t>
      </w:r>
      <w:r>
        <w:rPr>
          <w:sz w:val="20"/>
          <w:szCs w:val="20"/>
        </w:rPr>
        <w:t>b</w:t>
      </w:r>
      <w:r>
        <w:rPr>
          <w:sz w:val="20"/>
          <w:szCs w:val="20"/>
        </w:rPr>
        <w:t xml:space="preserve">stanzen hat </w:t>
      </w:r>
      <w:r w:rsidRPr="003C2289">
        <w:rPr>
          <w:sz w:val="20"/>
          <w:szCs w:val="20"/>
        </w:rPr>
        <w:t xml:space="preserve">und wie </w:t>
      </w:r>
      <w:r>
        <w:rPr>
          <w:sz w:val="20"/>
          <w:szCs w:val="20"/>
        </w:rPr>
        <w:t xml:space="preserve">dieser </w:t>
      </w:r>
      <w:r w:rsidRPr="003C2289">
        <w:rPr>
          <w:sz w:val="20"/>
          <w:szCs w:val="20"/>
        </w:rPr>
        <w:t>erfolgen kann. Auch in</w:t>
      </w:r>
      <w:r w:rsidRPr="009558B4">
        <w:rPr>
          <w:sz w:val="20"/>
          <w:szCs w:val="20"/>
        </w:rPr>
        <w:t xml:space="preserve"> Deutschland ist Cannabis der Anlage 1 des BtmG z</w:t>
      </w:r>
      <w:r w:rsidRPr="009558B4">
        <w:rPr>
          <w:sz w:val="20"/>
          <w:szCs w:val="20"/>
        </w:rPr>
        <w:t>u</w:t>
      </w:r>
      <w:r w:rsidRPr="009558B4">
        <w:rPr>
          <w:sz w:val="20"/>
          <w:szCs w:val="20"/>
        </w:rPr>
        <w:t>geordnet, weshalb damit keinerlei Umgang gestattet ist, mit Ausnahme zu wissenschaftlichen Zwecken.</w:t>
      </w:r>
    </w:p>
  </w:footnote>
  <w:footnote w:id="3">
    <w:p w14:paraId="6118C008" w14:textId="26D9ECE2" w:rsidR="00617CD2" w:rsidRPr="003C2289" w:rsidRDefault="00617CD2" w:rsidP="007C55FB">
      <w:pPr>
        <w:pStyle w:val="Funotentext"/>
        <w:ind w:left="142" w:hanging="142"/>
        <w:jc w:val="both"/>
        <w:rPr>
          <w:sz w:val="20"/>
          <w:szCs w:val="20"/>
        </w:rPr>
      </w:pPr>
      <w:r w:rsidRPr="003C2289">
        <w:rPr>
          <w:rStyle w:val="Funotenzeichen"/>
          <w:sz w:val="20"/>
          <w:szCs w:val="20"/>
        </w:rPr>
        <w:footnoteRef/>
      </w:r>
      <w:r w:rsidRPr="003C2289">
        <w:rPr>
          <w:sz w:val="20"/>
          <w:szCs w:val="20"/>
        </w:rPr>
        <w:t xml:space="preserve"> </w:t>
      </w:r>
      <w:r w:rsidRPr="003C2289">
        <w:rPr>
          <w:rFonts w:cs="Helvetica"/>
          <w:sz w:val="20"/>
          <w:szCs w:val="20"/>
        </w:rPr>
        <w:t xml:space="preserve">Dazu gehören </w:t>
      </w:r>
      <w:hyperlink r:id="rId1" w:history="1">
        <w:r w:rsidRPr="003C2289">
          <w:rPr>
            <w:rFonts w:cs="Helvetica"/>
            <w:sz w:val="20"/>
            <w:szCs w:val="20"/>
          </w:rPr>
          <w:t>Los Angeles</w:t>
        </w:r>
      </w:hyperlink>
      <w:r w:rsidRPr="003C2289">
        <w:rPr>
          <w:rFonts w:cs="Helvetica"/>
          <w:sz w:val="20"/>
          <w:szCs w:val="20"/>
        </w:rPr>
        <w:t xml:space="preserve"> als die zweitgrößte Stadt in den Vereinigten Staaten mit 3.792.621 Einwo</w:t>
      </w:r>
      <w:r w:rsidRPr="003C2289">
        <w:rPr>
          <w:rFonts w:cs="Helvetica"/>
          <w:sz w:val="20"/>
          <w:szCs w:val="20"/>
        </w:rPr>
        <w:t>h</w:t>
      </w:r>
      <w:r w:rsidRPr="003C2289">
        <w:rPr>
          <w:rFonts w:cs="Helvetica"/>
          <w:sz w:val="20"/>
          <w:szCs w:val="20"/>
        </w:rPr>
        <w:t>nern (</w:t>
      </w:r>
      <w:hyperlink r:id="rId2" w:history="1">
        <w:r w:rsidRPr="003C2289">
          <w:rPr>
            <w:rFonts w:cs="Helvetica"/>
            <w:sz w:val="20"/>
            <w:szCs w:val="20"/>
          </w:rPr>
          <w:t>Census 2010</w:t>
        </w:r>
      </w:hyperlink>
      <w:r w:rsidRPr="003C2289">
        <w:rPr>
          <w:rFonts w:cs="Helvetica"/>
          <w:sz w:val="20"/>
          <w:szCs w:val="20"/>
        </w:rPr>
        <w:t xml:space="preserve">), gefolgt von </w:t>
      </w:r>
      <w:hyperlink r:id="rId3" w:history="1">
        <w:r w:rsidRPr="003C2289">
          <w:rPr>
            <w:rFonts w:cs="Helvetica"/>
            <w:sz w:val="20"/>
            <w:szCs w:val="20"/>
          </w:rPr>
          <w:t>San Diego</w:t>
        </w:r>
      </w:hyperlink>
      <w:r w:rsidRPr="003C2289">
        <w:rPr>
          <w:rFonts w:cs="Helvetica"/>
          <w:sz w:val="20"/>
          <w:szCs w:val="20"/>
        </w:rPr>
        <w:t xml:space="preserve">, </w:t>
      </w:r>
      <w:hyperlink r:id="rId4" w:history="1">
        <w:r w:rsidRPr="003C2289">
          <w:rPr>
            <w:rFonts w:cs="Helvetica"/>
            <w:sz w:val="20"/>
            <w:szCs w:val="20"/>
          </w:rPr>
          <w:t>San José</w:t>
        </w:r>
      </w:hyperlink>
      <w:r w:rsidRPr="003C2289">
        <w:rPr>
          <w:rFonts w:cs="Helvetica"/>
          <w:sz w:val="20"/>
          <w:szCs w:val="20"/>
        </w:rPr>
        <w:t xml:space="preserve">, </w:t>
      </w:r>
      <w:hyperlink r:id="rId5" w:history="1">
        <w:r w:rsidRPr="003C2289">
          <w:rPr>
            <w:rFonts w:cs="Helvetica"/>
            <w:sz w:val="20"/>
            <w:szCs w:val="20"/>
          </w:rPr>
          <w:t>San Francisco</w:t>
        </w:r>
      </w:hyperlink>
      <w:r w:rsidRPr="003C2289">
        <w:rPr>
          <w:rFonts w:cs="Helvetica"/>
          <w:sz w:val="20"/>
          <w:szCs w:val="20"/>
        </w:rPr>
        <w:t xml:space="preserve">, </w:t>
      </w:r>
      <w:hyperlink r:id="rId6" w:history="1">
        <w:r w:rsidRPr="003C2289">
          <w:rPr>
            <w:rFonts w:cs="Helvetica"/>
            <w:sz w:val="20"/>
            <w:szCs w:val="20"/>
          </w:rPr>
          <w:t>Fresno</w:t>
        </w:r>
      </w:hyperlink>
      <w:r w:rsidRPr="003C2289">
        <w:rPr>
          <w:rFonts w:cs="Helvetica"/>
          <w:sz w:val="20"/>
          <w:szCs w:val="20"/>
        </w:rPr>
        <w:t xml:space="preserve">, </w:t>
      </w:r>
      <w:hyperlink r:id="rId7" w:history="1">
        <w:r w:rsidRPr="003C2289">
          <w:rPr>
            <w:rFonts w:cs="Helvetica"/>
            <w:sz w:val="20"/>
            <w:szCs w:val="20"/>
          </w:rPr>
          <w:t>Long Beach</w:t>
        </w:r>
      </w:hyperlink>
      <w:r w:rsidRPr="003C2289">
        <w:rPr>
          <w:rFonts w:cs="Helvetica"/>
          <w:sz w:val="20"/>
          <w:szCs w:val="20"/>
        </w:rPr>
        <w:t xml:space="preserve">, </w:t>
      </w:r>
      <w:hyperlink r:id="rId8" w:history="1">
        <w:r w:rsidRPr="003C2289">
          <w:rPr>
            <w:rFonts w:cs="Helvetica"/>
            <w:sz w:val="20"/>
            <w:szCs w:val="20"/>
          </w:rPr>
          <w:t>Sacramento</w:t>
        </w:r>
      </w:hyperlink>
      <w:r w:rsidRPr="003C2289">
        <w:rPr>
          <w:rFonts w:cs="Helvetica"/>
          <w:sz w:val="20"/>
          <w:szCs w:val="20"/>
        </w:rPr>
        <w:t xml:space="preserve"> und </w:t>
      </w:r>
      <w:hyperlink r:id="rId9" w:history="1">
        <w:r w:rsidRPr="003C2289">
          <w:rPr>
            <w:rFonts w:cs="Helvetica"/>
            <w:sz w:val="20"/>
            <w:szCs w:val="20"/>
          </w:rPr>
          <w:t>Oakland</w:t>
        </w:r>
      </w:hyperlink>
      <w:r w:rsidRPr="003C2289">
        <w:rPr>
          <w:rFonts w:cs="Helvetica"/>
          <w:sz w:val="20"/>
          <w:szCs w:val="20"/>
        </w:rPr>
        <w:t xml:space="preserve"> (vgl. wikipedia Kalifornien).</w:t>
      </w:r>
    </w:p>
  </w:footnote>
  <w:footnote w:id="4">
    <w:p w14:paraId="710EDB1A" w14:textId="41F15241" w:rsidR="00617CD2" w:rsidRPr="003C2289" w:rsidRDefault="00617CD2" w:rsidP="007C55FB">
      <w:pPr>
        <w:pStyle w:val="Funotentext"/>
        <w:ind w:left="142" w:hanging="142"/>
        <w:jc w:val="both"/>
        <w:rPr>
          <w:sz w:val="20"/>
          <w:szCs w:val="20"/>
        </w:rPr>
      </w:pPr>
      <w:r w:rsidRPr="003C2289">
        <w:rPr>
          <w:rStyle w:val="Funotenzeichen"/>
          <w:sz w:val="20"/>
          <w:szCs w:val="20"/>
        </w:rPr>
        <w:footnoteRef/>
      </w:r>
      <w:r w:rsidRPr="003C2289">
        <w:rPr>
          <w:sz w:val="20"/>
          <w:szCs w:val="20"/>
        </w:rPr>
        <w:t xml:space="preserve"> Nicht wirklich erstaunlich ist diese</w:t>
      </w:r>
      <w:r>
        <w:rPr>
          <w:sz w:val="20"/>
          <w:szCs w:val="20"/>
        </w:rPr>
        <w:t xml:space="preserve">r Startpunkt der </w:t>
      </w:r>
      <w:r w:rsidRPr="003C2289">
        <w:rPr>
          <w:sz w:val="20"/>
          <w:szCs w:val="20"/>
        </w:rPr>
        <w:t>Cannabis</w:t>
      </w:r>
      <w:r>
        <w:rPr>
          <w:sz w:val="20"/>
          <w:szCs w:val="20"/>
        </w:rPr>
        <w:t xml:space="preserve">-Prohibition </w:t>
      </w:r>
      <w:r w:rsidRPr="003C2289">
        <w:rPr>
          <w:sz w:val="20"/>
          <w:szCs w:val="20"/>
        </w:rPr>
        <w:t xml:space="preserve">in Anbetracht der Tatsache, dass </w:t>
      </w:r>
      <w:r>
        <w:rPr>
          <w:sz w:val="20"/>
          <w:szCs w:val="20"/>
        </w:rPr>
        <w:t xml:space="preserve">die Verbotspolitik </w:t>
      </w:r>
      <w:r w:rsidRPr="003C2289">
        <w:rPr>
          <w:sz w:val="20"/>
          <w:szCs w:val="20"/>
        </w:rPr>
        <w:t>vor allem mit einem rassistischen Blick auf die schwarze und die einwandernde mexikanische Bevölkerung argumentiert wurde. Diese ethnischen Gruppen wurden vor allem mit dem Konsum von Marihuana und daraus abgeleiteten Gefahren vor allem für die weiße Bevölkerung in Ve</w:t>
      </w:r>
      <w:r w:rsidRPr="003C2289">
        <w:rPr>
          <w:sz w:val="20"/>
          <w:szCs w:val="20"/>
        </w:rPr>
        <w:t>r</w:t>
      </w:r>
      <w:r w:rsidRPr="003C2289">
        <w:rPr>
          <w:sz w:val="20"/>
          <w:szCs w:val="20"/>
        </w:rPr>
        <w:t>bindung gebracht – eine Argumentation, die angesichts der ethnischen Zusammensetzung der Bevölk</w:t>
      </w:r>
      <w:r w:rsidRPr="003C2289">
        <w:rPr>
          <w:sz w:val="20"/>
          <w:szCs w:val="20"/>
        </w:rPr>
        <w:t>e</w:t>
      </w:r>
      <w:r w:rsidRPr="003C2289">
        <w:rPr>
          <w:sz w:val="20"/>
          <w:szCs w:val="20"/>
        </w:rPr>
        <w:t>rung Kaliforniens in den 1930er Jahren auf fruchtbaren Boden insbesondere bei den weißen Bevölk</w:t>
      </w:r>
      <w:r w:rsidRPr="003C2289">
        <w:rPr>
          <w:sz w:val="20"/>
          <w:szCs w:val="20"/>
        </w:rPr>
        <w:t>e</w:t>
      </w:r>
      <w:r w:rsidRPr="003C2289">
        <w:rPr>
          <w:sz w:val="20"/>
          <w:szCs w:val="20"/>
        </w:rPr>
        <w:t>rungsgruppen</w:t>
      </w:r>
      <w:r w:rsidRPr="00ED09DE">
        <w:rPr>
          <w:sz w:val="20"/>
          <w:szCs w:val="20"/>
        </w:rPr>
        <w:t xml:space="preserve"> </w:t>
      </w:r>
      <w:r w:rsidRPr="003C2289">
        <w:rPr>
          <w:sz w:val="20"/>
          <w:szCs w:val="20"/>
        </w:rPr>
        <w:t xml:space="preserve">fiel, die die öffentliche Meinung dominierten. </w:t>
      </w:r>
    </w:p>
  </w:footnote>
  <w:footnote w:id="5">
    <w:p w14:paraId="37A94493" w14:textId="24728B89" w:rsidR="00617CD2" w:rsidRPr="003E321E" w:rsidRDefault="00617CD2" w:rsidP="003C2289">
      <w:pPr>
        <w:pStyle w:val="Funotentext"/>
        <w:ind w:left="142" w:hanging="142"/>
        <w:rPr>
          <w:sz w:val="20"/>
          <w:szCs w:val="20"/>
        </w:rPr>
      </w:pPr>
      <w:r>
        <w:rPr>
          <w:rStyle w:val="Funotenzeichen"/>
        </w:rPr>
        <w:footnoteRef/>
      </w:r>
      <w:r>
        <w:t xml:space="preserve"> </w:t>
      </w:r>
      <w:r w:rsidRPr="003E321E">
        <w:rPr>
          <w:rFonts w:cs="Arial"/>
          <w:sz w:val="20"/>
          <w:szCs w:val="20"/>
        </w:rPr>
        <w:t xml:space="preserve">Ein Gesetzeswerk aus </w:t>
      </w:r>
      <w:r w:rsidRPr="003E321E">
        <w:rPr>
          <w:rFonts w:cs="Verdana"/>
          <w:bCs/>
          <w:sz w:val="20"/>
          <w:szCs w:val="20"/>
        </w:rPr>
        <w:t>Proposition 215 (Prop 215),  dem Compassionate Use Act of 1996 und Senate Bill (SB) 420</w:t>
      </w:r>
      <w:r w:rsidRPr="003E321E">
        <w:rPr>
          <w:rFonts w:cs="Arial"/>
          <w:sz w:val="20"/>
          <w:szCs w:val="20"/>
        </w:rPr>
        <w:t>.</w:t>
      </w:r>
    </w:p>
  </w:footnote>
  <w:footnote w:id="6">
    <w:p w14:paraId="651CF7DC" w14:textId="193403E1" w:rsidR="00617CD2" w:rsidRPr="003E321E" w:rsidRDefault="00617CD2" w:rsidP="009D7629">
      <w:pPr>
        <w:pStyle w:val="Funotentext"/>
        <w:ind w:left="142" w:hanging="142"/>
        <w:jc w:val="both"/>
        <w:rPr>
          <w:sz w:val="20"/>
          <w:szCs w:val="20"/>
        </w:rPr>
      </w:pPr>
      <w:r>
        <w:rPr>
          <w:rStyle w:val="Funotenzeichen"/>
        </w:rPr>
        <w:footnoteRef/>
      </w:r>
      <w:r>
        <w:t xml:space="preserve"> </w:t>
      </w:r>
      <w:r w:rsidRPr="003E321E">
        <w:rPr>
          <w:rFonts w:cs="SourceSansPro-Semibold"/>
          <w:bCs/>
          <w:sz w:val="20"/>
          <w:szCs w:val="20"/>
        </w:rPr>
        <w:t xml:space="preserve">Ein Gebiet, das die Bezirke </w:t>
      </w:r>
      <w:hyperlink r:id="rId10" w:history="1">
        <w:r w:rsidRPr="003E321E">
          <w:rPr>
            <w:rFonts w:cs="SourceSansPro-Regular"/>
            <w:sz w:val="20"/>
            <w:szCs w:val="20"/>
          </w:rPr>
          <w:t xml:space="preserve">Mendocino </w:t>
        </w:r>
        <w:r w:rsidRPr="003E321E">
          <w:rPr>
            <w:rFonts w:cs="SourceSansPro-Regular"/>
            <w:sz w:val="20"/>
            <w:szCs w:val="20"/>
            <w:u w:val="single" w:color="FC401F"/>
          </w:rPr>
          <w:t>County</w:t>
        </w:r>
      </w:hyperlink>
      <w:r w:rsidRPr="003E321E">
        <w:rPr>
          <w:rFonts w:cs="SourceSansPro-Regular"/>
          <w:sz w:val="20"/>
          <w:szCs w:val="20"/>
        </w:rPr>
        <w:t xml:space="preserve">, </w:t>
      </w:r>
      <w:hyperlink r:id="rId11" w:history="1">
        <w:r w:rsidRPr="003E321E">
          <w:rPr>
            <w:rFonts w:cs="SourceSansPro-Regular"/>
            <w:sz w:val="20"/>
            <w:szCs w:val="20"/>
            <w:u w:val="single" w:color="FC401F"/>
          </w:rPr>
          <w:t>Humboldt County</w:t>
        </w:r>
      </w:hyperlink>
      <w:r w:rsidRPr="003E321E">
        <w:rPr>
          <w:rFonts w:cs="SourceSansPro-Regular"/>
          <w:sz w:val="20"/>
          <w:szCs w:val="20"/>
        </w:rPr>
        <w:t xml:space="preserve"> und </w:t>
      </w:r>
      <w:hyperlink r:id="rId12" w:history="1">
        <w:r w:rsidRPr="003E321E">
          <w:rPr>
            <w:rFonts w:cs="SourceSansPro-Regular"/>
            <w:sz w:val="20"/>
            <w:szCs w:val="20"/>
          </w:rPr>
          <w:t xml:space="preserve">Trinity </w:t>
        </w:r>
        <w:r w:rsidRPr="003E321E">
          <w:rPr>
            <w:rFonts w:cs="SourceSansPro-Regular"/>
            <w:sz w:val="20"/>
            <w:szCs w:val="20"/>
            <w:u w:val="single" w:color="FC401F"/>
          </w:rPr>
          <w:t>County</w:t>
        </w:r>
      </w:hyperlink>
      <w:r w:rsidRPr="003E321E">
        <w:rPr>
          <w:rFonts w:cs="SourceSansPro-Regular"/>
          <w:sz w:val="20"/>
          <w:szCs w:val="20"/>
        </w:rPr>
        <w:t xml:space="preserve"> umfasst und b</w:t>
      </w:r>
      <w:r w:rsidRPr="003E321E">
        <w:rPr>
          <w:rFonts w:cs="SourceSansPro-Regular"/>
          <w:sz w:val="20"/>
          <w:szCs w:val="20"/>
        </w:rPr>
        <w:t>e</w:t>
      </w:r>
      <w:r w:rsidRPr="003E321E">
        <w:rPr>
          <w:rFonts w:cs="SourceSansPro-Regular"/>
          <w:sz w:val="20"/>
          <w:szCs w:val="20"/>
        </w:rPr>
        <w:t>kannt ist für sein qualitativ hochwertiges Marihuana.</w:t>
      </w:r>
    </w:p>
  </w:footnote>
  <w:footnote w:id="7">
    <w:p w14:paraId="014E8A65" w14:textId="202B82BB" w:rsidR="00617CD2" w:rsidRDefault="00617CD2" w:rsidP="007C55FB">
      <w:pPr>
        <w:pStyle w:val="Funotentext"/>
        <w:ind w:left="284" w:hanging="284"/>
        <w:jc w:val="both"/>
      </w:pPr>
      <w:r>
        <w:rPr>
          <w:rStyle w:val="Funotenzeichen"/>
        </w:rPr>
        <w:footnoteRef/>
      </w:r>
      <w:r>
        <w:t xml:space="preserve"> </w:t>
      </w:r>
      <w:r>
        <w:tab/>
      </w:r>
      <w:r w:rsidRPr="009D7629">
        <w:rPr>
          <w:sz w:val="20"/>
          <w:szCs w:val="20"/>
        </w:rPr>
        <w:t>Diese umfasst nicht nur das kulturelle Selbstverständnis der Farmer, Produzenten und Händler, so</w:t>
      </w:r>
      <w:r w:rsidRPr="009D7629">
        <w:rPr>
          <w:sz w:val="20"/>
          <w:szCs w:val="20"/>
        </w:rPr>
        <w:t>n</w:t>
      </w:r>
      <w:r w:rsidRPr="009D7629">
        <w:rPr>
          <w:sz w:val="20"/>
          <w:szCs w:val="20"/>
        </w:rPr>
        <w:t>dern auch Ideen zu einem risikobewussten Umgang mit dieser Pflanze, um den sich zugleich Musi</w:t>
      </w:r>
      <w:r w:rsidRPr="009D7629">
        <w:rPr>
          <w:sz w:val="20"/>
          <w:szCs w:val="20"/>
        </w:rPr>
        <w:t>k</w:t>
      </w:r>
      <w:r w:rsidRPr="009D7629">
        <w:rPr>
          <w:sz w:val="20"/>
          <w:szCs w:val="20"/>
        </w:rPr>
        <w:t>formen, Moden, Kunst usw. entwickelt haben</w:t>
      </w:r>
      <w:r>
        <w:rPr>
          <w:sz w:val="20"/>
          <w:szCs w:val="20"/>
        </w:rPr>
        <w:t>.</w:t>
      </w:r>
    </w:p>
  </w:footnote>
  <w:footnote w:id="8">
    <w:p w14:paraId="50538236" w14:textId="40431188" w:rsidR="00617CD2" w:rsidRPr="009D7629" w:rsidRDefault="00617CD2" w:rsidP="007C55FB">
      <w:pPr>
        <w:pStyle w:val="Funotentext"/>
        <w:ind w:left="284" w:hanging="284"/>
        <w:jc w:val="both"/>
        <w:rPr>
          <w:sz w:val="20"/>
          <w:szCs w:val="20"/>
        </w:rPr>
      </w:pPr>
      <w:r w:rsidRPr="009D7629">
        <w:rPr>
          <w:rStyle w:val="Funotenzeichen"/>
          <w:sz w:val="20"/>
          <w:szCs w:val="20"/>
        </w:rPr>
        <w:footnoteRef/>
      </w:r>
      <w:r w:rsidRPr="009D7629">
        <w:rPr>
          <w:sz w:val="20"/>
          <w:szCs w:val="20"/>
        </w:rPr>
        <w:t xml:space="preserve"> </w:t>
      </w:r>
      <w:r>
        <w:rPr>
          <w:sz w:val="20"/>
          <w:szCs w:val="20"/>
        </w:rPr>
        <w:tab/>
      </w:r>
      <w:r w:rsidRPr="009D7629">
        <w:rPr>
          <w:sz w:val="20"/>
          <w:szCs w:val="20"/>
        </w:rPr>
        <w:t>Die große Zahl von Patienten, die in Kalifornien medizinisches Marihuana verschrieben bekommt (720.442 Patienten = 1,84 % der Bevölkerung, vgl. medical marijuana 2016)</w:t>
      </w:r>
      <w:r w:rsidRPr="009D7629">
        <w:rPr>
          <w:color w:val="FF0000"/>
          <w:sz w:val="20"/>
          <w:szCs w:val="20"/>
        </w:rPr>
        <w:t xml:space="preserve"> </w:t>
      </w:r>
      <w:r w:rsidRPr="009D7629">
        <w:rPr>
          <w:sz w:val="20"/>
          <w:szCs w:val="20"/>
        </w:rPr>
        <w:t>und dieses nicht nur sehr offen konsumieren darf (z. B. auf öffentlichen Plätzen), sondern sich auch energisch gegen stigmatisi</w:t>
      </w:r>
      <w:r w:rsidRPr="009D7629">
        <w:rPr>
          <w:sz w:val="20"/>
          <w:szCs w:val="20"/>
        </w:rPr>
        <w:t>e</w:t>
      </w:r>
      <w:r w:rsidRPr="009D7629">
        <w:rPr>
          <w:sz w:val="20"/>
          <w:szCs w:val="20"/>
        </w:rPr>
        <w:t xml:space="preserve">rende Zuweisungen wehrt (z. B. eines folgerichtigen Abbaus der Intelligenz, der Verlässlichkeit und der sozialen Verträglichkeit dieses Konsums) kann als treibende Kraft </w:t>
      </w:r>
      <w:r>
        <w:rPr>
          <w:sz w:val="20"/>
          <w:szCs w:val="20"/>
        </w:rPr>
        <w:t>gelten</w:t>
      </w:r>
      <w:r w:rsidRPr="009D7629">
        <w:rPr>
          <w:sz w:val="20"/>
          <w:szCs w:val="20"/>
        </w:rPr>
        <w:t xml:space="preserve">, dramatisierende und wirklichkeitsferne Bewertungen zu überdenken.      </w:t>
      </w:r>
    </w:p>
  </w:footnote>
  <w:footnote w:id="9">
    <w:p w14:paraId="79AFF14D" w14:textId="680460D3" w:rsidR="00617CD2" w:rsidRPr="006C22C3" w:rsidRDefault="00617CD2" w:rsidP="007C55FB">
      <w:pPr>
        <w:pStyle w:val="Funotentext"/>
        <w:ind w:left="284" w:hanging="284"/>
        <w:jc w:val="both"/>
        <w:rPr>
          <w:sz w:val="20"/>
          <w:szCs w:val="20"/>
        </w:rPr>
      </w:pPr>
      <w:r w:rsidRPr="009D7629">
        <w:rPr>
          <w:rStyle w:val="Funotenzeichen"/>
          <w:sz w:val="20"/>
          <w:szCs w:val="20"/>
        </w:rPr>
        <w:footnoteRef/>
      </w:r>
      <w:r w:rsidRPr="009D7629">
        <w:rPr>
          <w:sz w:val="20"/>
          <w:szCs w:val="20"/>
        </w:rPr>
        <w:t xml:space="preserve"> </w:t>
      </w:r>
      <w:r>
        <w:rPr>
          <w:sz w:val="20"/>
          <w:szCs w:val="20"/>
        </w:rPr>
        <w:tab/>
      </w:r>
      <w:r w:rsidRPr="009D7629">
        <w:rPr>
          <w:sz w:val="20"/>
          <w:szCs w:val="20"/>
        </w:rPr>
        <w:t>Leider wird in diesen Erhebungen keine weitere Spezifikation des Konsums z. B. durch eine Angabe des Ortes, der Zeit, der Situation, der User vorgenommen (vgl. Hughes, Rachel, Lipari, Williams 2016), so dass die vorliegenden empirischen Befunde wenig interpretierbar sind. Im Gegensatz dazu differe</w:t>
      </w:r>
      <w:r w:rsidRPr="009D7629">
        <w:rPr>
          <w:sz w:val="20"/>
          <w:szCs w:val="20"/>
        </w:rPr>
        <w:t>n</w:t>
      </w:r>
      <w:r w:rsidRPr="009D7629">
        <w:rPr>
          <w:sz w:val="20"/>
          <w:szCs w:val="20"/>
        </w:rPr>
        <w:t>zieren einige Befragungen u</w:t>
      </w:r>
      <w:r>
        <w:rPr>
          <w:sz w:val="20"/>
          <w:szCs w:val="20"/>
        </w:rPr>
        <w:t>nter Jugendlichen (u. a. Healthy-kids-</w:t>
      </w:r>
      <w:r w:rsidRPr="009D7629">
        <w:rPr>
          <w:sz w:val="20"/>
          <w:szCs w:val="20"/>
        </w:rPr>
        <w:t>survey) oft zwischen Konsumformen und -</w:t>
      </w:r>
      <w:r w:rsidRPr="006C22C3">
        <w:rPr>
          <w:sz w:val="20"/>
          <w:szCs w:val="20"/>
        </w:rPr>
        <w:t>intensität, haben diese Differenzierung allerdings erst vor wenigen Jahren eingeführt, weshalb Prä- und Post</w:t>
      </w:r>
      <w:r>
        <w:rPr>
          <w:sz w:val="20"/>
          <w:szCs w:val="20"/>
        </w:rPr>
        <w:t>-Regulierung</w:t>
      </w:r>
      <w:r w:rsidRPr="006C22C3">
        <w:rPr>
          <w:sz w:val="20"/>
          <w:szCs w:val="20"/>
        </w:rPr>
        <w:t>seffekte nur bedingt festge</w:t>
      </w:r>
      <w:r>
        <w:rPr>
          <w:sz w:val="20"/>
          <w:szCs w:val="20"/>
        </w:rPr>
        <w:t xml:space="preserve">stellt </w:t>
      </w:r>
      <w:r w:rsidRPr="006C22C3">
        <w:rPr>
          <w:sz w:val="20"/>
          <w:szCs w:val="20"/>
        </w:rPr>
        <w:t>werden können. Zu prüfen ist zudem, we</w:t>
      </w:r>
      <w:r w:rsidRPr="006C22C3">
        <w:rPr>
          <w:sz w:val="20"/>
          <w:szCs w:val="20"/>
        </w:rPr>
        <w:t>l</w:t>
      </w:r>
      <w:r w:rsidRPr="006C22C3">
        <w:rPr>
          <w:sz w:val="20"/>
          <w:szCs w:val="20"/>
        </w:rPr>
        <w:t xml:space="preserve">che Effekte  eine gewisse Entdramatisierung in der Beurteilung des Marihuana-Konsums auf den </w:t>
      </w:r>
      <w:r>
        <w:rPr>
          <w:sz w:val="20"/>
          <w:szCs w:val="20"/>
        </w:rPr>
        <w:t>ta</w:t>
      </w:r>
      <w:r>
        <w:rPr>
          <w:sz w:val="20"/>
          <w:szCs w:val="20"/>
        </w:rPr>
        <w:t>t</w:t>
      </w:r>
      <w:r>
        <w:rPr>
          <w:sz w:val="20"/>
          <w:szCs w:val="20"/>
        </w:rPr>
        <w:t xml:space="preserve">sächlichen </w:t>
      </w:r>
      <w:r w:rsidRPr="006C22C3">
        <w:rPr>
          <w:sz w:val="20"/>
          <w:szCs w:val="20"/>
        </w:rPr>
        <w:t xml:space="preserve">Umgang mit dieser Substanz hat (vgl. im Detail Kapitel 4). </w:t>
      </w:r>
    </w:p>
  </w:footnote>
  <w:footnote w:id="10">
    <w:p w14:paraId="43B02CD9" w14:textId="2B80D745" w:rsidR="00617CD2" w:rsidRPr="006C22C3" w:rsidRDefault="00617CD2" w:rsidP="007C55FB">
      <w:pPr>
        <w:pStyle w:val="Funotentext"/>
        <w:ind w:left="284" w:hanging="284"/>
        <w:jc w:val="both"/>
        <w:rPr>
          <w:sz w:val="20"/>
          <w:szCs w:val="20"/>
        </w:rPr>
      </w:pPr>
      <w:r w:rsidRPr="006C22C3">
        <w:rPr>
          <w:rStyle w:val="Funotenzeichen"/>
          <w:sz w:val="20"/>
          <w:szCs w:val="20"/>
        </w:rPr>
        <w:footnoteRef/>
      </w:r>
      <w:r w:rsidRPr="006C22C3">
        <w:rPr>
          <w:sz w:val="20"/>
          <w:szCs w:val="20"/>
        </w:rPr>
        <w:t xml:space="preserve"> </w:t>
      </w:r>
      <w:r>
        <w:rPr>
          <w:sz w:val="20"/>
          <w:szCs w:val="20"/>
        </w:rPr>
        <w:tab/>
      </w:r>
      <w:r w:rsidRPr="006C22C3">
        <w:rPr>
          <w:sz w:val="20"/>
          <w:szCs w:val="20"/>
        </w:rPr>
        <w:t>Die Bundesstaaten Colorado und Washington sind in dieser Studie nicht separat ausgewiesen und können deshalb nicht in den Vergleich einbezogen werden (vgl. Center</w:t>
      </w:r>
      <w:r>
        <w:rPr>
          <w:sz w:val="20"/>
          <w:szCs w:val="20"/>
        </w:rPr>
        <w:t>s of Diseas Control and P</w:t>
      </w:r>
      <w:r w:rsidRPr="006C22C3">
        <w:rPr>
          <w:sz w:val="20"/>
          <w:szCs w:val="20"/>
        </w:rPr>
        <w:t>reve</w:t>
      </w:r>
      <w:r w:rsidRPr="006C22C3">
        <w:rPr>
          <w:sz w:val="20"/>
          <w:szCs w:val="20"/>
        </w:rPr>
        <w:t>n</w:t>
      </w:r>
      <w:r w:rsidRPr="006C22C3">
        <w:rPr>
          <w:sz w:val="20"/>
          <w:szCs w:val="20"/>
        </w:rPr>
        <w:t>tion 2016).</w:t>
      </w:r>
    </w:p>
  </w:footnote>
  <w:footnote w:id="11">
    <w:p w14:paraId="0EBC6084" w14:textId="37F4E17F" w:rsidR="00617CD2" w:rsidRPr="006C22C3" w:rsidRDefault="00617CD2" w:rsidP="00236F19">
      <w:pPr>
        <w:pStyle w:val="Funotentext"/>
        <w:ind w:left="284" w:hanging="284"/>
        <w:jc w:val="both"/>
        <w:rPr>
          <w:sz w:val="20"/>
          <w:szCs w:val="20"/>
        </w:rPr>
      </w:pPr>
      <w:r w:rsidRPr="006C22C3">
        <w:rPr>
          <w:rStyle w:val="Funotenzeichen"/>
          <w:sz w:val="20"/>
          <w:szCs w:val="20"/>
        </w:rPr>
        <w:footnoteRef/>
      </w:r>
      <w:r w:rsidRPr="006C22C3">
        <w:rPr>
          <w:sz w:val="20"/>
          <w:szCs w:val="20"/>
        </w:rPr>
        <w:t xml:space="preserve"> </w:t>
      </w:r>
      <w:r>
        <w:rPr>
          <w:sz w:val="20"/>
          <w:szCs w:val="20"/>
        </w:rPr>
        <w:tab/>
      </w:r>
      <w:r w:rsidRPr="006C22C3">
        <w:rPr>
          <w:sz w:val="20"/>
          <w:szCs w:val="20"/>
        </w:rPr>
        <w:t xml:space="preserve">Auch für die Preisgestaltung bei der Lizenzvergabe gibt es keine Vorgaben, weshalb </w:t>
      </w:r>
      <w:r>
        <w:rPr>
          <w:sz w:val="20"/>
          <w:szCs w:val="20"/>
        </w:rPr>
        <w:t xml:space="preserve">die </w:t>
      </w:r>
      <w:r w:rsidRPr="006C22C3">
        <w:rPr>
          <w:sz w:val="20"/>
          <w:szCs w:val="20"/>
        </w:rPr>
        <w:t>Anbieter auch unterschiedliche Gebühren fordern.</w:t>
      </w:r>
    </w:p>
  </w:footnote>
  <w:footnote w:id="12">
    <w:p w14:paraId="52A73E4E" w14:textId="622F8BB4" w:rsidR="00617CD2" w:rsidRPr="006C22C3" w:rsidRDefault="00617CD2" w:rsidP="00236F19">
      <w:pPr>
        <w:pStyle w:val="Funotentext"/>
        <w:ind w:left="284" w:hanging="284"/>
        <w:jc w:val="both"/>
        <w:rPr>
          <w:sz w:val="20"/>
          <w:szCs w:val="20"/>
        </w:rPr>
      </w:pPr>
      <w:r w:rsidRPr="006C22C3">
        <w:rPr>
          <w:rStyle w:val="Funotenzeichen"/>
          <w:sz w:val="20"/>
          <w:szCs w:val="20"/>
        </w:rPr>
        <w:footnoteRef/>
      </w:r>
      <w:r w:rsidRPr="006C22C3">
        <w:rPr>
          <w:sz w:val="20"/>
          <w:szCs w:val="20"/>
        </w:rPr>
        <w:t xml:space="preserve"> </w:t>
      </w:r>
      <w:r>
        <w:rPr>
          <w:sz w:val="20"/>
          <w:szCs w:val="20"/>
        </w:rPr>
        <w:tab/>
      </w:r>
      <w:r w:rsidRPr="006C22C3">
        <w:rPr>
          <w:sz w:val="20"/>
          <w:szCs w:val="20"/>
        </w:rPr>
        <w:t xml:space="preserve">Dieser Forderungskatalog erhielt den Namen Cole-Memo; eine Bezeichnung, die auf dessen Initiator Attorney James Cole zurückgeht. </w:t>
      </w:r>
    </w:p>
  </w:footnote>
  <w:footnote w:id="13">
    <w:p w14:paraId="1BE7334C" w14:textId="4C00BB30" w:rsidR="00617CD2" w:rsidRPr="006C22C3" w:rsidRDefault="00617CD2" w:rsidP="00236F19">
      <w:pPr>
        <w:pStyle w:val="Funotentext"/>
        <w:ind w:left="284" w:hanging="284"/>
        <w:jc w:val="both"/>
        <w:rPr>
          <w:sz w:val="20"/>
          <w:szCs w:val="20"/>
        </w:rPr>
      </w:pPr>
      <w:r w:rsidRPr="006C22C3">
        <w:rPr>
          <w:rStyle w:val="Funotenzeichen"/>
          <w:sz w:val="20"/>
          <w:szCs w:val="20"/>
        </w:rPr>
        <w:footnoteRef/>
      </w:r>
      <w:r w:rsidRPr="006C22C3">
        <w:rPr>
          <w:sz w:val="20"/>
          <w:szCs w:val="20"/>
        </w:rPr>
        <w:t xml:space="preserve"> </w:t>
      </w:r>
      <w:r>
        <w:rPr>
          <w:sz w:val="20"/>
          <w:szCs w:val="20"/>
        </w:rPr>
        <w:tab/>
      </w:r>
      <w:r w:rsidRPr="006C22C3">
        <w:rPr>
          <w:rFonts w:cs="Times"/>
          <w:sz w:val="20"/>
          <w:szCs w:val="20"/>
        </w:rPr>
        <w:t>U. a. ist bei erstauffälligen Jugendlichen und unter bestimmten Bedingungen selbst bei mehrmaliger Straffälligkeit das Absehen von einer Gefängnisstrafe formuliert, die durch Auflagen zur Teilnahme an einer mehrstündigen Schulungseinheit und zum Ableisten gemeinnütziger Arbeit ersetzt werden soll.</w:t>
      </w:r>
    </w:p>
  </w:footnote>
  <w:footnote w:id="14">
    <w:p w14:paraId="2C7B46AC" w14:textId="139E4A1F" w:rsidR="00617CD2" w:rsidRPr="006C22C3" w:rsidRDefault="00617CD2" w:rsidP="009D7629">
      <w:pPr>
        <w:pStyle w:val="Funotentext"/>
        <w:ind w:left="284" w:hanging="284"/>
        <w:jc w:val="both"/>
        <w:rPr>
          <w:sz w:val="20"/>
          <w:szCs w:val="20"/>
        </w:rPr>
      </w:pPr>
      <w:r w:rsidRPr="006C22C3">
        <w:rPr>
          <w:rStyle w:val="Funotenzeichen"/>
          <w:sz w:val="20"/>
          <w:szCs w:val="20"/>
        </w:rPr>
        <w:footnoteRef/>
      </w:r>
      <w:r w:rsidRPr="006C22C3">
        <w:rPr>
          <w:sz w:val="20"/>
          <w:szCs w:val="20"/>
        </w:rPr>
        <w:t xml:space="preserve"> </w:t>
      </w:r>
      <w:r>
        <w:rPr>
          <w:sz w:val="20"/>
          <w:szCs w:val="20"/>
        </w:rPr>
        <w:tab/>
      </w:r>
      <w:r w:rsidRPr="006C22C3">
        <w:rPr>
          <w:sz w:val="20"/>
          <w:szCs w:val="20"/>
        </w:rPr>
        <w:t xml:space="preserve">Bisher </w:t>
      </w:r>
      <w:r w:rsidRPr="006C22C3">
        <w:rPr>
          <w:rFonts w:cs="Arial"/>
          <w:sz w:val="20"/>
          <w:szCs w:val="20"/>
        </w:rPr>
        <w:t xml:space="preserve">vergeben Banken für </w:t>
      </w:r>
      <w:r>
        <w:rPr>
          <w:rFonts w:cs="Arial"/>
          <w:sz w:val="20"/>
          <w:szCs w:val="20"/>
        </w:rPr>
        <w:t>nach föderaler Ordnung illegale</w:t>
      </w:r>
      <w:r w:rsidRPr="006C22C3">
        <w:rPr>
          <w:rFonts w:cs="Arial"/>
          <w:sz w:val="20"/>
          <w:szCs w:val="20"/>
        </w:rPr>
        <w:t xml:space="preserve"> Aktivitäten weder Kredite noch unte</w:t>
      </w:r>
      <w:r w:rsidRPr="006C22C3">
        <w:rPr>
          <w:rFonts w:cs="Arial"/>
          <w:sz w:val="20"/>
          <w:szCs w:val="20"/>
        </w:rPr>
        <w:t>r</w:t>
      </w:r>
      <w:r w:rsidRPr="006C22C3">
        <w:rPr>
          <w:rFonts w:cs="Arial"/>
          <w:sz w:val="20"/>
          <w:szCs w:val="20"/>
        </w:rPr>
        <w:t>stützen sie entsprechende Betriebe mit Bankdienstleistungen.</w:t>
      </w:r>
    </w:p>
  </w:footnote>
  <w:footnote w:id="15">
    <w:p w14:paraId="28D4A8CA" w14:textId="215EC007" w:rsidR="00617CD2" w:rsidRPr="006C22C3" w:rsidRDefault="00617CD2" w:rsidP="009D7629">
      <w:pPr>
        <w:pStyle w:val="Funotentext"/>
        <w:ind w:left="284" w:hanging="284"/>
        <w:jc w:val="both"/>
        <w:rPr>
          <w:sz w:val="20"/>
          <w:szCs w:val="20"/>
        </w:rPr>
      </w:pPr>
      <w:r w:rsidRPr="006C22C3">
        <w:rPr>
          <w:rStyle w:val="Funotenzeichen"/>
          <w:sz w:val="20"/>
          <w:szCs w:val="20"/>
        </w:rPr>
        <w:footnoteRef/>
      </w:r>
      <w:r w:rsidRPr="006C22C3">
        <w:rPr>
          <w:sz w:val="20"/>
          <w:szCs w:val="20"/>
        </w:rPr>
        <w:t xml:space="preserve"> </w:t>
      </w:r>
      <w:r>
        <w:rPr>
          <w:sz w:val="20"/>
          <w:szCs w:val="20"/>
        </w:rPr>
        <w:tab/>
      </w:r>
      <w:r w:rsidRPr="006C22C3">
        <w:rPr>
          <w:rFonts w:cs="Arial"/>
          <w:sz w:val="20"/>
          <w:szCs w:val="20"/>
        </w:rPr>
        <w:t>Die Illegalität hat bisher dafür gesorgt, dass durch die Farmer und Produzenten möglichst wenig d</w:t>
      </w:r>
      <w:r w:rsidRPr="006C22C3">
        <w:rPr>
          <w:rFonts w:cs="Arial"/>
          <w:sz w:val="20"/>
          <w:szCs w:val="20"/>
        </w:rPr>
        <w:t>o</w:t>
      </w:r>
      <w:r w:rsidRPr="006C22C3">
        <w:rPr>
          <w:rFonts w:cs="Arial"/>
          <w:sz w:val="20"/>
          <w:szCs w:val="20"/>
        </w:rPr>
        <w:t>kumentiert wird, um den Strafverfolgungsbehörden keine Verdachtsmomente und Strafverfolgung</w:t>
      </w:r>
      <w:r w:rsidRPr="006C22C3">
        <w:rPr>
          <w:rFonts w:cs="Arial"/>
          <w:sz w:val="20"/>
          <w:szCs w:val="20"/>
        </w:rPr>
        <w:t>s</w:t>
      </w:r>
      <w:r w:rsidRPr="006C22C3">
        <w:rPr>
          <w:rFonts w:cs="Arial"/>
          <w:sz w:val="20"/>
          <w:szCs w:val="20"/>
        </w:rPr>
        <w:t>hinweise zu liefern. Für diese Gruppe bedeuten die nunmehr gestellten Anforderungen nicht nur eine vollständige Umkehr in deren Selbstverständnis. Sie stoßen auch einen Prozess des Lernens an, wie welche Daten festzuhalten sind, um in der Tat ein Nachverfolgen der Praxis zu ermöglichen, der alle</w:t>
      </w:r>
      <w:r w:rsidRPr="006C22C3">
        <w:rPr>
          <w:rFonts w:cs="Arial"/>
          <w:sz w:val="20"/>
          <w:szCs w:val="20"/>
        </w:rPr>
        <w:t>r</w:t>
      </w:r>
      <w:r w:rsidRPr="006C22C3">
        <w:rPr>
          <w:rFonts w:cs="Arial"/>
          <w:sz w:val="20"/>
          <w:szCs w:val="20"/>
        </w:rPr>
        <w:t>dings auch Zeit, Investment und Unterstützung braucht.</w:t>
      </w:r>
    </w:p>
  </w:footnote>
  <w:footnote w:id="16">
    <w:p w14:paraId="3B938212" w14:textId="491D89C8" w:rsidR="00617CD2" w:rsidRPr="006C22C3" w:rsidRDefault="00617CD2" w:rsidP="002E7129">
      <w:pPr>
        <w:pStyle w:val="Funotentext"/>
        <w:ind w:left="284" w:hanging="284"/>
        <w:jc w:val="both"/>
        <w:rPr>
          <w:sz w:val="20"/>
          <w:szCs w:val="20"/>
        </w:rPr>
      </w:pPr>
      <w:r w:rsidRPr="006C22C3">
        <w:rPr>
          <w:rStyle w:val="Funotenzeichen"/>
          <w:sz w:val="20"/>
          <w:szCs w:val="20"/>
        </w:rPr>
        <w:footnoteRef/>
      </w:r>
      <w:r w:rsidRPr="006C22C3">
        <w:rPr>
          <w:sz w:val="20"/>
          <w:szCs w:val="20"/>
        </w:rPr>
        <w:t xml:space="preserve"> </w:t>
      </w:r>
      <w:r>
        <w:rPr>
          <w:sz w:val="20"/>
          <w:szCs w:val="20"/>
        </w:rPr>
        <w:tab/>
      </w:r>
      <w:r w:rsidRPr="006C22C3">
        <w:rPr>
          <w:sz w:val="20"/>
          <w:szCs w:val="20"/>
        </w:rPr>
        <w:t xml:space="preserve">Als langjährige </w:t>
      </w:r>
      <w:r w:rsidRPr="006C22C3">
        <w:rPr>
          <w:rFonts w:cs="Arial"/>
          <w:sz w:val="20"/>
          <w:szCs w:val="20"/>
        </w:rPr>
        <w:t>Experten für eine durchaus anforderungsreiche Arbeit in Anbau, Ernte und Produktion haben viele Personen, die bisher im illegalisierten Bereich tätig waren, oft schon mehrere polizeiliche Einträge, Verwarnungen oder andere Strafen</w:t>
      </w:r>
      <w:r>
        <w:rPr>
          <w:rFonts w:cs="Arial"/>
          <w:sz w:val="20"/>
          <w:szCs w:val="20"/>
        </w:rPr>
        <w:t xml:space="preserve"> erhalten</w:t>
      </w:r>
      <w:r w:rsidRPr="006C22C3">
        <w:rPr>
          <w:rFonts w:cs="Arial"/>
          <w:sz w:val="20"/>
          <w:szCs w:val="20"/>
        </w:rPr>
        <w:t>, durch die sie für eine Lizenzvergabe nun nicht mehr in Frage kommen</w:t>
      </w:r>
      <w:r>
        <w:rPr>
          <w:rFonts w:cs="Arial"/>
          <w:sz w:val="20"/>
          <w:szCs w:val="20"/>
        </w:rPr>
        <w:t>, weil sie ein entsprechend „sauberes“ Führungszeugnis vorzulegen haben</w:t>
      </w:r>
      <w:r w:rsidRPr="006C22C3">
        <w:rPr>
          <w:rFonts w:cs="Arial"/>
          <w:sz w:val="20"/>
          <w:szCs w:val="20"/>
        </w:rPr>
        <w:t xml:space="preserve">.  </w:t>
      </w:r>
    </w:p>
  </w:footnote>
  <w:footnote w:id="17">
    <w:p w14:paraId="36051BE4" w14:textId="31E3FC0B" w:rsidR="00617CD2" w:rsidRPr="00AF5540" w:rsidRDefault="00617CD2" w:rsidP="00AF5540">
      <w:pPr>
        <w:pStyle w:val="Funotentext"/>
        <w:ind w:left="284" w:hanging="284"/>
        <w:rPr>
          <w:sz w:val="20"/>
          <w:szCs w:val="20"/>
        </w:rPr>
      </w:pPr>
      <w:r>
        <w:rPr>
          <w:rStyle w:val="Funotenzeichen"/>
        </w:rPr>
        <w:footnoteRef/>
      </w:r>
      <w:r>
        <w:t xml:space="preserve"> </w:t>
      </w:r>
      <w:r>
        <w:tab/>
      </w:r>
      <w:r w:rsidRPr="00AF5540">
        <w:rPr>
          <w:sz w:val="20"/>
          <w:szCs w:val="20"/>
        </w:rPr>
        <w:t>In den verschiedenen Surveys werden nicht nur unterschiedliche Erhebungsmethoden verwendet, sondern auch Altersgruppen unterschiedlich zusammengestellt und sehr verschieden</w:t>
      </w:r>
      <w:r>
        <w:rPr>
          <w:sz w:val="20"/>
          <w:szCs w:val="20"/>
        </w:rPr>
        <w:t>e</w:t>
      </w:r>
      <w:r w:rsidRPr="00AF5540">
        <w:rPr>
          <w:sz w:val="20"/>
          <w:szCs w:val="20"/>
        </w:rPr>
        <w:t xml:space="preserve"> Signifikanzn</w:t>
      </w:r>
      <w:r w:rsidRPr="00AF5540">
        <w:rPr>
          <w:sz w:val="20"/>
          <w:szCs w:val="20"/>
        </w:rPr>
        <w:t>i</w:t>
      </w:r>
      <w:r w:rsidRPr="00AF5540">
        <w:rPr>
          <w:sz w:val="20"/>
          <w:szCs w:val="20"/>
        </w:rPr>
        <w:t xml:space="preserve">veaus zum Feststellen tatsächlich statistisch relevanter Unterschiede genutzt (vgl. SAMHSA 2014, S. 107). </w:t>
      </w:r>
    </w:p>
  </w:footnote>
  <w:footnote w:id="18">
    <w:p w14:paraId="2B97819F" w14:textId="12490339" w:rsidR="00617CD2" w:rsidRPr="006C22C3" w:rsidRDefault="00617CD2" w:rsidP="00236F19">
      <w:pPr>
        <w:pStyle w:val="KeinLeerraum"/>
        <w:ind w:left="284" w:hanging="284"/>
        <w:jc w:val="both"/>
        <w:rPr>
          <w:sz w:val="20"/>
          <w:szCs w:val="20"/>
        </w:rPr>
      </w:pPr>
      <w:r w:rsidRPr="006C22C3">
        <w:rPr>
          <w:rStyle w:val="Funotenzeichen"/>
          <w:sz w:val="20"/>
          <w:szCs w:val="20"/>
        </w:rPr>
        <w:footnoteRef/>
      </w:r>
      <w:r w:rsidRPr="006C22C3">
        <w:rPr>
          <w:sz w:val="20"/>
          <w:szCs w:val="20"/>
        </w:rPr>
        <w:t xml:space="preserve"> </w:t>
      </w:r>
      <w:r>
        <w:rPr>
          <w:sz w:val="20"/>
          <w:szCs w:val="20"/>
        </w:rPr>
        <w:tab/>
      </w:r>
      <w:r w:rsidRPr="006C22C3">
        <w:rPr>
          <w:sz w:val="20"/>
          <w:szCs w:val="20"/>
        </w:rPr>
        <w:t>Der Bericht für Colorado „A Report Pursuant to Senate Bill 13-283“ wurde durch das Departmen</w:t>
      </w:r>
      <w:r w:rsidRPr="006C22C3">
        <w:rPr>
          <w:rFonts w:cs="Times"/>
          <w:sz w:val="20"/>
          <w:szCs w:val="20"/>
        </w:rPr>
        <w:t>t of Public Safety erstellt, eine staatliche Institution</w:t>
      </w:r>
      <w:r>
        <w:rPr>
          <w:rFonts w:cs="Times"/>
          <w:sz w:val="20"/>
          <w:szCs w:val="20"/>
        </w:rPr>
        <w:t xml:space="preserve"> mit verschiedenen Aufgaben</w:t>
      </w:r>
      <w:r w:rsidRPr="006C22C3">
        <w:rPr>
          <w:rFonts w:cs="Times"/>
          <w:sz w:val="20"/>
          <w:szCs w:val="20"/>
        </w:rPr>
        <w:t>, für die eine gewisse U</w:t>
      </w:r>
      <w:r w:rsidRPr="006C22C3">
        <w:rPr>
          <w:rFonts w:cs="Times"/>
          <w:sz w:val="20"/>
          <w:szCs w:val="20"/>
        </w:rPr>
        <w:t>n</w:t>
      </w:r>
      <w:r w:rsidRPr="006C22C3">
        <w:rPr>
          <w:rFonts w:cs="Times"/>
          <w:sz w:val="20"/>
          <w:szCs w:val="20"/>
        </w:rPr>
        <w:t>abhängigkeit in Bezug auf die zu berichtenden Sachverhalte angenommen werden kann.</w:t>
      </w:r>
    </w:p>
  </w:footnote>
  <w:footnote w:id="19">
    <w:p w14:paraId="6E548115" w14:textId="3978D8AA" w:rsidR="00617CD2" w:rsidRPr="006C22C3" w:rsidRDefault="00617CD2" w:rsidP="00236F19">
      <w:pPr>
        <w:pStyle w:val="KeinLeerraum"/>
        <w:ind w:left="284" w:hanging="284"/>
        <w:jc w:val="both"/>
        <w:rPr>
          <w:sz w:val="20"/>
          <w:szCs w:val="20"/>
        </w:rPr>
      </w:pPr>
      <w:r w:rsidRPr="006C22C3">
        <w:rPr>
          <w:rStyle w:val="Funotenzeichen"/>
          <w:sz w:val="20"/>
          <w:szCs w:val="20"/>
        </w:rPr>
        <w:footnoteRef/>
      </w:r>
      <w:r w:rsidRPr="006C22C3">
        <w:rPr>
          <w:sz w:val="20"/>
          <w:szCs w:val="20"/>
        </w:rPr>
        <w:t xml:space="preserve"> </w:t>
      </w:r>
      <w:r>
        <w:rPr>
          <w:sz w:val="20"/>
          <w:szCs w:val="20"/>
        </w:rPr>
        <w:tab/>
      </w:r>
      <w:r w:rsidRPr="006C22C3">
        <w:rPr>
          <w:sz w:val="20"/>
          <w:szCs w:val="20"/>
        </w:rPr>
        <w:t xml:space="preserve">Der Washingtoner Impact Report wurde durch Mitarbeiter der </w:t>
      </w:r>
      <w:r w:rsidRPr="006C22C3">
        <w:rPr>
          <w:rFonts w:cs="Times"/>
          <w:bCs/>
          <w:sz w:val="20"/>
          <w:szCs w:val="20"/>
        </w:rPr>
        <w:t>Northwest High Intensity Drug Tra</w:t>
      </w:r>
      <w:r>
        <w:rPr>
          <w:rFonts w:cs="Times"/>
          <w:bCs/>
          <w:sz w:val="20"/>
          <w:szCs w:val="20"/>
        </w:rPr>
        <w:t>f</w:t>
      </w:r>
      <w:r w:rsidRPr="006C22C3">
        <w:rPr>
          <w:rFonts w:cs="Times"/>
          <w:bCs/>
          <w:sz w:val="20"/>
          <w:szCs w:val="20"/>
        </w:rPr>
        <w:t>f</w:t>
      </w:r>
      <w:r w:rsidRPr="006C22C3">
        <w:rPr>
          <w:rFonts w:cs="Times"/>
          <w:bCs/>
          <w:sz w:val="20"/>
          <w:szCs w:val="20"/>
        </w:rPr>
        <w:t>i</w:t>
      </w:r>
      <w:r w:rsidRPr="006C22C3">
        <w:rPr>
          <w:rFonts w:cs="Times"/>
          <w:bCs/>
          <w:sz w:val="20"/>
          <w:szCs w:val="20"/>
        </w:rPr>
        <w:t xml:space="preserve">cking Area erstellt. Diese Arbeitsgruppe gehört zu einem Netzwerk, das von der U.S. Administration im Zuge der Intensivierung der Strafverfolgung mit dem Anti-Drug-Abuse-Act 1988 gegründet wurde. Die bis heute existierenden 28 Netzwerkgruppen werden durch das </w:t>
      </w:r>
      <w:r w:rsidRPr="006C22C3">
        <w:rPr>
          <w:rFonts w:cs="Verdana"/>
          <w:sz w:val="20"/>
          <w:szCs w:val="20"/>
        </w:rPr>
        <w:t>Office of National Drug Control Policy (ONDCP) für die Arbeit in Regionen finanziert, in denen Anbau, Handeln, Besitz und Konsum von Dr</w:t>
      </w:r>
      <w:r w:rsidRPr="006C22C3">
        <w:rPr>
          <w:rFonts w:cs="Verdana"/>
          <w:sz w:val="20"/>
          <w:szCs w:val="20"/>
        </w:rPr>
        <w:t>o</w:t>
      </w:r>
      <w:r w:rsidRPr="006C22C3">
        <w:rPr>
          <w:rFonts w:cs="Verdana"/>
          <w:sz w:val="20"/>
          <w:szCs w:val="20"/>
        </w:rPr>
        <w:t>gen eine außergewöhnliche Rolle spielen. Damit sind sowohl die finanziellen Absicherungen als auch das Selbstverständnis dieser Gruppen wesentlich davon abhängig, dass in den ansässigen Regionen Drogenprobleme auch weiterhin ein besonderes Ausmaß haben und mit dramatischen sozialen En</w:t>
      </w:r>
      <w:r w:rsidRPr="006C22C3">
        <w:rPr>
          <w:rFonts w:cs="Verdana"/>
          <w:sz w:val="20"/>
          <w:szCs w:val="20"/>
        </w:rPr>
        <w:t>t</w:t>
      </w:r>
      <w:r w:rsidRPr="006C22C3">
        <w:rPr>
          <w:rFonts w:cs="Verdana"/>
          <w:sz w:val="20"/>
          <w:szCs w:val="20"/>
        </w:rPr>
        <w:t>wicklungen einhergehen.</w:t>
      </w:r>
      <w:r w:rsidRPr="006C22C3">
        <w:rPr>
          <w:rFonts w:ascii="Verdana" w:hAnsi="Verdana" w:cs="Verdana"/>
          <w:sz w:val="20"/>
          <w:szCs w:val="20"/>
        </w:rPr>
        <w:t xml:space="preserve"> </w:t>
      </w:r>
    </w:p>
  </w:footnote>
  <w:footnote w:id="20">
    <w:p w14:paraId="363691CA" w14:textId="3C598347" w:rsidR="00617CD2" w:rsidRPr="009D7629" w:rsidRDefault="00617CD2" w:rsidP="009D7629">
      <w:pPr>
        <w:pStyle w:val="Funotentext"/>
        <w:ind w:left="284" w:hanging="284"/>
        <w:jc w:val="both"/>
        <w:rPr>
          <w:sz w:val="20"/>
          <w:szCs w:val="20"/>
        </w:rPr>
      </w:pPr>
      <w:r>
        <w:rPr>
          <w:rStyle w:val="Funotenzeichen"/>
        </w:rPr>
        <w:footnoteRef/>
      </w:r>
      <w:r>
        <w:t xml:space="preserve"> </w:t>
      </w:r>
      <w:r>
        <w:tab/>
      </w:r>
      <w:r w:rsidRPr="00F40120">
        <w:rPr>
          <w:sz w:val="20"/>
          <w:szCs w:val="20"/>
        </w:rPr>
        <w:t>Der Ausgangspunkt für entsprechende Analysen ist deshalb hier das Jahr 2013. Dies ist insofern herz</w:t>
      </w:r>
      <w:r w:rsidRPr="00F40120">
        <w:rPr>
          <w:sz w:val="20"/>
          <w:szCs w:val="20"/>
        </w:rPr>
        <w:t>u</w:t>
      </w:r>
      <w:r w:rsidRPr="00F40120">
        <w:rPr>
          <w:sz w:val="20"/>
          <w:szCs w:val="20"/>
        </w:rPr>
        <w:t>stellen, weil einige Berichte d</w:t>
      </w:r>
      <w:r>
        <w:rPr>
          <w:sz w:val="20"/>
          <w:szCs w:val="20"/>
        </w:rPr>
        <w:t>as Jahr 2012 zur Grundlage ihres</w:t>
      </w:r>
      <w:r w:rsidRPr="00F40120">
        <w:rPr>
          <w:sz w:val="20"/>
          <w:szCs w:val="20"/>
        </w:rPr>
        <w:t xml:space="preserve"> </w:t>
      </w:r>
      <w:r>
        <w:rPr>
          <w:sz w:val="20"/>
          <w:szCs w:val="20"/>
        </w:rPr>
        <w:t xml:space="preserve">Prä-Post-Vergleichs </w:t>
      </w:r>
      <w:r w:rsidRPr="00F40120">
        <w:rPr>
          <w:sz w:val="20"/>
          <w:szCs w:val="20"/>
        </w:rPr>
        <w:t>machen. Angesichts der Tatsache, dass die Abstimmungen zur Regulierung in Washington und Colorado am 06. November 2012 stattfanden, ist eine solche Datenwahl jedoch nicht sachgerecht.</w:t>
      </w:r>
      <w:r w:rsidRPr="009D7629">
        <w:rPr>
          <w:sz w:val="20"/>
          <w:szCs w:val="20"/>
        </w:rPr>
        <w:t xml:space="preserve">  </w:t>
      </w:r>
    </w:p>
  </w:footnote>
  <w:footnote w:id="21">
    <w:p w14:paraId="699BBC2F" w14:textId="5611C8F0" w:rsidR="00617CD2" w:rsidRDefault="00617CD2" w:rsidP="009D7629">
      <w:pPr>
        <w:pStyle w:val="Funotentext"/>
        <w:ind w:left="284" w:hanging="284"/>
        <w:jc w:val="both"/>
      </w:pPr>
      <w:r w:rsidRPr="009D7629">
        <w:rPr>
          <w:rStyle w:val="Funotenzeichen"/>
          <w:sz w:val="20"/>
          <w:szCs w:val="20"/>
        </w:rPr>
        <w:footnoteRef/>
      </w:r>
      <w:r w:rsidRPr="009D7629">
        <w:rPr>
          <w:sz w:val="20"/>
          <w:szCs w:val="20"/>
        </w:rPr>
        <w:t xml:space="preserve"> </w:t>
      </w:r>
      <w:r w:rsidRPr="009D7629">
        <w:rPr>
          <w:sz w:val="20"/>
          <w:szCs w:val="20"/>
        </w:rPr>
        <w:tab/>
      </w:r>
      <w:r>
        <w:rPr>
          <w:rFonts w:cs="Helvetica"/>
          <w:sz w:val="20"/>
          <w:szCs w:val="20"/>
        </w:rPr>
        <w:t xml:space="preserve">Diese </w:t>
      </w:r>
      <w:r w:rsidRPr="009D7629">
        <w:rPr>
          <w:rFonts w:cs="Helvetica"/>
          <w:sz w:val="20"/>
          <w:szCs w:val="20"/>
        </w:rPr>
        <w:t>landesweit agierende Behörde gehört zum U.S. Department of Health and Human Services (DHHS)</w:t>
      </w:r>
    </w:p>
  </w:footnote>
  <w:footnote w:id="22">
    <w:p w14:paraId="253C998D" w14:textId="6B0C1F84" w:rsidR="00617CD2" w:rsidRDefault="00617CD2" w:rsidP="006362F1">
      <w:pPr>
        <w:pStyle w:val="Funotentext"/>
        <w:ind w:left="284" w:hanging="284"/>
      </w:pPr>
      <w:r>
        <w:rPr>
          <w:rStyle w:val="Funotenzeichen"/>
        </w:rPr>
        <w:footnoteRef/>
      </w:r>
      <w:r>
        <w:t xml:space="preserve"> </w:t>
      </w:r>
      <w:r w:rsidRPr="00AF2B51">
        <w:rPr>
          <w:sz w:val="20"/>
          <w:szCs w:val="20"/>
        </w:rPr>
        <w:t>In den USA ist von den möglichen Cannabis-Verarbeitungsarten Marihuana, das in der Regel im eigenen Land angebaut</w:t>
      </w:r>
      <w:r>
        <w:rPr>
          <w:sz w:val="20"/>
          <w:szCs w:val="20"/>
        </w:rPr>
        <w:t xml:space="preserve"> wird</w:t>
      </w:r>
      <w:r w:rsidRPr="00AF2B51">
        <w:rPr>
          <w:sz w:val="20"/>
          <w:szCs w:val="20"/>
        </w:rPr>
        <w:t xml:space="preserve">, am weitesten verbreitet; Haschisch und Haschischöle spielen demgegenüber eine eher </w:t>
      </w:r>
      <w:r>
        <w:rPr>
          <w:sz w:val="20"/>
          <w:szCs w:val="20"/>
        </w:rPr>
        <w:t>nachgeordnete</w:t>
      </w:r>
      <w:r w:rsidRPr="00AF2B51">
        <w:rPr>
          <w:sz w:val="20"/>
          <w:szCs w:val="20"/>
        </w:rPr>
        <w:t xml:space="preserve"> Rolle.</w:t>
      </w:r>
      <w:r>
        <w:t xml:space="preserve"> </w:t>
      </w:r>
    </w:p>
  </w:footnote>
  <w:footnote w:id="23">
    <w:p w14:paraId="7A88479C" w14:textId="25971C15" w:rsidR="00617CD2" w:rsidRPr="009D7629" w:rsidRDefault="00617CD2" w:rsidP="009D7629">
      <w:pPr>
        <w:pStyle w:val="Funotentext"/>
        <w:ind w:left="284" w:hanging="284"/>
        <w:jc w:val="both"/>
        <w:rPr>
          <w:sz w:val="20"/>
          <w:szCs w:val="20"/>
        </w:rPr>
      </w:pPr>
      <w:r>
        <w:rPr>
          <w:rStyle w:val="Funotenzeichen"/>
        </w:rPr>
        <w:footnoteRef/>
      </w:r>
      <w:r>
        <w:t xml:space="preserve"> </w:t>
      </w:r>
      <w:r>
        <w:tab/>
      </w:r>
      <w:r w:rsidRPr="009D7629">
        <w:rPr>
          <w:sz w:val="20"/>
          <w:szCs w:val="20"/>
        </w:rPr>
        <w:t xml:space="preserve">In der epidemiologischen Forschung werden Probanden, die einen Konsum in den letzten 30 Tagen berichten, als </w:t>
      </w:r>
      <w:r>
        <w:rPr>
          <w:sz w:val="20"/>
          <w:szCs w:val="20"/>
        </w:rPr>
        <w:t>„</w:t>
      </w:r>
      <w:r w:rsidRPr="009D7629">
        <w:rPr>
          <w:sz w:val="20"/>
          <w:szCs w:val="20"/>
        </w:rPr>
        <w:t>aktuelle Konsumenten</w:t>
      </w:r>
      <w:r>
        <w:rPr>
          <w:sz w:val="20"/>
          <w:szCs w:val="20"/>
        </w:rPr>
        <w:t>“</w:t>
      </w:r>
      <w:r w:rsidRPr="009D7629">
        <w:rPr>
          <w:sz w:val="20"/>
          <w:szCs w:val="20"/>
        </w:rPr>
        <w:t xml:space="preserve"> </w:t>
      </w:r>
      <w:r>
        <w:rPr>
          <w:sz w:val="20"/>
          <w:szCs w:val="20"/>
        </w:rPr>
        <w:t>eingestuft</w:t>
      </w:r>
      <w:r w:rsidRPr="009D7629">
        <w:rPr>
          <w:sz w:val="20"/>
          <w:szCs w:val="20"/>
        </w:rPr>
        <w:t>.</w:t>
      </w:r>
      <w:r>
        <w:rPr>
          <w:sz w:val="20"/>
          <w:szCs w:val="20"/>
        </w:rPr>
        <w:t xml:space="preserve"> Es stellt sich allerdings die Frage, ob in Zusamme</w:t>
      </w:r>
      <w:r>
        <w:rPr>
          <w:sz w:val="20"/>
          <w:szCs w:val="20"/>
        </w:rPr>
        <w:t>n</w:t>
      </w:r>
      <w:r>
        <w:rPr>
          <w:sz w:val="20"/>
          <w:szCs w:val="20"/>
        </w:rPr>
        <w:t>hang mit der Umsetzung eines Regulierungsprozesses diese Praxis weiter Gültigkeit hat. Insbesondere in Anbetracht der sich abzeichnenden Besonderheit, dass beispielsweise nachholende Konsumerfa</w:t>
      </w:r>
      <w:r>
        <w:rPr>
          <w:sz w:val="20"/>
          <w:szCs w:val="20"/>
        </w:rPr>
        <w:t>h</w:t>
      </w:r>
      <w:r>
        <w:rPr>
          <w:sz w:val="20"/>
          <w:szCs w:val="20"/>
        </w:rPr>
        <w:t xml:space="preserve">rungen in Form von Neugier-Konsum eine sich relativ schnell einstellende Besonderheit ist, sollte die Wertung einer 30-Tage-Prävalenz auch epidemiologisch anders vorgenommen werden. </w:t>
      </w:r>
    </w:p>
  </w:footnote>
  <w:footnote w:id="24">
    <w:p w14:paraId="20B7456E" w14:textId="77777777" w:rsidR="00617CD2" w:rsidRPr="009D7629" w:rsidRDefault="00617CD2" w:rsidP="006362F1">
      <w:pPr>
        <w:pStyle w:val="Funotentext"/>
        <w:ind w:left="284" w:hanging="284"/>
        <w:jc w:val="both"/>
        <w:rPr>
          <w:sz w:val="20"/>
          <w:szCs w:val="20"/>
        </w:rPr>
      </w:pPr>
      <w:r>
        <w:rPr>
          <w:rStyle w:val="Funotenzeichen"/>
        </w:rPr>
        <w:footnoteRef/>
      </w:r>
      <w:r>
        <w:rPr>
          <w:sz w:val="18"/>
          <w:szCs w:val="18"/>
        </w:rPr>
        <w:tab/>
      </w:r>
      <w:r w:rsidRPr="009D7629">
        <w:rPr>
          <w:sz w:val="20"/>
          <w:szCs w:val="20"/>
        </w:rPr>
        <w:t xml:space="preserve">Zu den 17 Staaten mit der niedrigsten Marihuana-Konsumrate (Konsum im letzten Monat) gehören acht im Süden </w:t>
      </w:r>
      <w:r w:rsidRPr="009D7629">
        <w:rPr>
          <w:rFonts w:cs="Lucida Grande"/>
          <w:sz w:val="20"/>
          <w:szCs w:val="20"/>
        </w:rPr>
        <w:t>(davon jeweils zwei in Tennessee und Texas und jeweils einer in Alabama, Louisiana, Oklahoma, und West Virginia), fünf im Mittleren Westen (jeweils zwei in Kansas und North Dakota und einer in Iowa), drei im Westen (alle in Utah) sowie einer im Nordosten (Pennsylvania) der USA (vgl. Hughes, Rachel, Lipari, Williams 2016).</w:t>
      </w:r>
    </w:p>
  </w:footnote>
  <w:footnote w:id="25">
    <w:p w14:paraId="01D17597" w14:textId="6999D73C" w:rsidR="00617CD2" w:rsidRPr="009D7629" w:rsidRDefault="00617CD2" w:rsidP="009D7629">
      <w:pPr>
        <w:pStyle w:val="Funotentext"/>
        <w:ind w:left="284" w:hanging="284"/>
        <w:jc w:val="both"/>
        <w:rPr>
          <w:sz w:val="20"/>
          <w:szCs w:val="20"/>
        </w:rPr>
      </w:pPr>
      <w:r>
        <w:rPr>
          <w:rStyle w:val="Funotenzeichen"/>
        </w:rPr>
        <w:footnoteRef/>
      </w:r>
      <w:r>
        <w:t xml:space="preserve"> </w:t>
      </w:r>
      <w:r>
        <w:tab/>
      </w:r>
      <w:r w:rsidRPr="009D7629">
        <w:rPr>
          <w:sz w:val="20"/>
          <w:szCs w:val="20"/>
        </w:rPr>
        <w:t xml:space="preserve">Dies </w:t>
      </w:r>
      <w:r w:rsidRPr="009D7629">
        <w:rPr>
          <w:rFonts w:cs="Verdana"/>
          <w:sz w:val="20"/>
          <w:szCs w:val="20"/>
        </w:rPr>
        <w:t>bis hin zu Gefängnisstrafen, die, anders als in Deutschland, in den USA auch für Jugendliche relativ schnell ausgesprochen werden.</w:t>
      </w:r>
    </w:p>
  </w:footnote>
  <w:footnote w:id="26">
    <w:p w14:paraId="0EDC34E3" w14:textId="00206087" w:rsidR="00617CD2" w:rsidRPr="009D7629" w:rsidRDefault="00617CD2" w:rsidP="009D7629">
      <w:pPr>
        <w:pStyle w:val="KeinLeerraum"/>
        <w:ind w:left="284" w:hanging="284"/>
        <w:jc w:val="both"/>
        <w:rPr>
          <w:sz w:val="20"/>
          <w:szCs w:val="20"/>
        </w:rPr>
      </w:pPr>
      <w:r w:rsidRPr="009D7629">
        <w:rPr>
          <w:rStyle w:val="Funotenzeichen"/>
          <w:sz w:val="20"/>
          <w:szCs w:val="20"/>
        </w:rPr>
        <w:footnoteRef/>
      </w:r>
      <w:r w:rsidRPr="009D7629">
        <w:rPr>
          <w:sz w:val="20"/>
          <w:szCs w:val="20"/>
        </w:rPr>
        <w:t xml:space="preserve"> </w:t>
      </w:r>
      <w:r w:rsidRPr="009D7629">
        <w:rPr>
          <w:sz w:val="20"/>
          <w:szCs w:val="20"/>
        </w:rPr>
        <w:tab/>
      </w:r>
      <w:r w:rsidRPr="009D7629">
        <w:rPr>
          <w:rFonts w:cs="Times New Roman"/>
          <w:sz w:val="20"/>
          <w:szCs w:val="20"/>
        </w:rPr>
        <w:t>Im Schuljahr 20</w:t>
      </w:r>
      <w:r>
        <w:rPr>
          <w:rFonts w:cs="Times New Roman"/>
          <w:sz w:val="20"/>
          <w:szCs w:val="20"/>
        </w:rPr>
        <w:t>06-2007</w:t>
      </w:r>
      <w:r w:rsidRPr="009D7629">
        <w:rPr>
          <w:rFonts w:cs="Times New Roman"/>
          <w:sz w:val="20"/>
          <w:szCs w:val="20"/>
        </w:rPr>
        <w:t xml:space="preserve"> </w:t>
      </w:r>
      <w:r>
        <w:rPr>
          <w:rFonts w:cs="Times New Roman"/>
          <w:sz w:val="20"/>
          <w:szCs w:val="20"/>
        </w:rPr>
        <w:t>wurden in den USA mehr als 3,3</w:t>
      </w:r>
      <w:r w:rsidRPr="009D7629">
        <w:rPr>
          <w:rFonts w:cs="Times New Roman"/>
          <w:sz w:val="20"/>
          <w:szCs w:val="20"/>
        </w:rPr>
        <w:t xml:space="preserve"> Millionen Schüler öffentlicher Schulen </w:t>
      </w:r>
      <w:r>
        <w:rPr>
          <w:rFonts w:cs="Times New Roman"/>
          <w:sz w:val="20"/>
          <w:szCs w:val="20"/>
        </w:rPr>
        <w:t xml:space="preserve">mit </w:t>
      </w:r>
      <w:r w:rsidRPr="009D7629">
        <w:rPr>
          <w:rFonts w:cs="Times New Roman"/>
          <w:sz w:val="20"/>
          <w:szCs w:val="20"/>
        </w:rPr>
        <w:t>temporäre</w:t>
      </w:r>
      <w:r>
        <w:rPr>
          <w:rFonts w:cs="Times New Roman"/>
          <w:sz w:val="20"/>
          <w:szCs w:val="20"/>
        </w:rPr>
        <w:t>n</w:t>
      </w:r>
      <w:r w:rsidRPr="009D7629">
        <w:rPr>
          <w:rFonts w:cs="Times New Roman"/>
          <w:sz w:val="20"/>
          <w:szCs w:val="20"/>
        </w:rPr>
        <w:t xml:space="preserve"> Verweise</w:t>
      </w:r>
      <w:r>
        <w:rPr>
          <w:rFonts w:cs="Times New Roman"/>
          <w:sz w:val="20"/>
          <w:szCs w:val="20"/>
        </w:rPr>
        <w:t>n</w:t>
      </w:r>
      <w:r w:rsidRPr="009D7629">
        <w:rPr>
          <w:rFonts w:cs="Times New Roman"/>
          <w:sz w:val="20"/>
          <w:szCs w:val="20"/>
        </w:rPr>
        <w:t xml:space="preserve"> </w:t>
      </w:r>
      <w:r>
        <w:rPr>
          <w:rFonts w:cs="Times New Roman"/>
          <w:sz w:val="20"/>
          <w:szCs w:val="20"/>
        </w:rPr>
        <w:t>aus</w:t>
      </w:r>
      <w:r w:rsidRPr="009D7629">
        <w:rPr>
          <w:rFonts w:cs="Times New Roman"/>
          <w:sz w:val="20"/>
          <w:szCs w:val="20"/>
        </w:rPr>
        <w:t xml:space="preserve"> der Schule und </w:t>
      </w:r>
      <w:r>
        <w:rPr>
          <w:rFonts w:cs="Times New Roman"/>
          <w:sz w:val="20"/>
          <w:szCs w:val="20"/>
        </w:rPr>
        <w:t xml:space="preserve">mit </w:t>
      </w:r>
      <w:r w:rsidRPr="009D7629">
        <w:rPr>
          <w:rFonts w:cs="Times New Roman"/>
          <w:sz w:val="20"/>
          <w:szCs w:val="20"/>
        </w:rPr>
        <w:t>Schul</w:t>
      </w:r>
      <w:r>
        <w:rPr>
          <w:rFonts w:cs="Times New Roman"/>
          <w:sz w:val="20"/>
          <w:szCs w:val="20"/>
        </w:rPr>
        <w:t xml:space="preserve">ausschlüssen bestraft </w:t>
      </w:r>
      <w:r w:rsidRPr="003A6D8A">
        <w:rPr>
          <w:rFonts w:cs="Times New Roman"/>
          <w:sz w:val="20"/>
          <w:szCs w:val="20"/>
        </w:rPr>
        <w:t>(</w:t>
      </w:r>
      <w:r>
        <w:rPr>
          <w:rFonts w:cs="Times New Roman"/>
          <w:sz w:val="20"/>
          <w:szCs w:val="20"/>
        </w:rPr>
        <w:t>vgl. Digest of E</w:t>
      </w:r>
      <w:r w:rsidRPr="003A6D8A">
        <w:rPr>
          <w:rFonts w:cs="Times New Roman"/>
          <w:sz w:val="20"/>
          <w:szCs w:val="20"/>
        </w:rPr>
        <w:t>ducation</w:t>
      </w:r>
      <w:r>
        <w:rPr>
          <w:rFonts w:cs="Times New Roman"/>
          <w:sz w:val="20"/>
          <w:szCs w:val="20"/>
        </w:rPr>
        <w:t xml:space="preserve"> 2016</w:t>
      </w:r>
      <w:r w:rsidRPr="003A6D8A">
        <w:rPr>
          <w:rFonts w:cs="Times New Roman"/>
          <w:sz w:val="20"/>
          <w:szCs w:val="20"/>
        </w:rPr>
        <w:t>)</w:t>
      </w:r>
      <w:r>
        <w:rPr>
          <w:rFonts w:cs="Times New Roman"/>
          <w:sz w:val="20"/>
          <w:szCs w:val="20"/>
        </w:rPr>
        <w:t>.</w:t>
      </w:r>
    </w:p>
  </w:footnote>
  <w:footnote w:id="27">
    <w:p w14:paraId="6505BDFB" w14:textId="06154A37" w:rsidR="00617CD2" w:rsidRPr="009D7629" w:rsidRDefault="00617CD2" w:rsidP="009D7629">
      <w:pPr>
        <w:pStyle w:val="Funotentext"/>
        <w:ind w:left="284" w:hanging="284"/>
        <w:jc w:val="both"/>
        <w:rPr>
          <w:sz w:val="20"/>
          <w:szCs w:val="20"/>
        </w:rPr>
      </w:pPr>
      <w:r w:rsidRPr="009D7629">
        <w:rPr>
          <w:rStyle w:val="Funotenzeichen"/>
          <w:sz w:val="20"/>
          <w:szCs w:val="20"/>
        </w:rPr>
        <w:footnoteRef/>
      </w:r>
      <w:r w:rsidRPr="009D7629">
        <w:rPr>
          <w:sz w:val="20"/>
          <w:szCs w:val="20"/>
        </w:rPr>
        <w:t xml:space="preserve"> </w:t>
      </w:r>
      <w:r w:rsidRPr="009D7629">
        <w:rPr>
          <w:sz w:val="20"/>
          <w:szCs w:val="20"/>
        </w:rPr>
        <w:tab/>
      </w:r>
      <w:r w:rsidRPr="009D7629">
        <w:rPr>
          <w:rFonts w:cs="Times New Roman"/>
          <w:sz w:val="20"/>
          <w:szCs w:val="20"/>
        </w:rPr>
        <w:t>Ein Blick auf die Fehlprognosen der Wahlforschung zur Präsidentschaftswahl 2016 in den USA, die derweil unter dem Begriff „Scham-Management“ zusammengefasst werden, unterstreicht, dass di</w:t>
      </w:r>
      <w:r w:rsidRPr="009D7629">
        <w:rPr>
          <w:rFonts w:cs="Times New Roman"/>
          <w:sz w:val="20"/>
          <w:szCs w:val="20"/>
        </w:rPr>
        <w:t>e</w:t>
      </w:r>
      <w:r w:rsidRPr="009D7629">
        <w:rPr>
          <w:rFonts w:cs="Times New Roman"/>
          <w:sz w:val="20"/>
          <w:szCs w:val="20"/>
        </w:rPr>
        <w:t>sen Zusammenhängen in Bevölkerungsbefragungen weit mehr als bisher Aufmerksamkeit zuteil werden muss.</w:t>
      </w:r>
    </w:p>
  </w:footnote>
  <w:footnote w:id="28">
    <w:p w14:paraId="00CB36A1" w14:textId="77777777" w:rsidR="00617CD2" w:rsidRPr="009D7629" w:rsidRDefault="00617CD2" w:rsidP="007C55FB">
      <w:pPr>
        <w:pStyle w:val="Funotentext"/>
        <w:ind w:left="284" w:hanging="284"/>
        <w:jc w:val="both"/>
        <w:rPr>
          <w:sz w:val="20"/>
          <w:szCs w:val="20"/>
        </w:rPr>
      </w:pPr>
      <w:r>
        <w:rPr>
          <w:rStyle w:val="Funotenzeichen"/>
        </w:rPr>
        <w:footnoteRef/>
      </w:r>
      <w:r>
        <w:t xml:space="preserve"> </w:t>
      </w:r>
      <w:r>
        <w:tab/>
      </w:r>
      <w:r w:rsidRPr="009D7629">
        <w:rPr>
          <w:sz w:val="20"/>
          <w:szCs w:val="20"/>
        </w:rPr>
        <w:t>Für die Bundesstaaten Colorado und Washington konnten derartige Befunde nicht separat ausg</w:t>
      </w:r>
      <w:r w:rsidRPr="009D7629">
        <w:rPr>
          <w:sz w:val="20"/>
          <w:szCs w:val="20"/>
        </w:rPr>
        <w:t>e</w:t>
      </w:r>
      <w:r w:rsidRPr="009D7629">
        <w:rPr>
          <w:sz w:val="20"/>
          <w:szCs w:val="20"/>
        </w:rPr>
        <w:t>wiesen werden.</w:t>
      </w:r>
    </w:p>
  </w:footnote>
  <w:footnote w:id="29">
    <w:p w14:paraId="146A141C" w14:textId="77777777" w:rsidR="00617CD2" w:rsidRPr="009D7629" w:rsidRDefault="00617CD2" w:rsidP="007C55FB">
      <w:pPr>
        <w:pStyle w:val="Funotentext"/>
        <w:ind w:left="284" w:hanging="284"/>
        <w:jc w:val="both"/>
        <w:rPr>
          <w:sz w:val="20"/>
          <w:szCs w:val="20"/>
        </w:rPr>
      </w:pPr>
      <w:r w:rsidRPr="009D7629">
        <w:rPr>
          <w:rStyle w:val="Funotenzeichen"/>
          <w:sz w:val="20"/>
          <w:szCs w:val="20"/>
        </w:rPr>
        <w:footnoteRef/>
      </w:r>
      <w:r w:rsidRPr="009D7629">
        <w:rPr>
          <w:sz w:val="20"/>
          <w:szCs w:val="20"/>
        </w:rPr>
        <w:t xml:space="preserve"> </w:t>
      </w:r>
      <w:r w:rsidRPr="009D7629">
        <w:rPr>
          <w:sz w:val="20"/>
          <w:szCs w:val="20"/>
        </w:rPr>
        <w:tab/>
        <w:t>Hier wird ausdrücklich der Begriff „Umgang mit Marihuana“ gewählt, weil in einer Reihe empir</w:t>
      </w:r>
      <w:r w:rsidRPr="009D7629">
        <w:rPr>
          <w:sz w:val="20"/>
          <w:szCs w:val="20"/>
        </w:rPr>
        <w:t>i</w:t>
      </w:r>
      <w:r>
        <w:rPr>
          <w:sz w:val="20"/>
          <w:szCs w:val="20"/>
        </w:rPr>
        <w:t>scher</w:t>
      </w:r>
      <w:r w:rsidRPr="009D7629">
        <w:rPr>
          <w:sz w:val="20"/>
          <w:szCs w:val="20"/>
        </w:rPr>
        <w:t xml:space="preserve"> Belegen nicht exakt zwischen Konsum und anderen Umgangsweisen unterschieden wird: So werden disziplinarische Verstöße in der Schule für sehr viel mehr Handlungen rund um den U</w:t>
      </w:r>
      <w:r w:rsidRPr="009D7629">
        <w:rPr>
          <w:sz w:val="20"/>
          <w:szCs w:val="20"/>
        </w:rPr>
        <w:t>m</w:t>
      </w:r>
      <w:r w:rsidRPr="009D7629">
        <w:rPr>
          <w:sz w:val="20"/>
          <w:szCs w:val="20"/>
        </w:rPr>
        <w:t>gang mit Marihuana ausgesprochen, als ausschließlich für den reinen Konsum (u. a. Anbau, Weite</w:t>
      </w:r>
      <w:r w:rsidRPr="009D7629">
        <w:rPr>
          <w:sz w:val="20"/>
          <w:szCs w:val="20"/>
        </w:rPr>
        <w:t>r</w:t>
      </w:r>
      <w:r w:rsidRPr="009D7629">
        <w:rPr>
          <w:sz w:val="20"/>
          <w:szCs w:val="20"/>
        </w:rPr>
        <w:t xml:space="preserve">gabe von Samen/Pflanzen, Mitführen und Weitergabe nicht nur der Substanz, sondern auch von Konsumutensilien, Dealen). </w:t>
      </w:r>
    </w:p>
  </w:footnote>
  <w:footnote w:id="30">
    <w:p w14:paraId="14446FC1" w14:textId="4A8B8880" w:rsidR="00617CD2" w:rsidRPr="009D7629" w:rsidRDefault="00617CD2" w:rsidP="007C55FB">
      <w:pPr>
        <w:pStyle w:val="Funotentext"/>
        <w:ind w:left="284" w:hanging="284"/>
        <w:jc w:val="both"/>
        <w:rPr>
          <w:sz w:val="20"/>
          <w:szCs w:val="20"/>
        </w:rPr>
      </w:pPr>
      <w:r>
        <w:rPr>
          <w:rStyle w:val="Funotenzeichen"/>
        </w:rPr>
        <w:footnoteRef/>
      </w:r>
      <w:r>
        <w:t xml:space="preserve"> </w:t>
      </w:r>
      <w:r>
        <w:tab/>
      </w:r>
      <w:r w:rsidRPr="009D7629">
        <w:rPr>
          <w:sz w:val="20"/>
          <w:szCs w:val="20"/>
        </w:rPr>
        <w:t>Diese Untersuchung beinhaltet verschiedene Bündel gesundheitsbezogener Fragen, die per Telefon gesammelt werden (u.</w:t>
      </w:r>
      <w:r>
        <w:rPr>
          <w:sz w:val="20"/>
          <w:szCs w:val="20"/>
        </w:rPr>
        <w:t xml:space="preserve"> </w:t>
      </w:r>
      <w:r w:rsidRPr="009D7629">
        <w:rPr>
          <w:sz w:val="20"/>
          <w:szCs w:val="20"/>
        </w:rPr>
        <w:t xml:space="preserve">a. </w:t>
      </w:r>
      <w:r w:rsidRPr="009D7629">
        <w:rPr>
          <w:rFonts w:cs="Calibri"/>
          <w:color w:val="000000"/>
          <w:sz w:val="20"/>
          <w:szCs w:val="20"/>
        </w:rPr>
        <w:t>zu gesundheitlichem Risikoverhalten, zu chronischen Erkrankungen, Pr</w:t>
      </w:r>
      <w:r w:rsidRPr="009D7629">
        <w:rPr>
          <w:rFonts w:cs="Calibri"/>
          <w:color w:val="000000"/>
          <w:sz w:val="20"/>
          <w:szCs w:val="20"/>
        </w:rPr>
        <w:t>ä</w:t>
      </w:r>
      <w:r w:rsidRPr="009D7629">
        <w:rPr>
          <w:rFonts w:cs="Calibri"/>
          <w:color w:val="000000"/>
          <w:sz w:val="20"/>
          <w:szCs w:val="20"/>
        </w:rPr>
        <w:t>ventionsstrategien).</w:t>
      </w:r>
    </w:p>
  </w:footnote>
  <w:footnote w:id="31">
    <w:p w14:paraId="207FF810" w14:textId="327A49B7" w:rsidR="00617CD2" w:rsidRPr="009D7629" w:rsidRDefault="00617CD2" w:rsidP="007C55FB">
      <w:pPr>
        <w:pStyle w:val="Funotentext"/>
        <w:ind w:left="284" w:hanging="284"/>
        <w:jc w:val="both"/>
        <w:rPr>
          <w:sz w:val="20"/>
          <w:szCs w:val="20"/>
        </w:rPr>
      </w:pPr>
      <w:r w:rsidRPr="009D7629">
        <w:rPr>
          <w:rStyle w:val="Funotenzeichen"/>
          <w:sz w:val="20"/>
          <w:szCs w:val="20"/>
        </w:rPr>
        <w:footnoteRef/>
      </w:r>
      <w:r w:rsidRPr="009D7629">
        <w:rPr>
          <w:sz w:val="20"/>
          <w:szCs w:val="20"/>
        </w:rPr>
        <w:t xml:space="preserve"> </w:t>
      </w:r>
      <w:r w:rsidRPr="009D7629">
        <w:rPr>
          <w:sz w:val="20"/>
          <w:szCs w:val="20"/>
        </w:rPr>
        <w:tab/>
        <w:t xml:space="preserve">Der </w:t>
      </w:r>
      <w:r w:rsidRPr="009D7629">
        <w:rPr>
          <w:rFonts w:cs="Calibri"/>
          <w:sz w:val="20"/>
          <w:szCs w:val="20"/>
        </w:rPr>
        <w:t>Child Health Survey ist Teil der BRFSS-</w:t>
      </w:r>
      <w:r>
        <w:rPr>
          <w:rFonts w:cs="Calibri"/>
          <w:sz w:val="20"/>
          <w:szCs w:val="20"/>
        </w:rPr>
        <w:t>Studie</w:t>
      </w:r>
      <w:r w:rsidRPr="009D7629">
        <w:rPr>
          <w:rFonts w:cs="Calibri"/>
          <w:sz w:val="20"/>
          <w:szCs w:val="20"/>
        </w:rPr>
        <w:t>. Darin werden Eltern zu verschiedenen Verha</w:t>
      </w:r>
      <w:r w:rsidRPr="009D7629">
        <w:rPr>
          <w:rFonts w:cs="Calibri"/>
          <w:sz w:val="20"/>
          <w:szCs w:val="20"/>
        </w:rPr>
        <w:t>l</w:t>
      </w:r>
      <w:r w:rsidRPr="009D7629">
        <w:rPr>
          <w:rFonts w:cs="Calibri"/>
          <w:sz w:val="20"/>
          <w:szCs w:val="20"/>
        </w:rPr>
        <w:t>tensweisen gefragt, u. a. zu ihrem Marihuana-Konsum und dem Umgang mit Marihuana in ihrem Haushalt (Anzucht, Aufbewahrung, Konsum). Allerdings sind Fragen zu Marihuana der Unters</w:t>
      </w:r>
      <w:r w:rsidRPr="009D7629">
        <w:rPr>
          <w:rFonts w:cs="Calibri"/>
          <w:sz w:val="20"/>
          <w:szCs w:val="20"/>
        </w:rPr>
        <w:t>u</w:t>
      </w:r>
      <w:r w:rsidRPr="009D7629">
        <w:rPr>
          <w:rFonts w:cs="Calibri"/>
          <w:sz w:val="20"/>
          <w:szCs w:val="20"/>
        </w:rPr>
        <w:t xml:space="preserve">chung erst 2014 hinzugefügt worden (vgl. </w:t>
      </w:r>
      <w:r>
        <w:rPr>
          <w:rFonts w:cs="Calibri"/>
          <w:sz w:val="20"/>
          <w:szCs w:val="20"/>
        </w:rPr>
        <w:t>Reed, a. a. O.,</w:t>
      </w:r>
      <w:r w:rsidRPr="009D7629">
        <w:rPr>
          <w:rFonts w:cs="Calibri"/>
          <w:sz w:val="20"/>
          <w:szCs w:val="20"/>
        </w:rPr>
        <w:t xml:space="preserve"> 2016, S. 53). </w:t>
      </w:r>
    </w:p>
  </w:footnote>
  <w:footnote w:id="32">
    <w:p w14:paraId="685C3316" w14:textId="410F7D5F" w:rsidR="00617CD2" w:rsidRPr="009D7629" w:rsidRDefault="00617CD2" w:rsidP="007C55FB">
      <w:pPr>
        <w:pStyle w:val="Funotentext"/>
        <w:ind w:left="284" w:hanging="284"/>
        <w:jc w:val="both"/>
        <w:rPr>
          <w:sz w:val="20"/>
          <w:szCs w:val="20"/>
        </w:rPr>
      </w:pPr>
      <w:r w:rsidRPr="009D7629">
        <w:rPr>
          <w:rStyle w:val="Funotenzeichen"/>
          <w:sz w:val="20"/>
          <w:szCs w:val="20"/>
        </w:rPr>
        <w:footnoteRef/>
      </w:r>
      <w:r w:rsidRPr="009D7629">
        <w:rPr>
          <w:sz w:val="20"/>
          <w:szCs w:val="20"/>
        </w:rPr>
        <w:t xml:space="preserve"> </w:t>
      </w:r>
      <w:r w:rsidRPr="009D7629">
        <w:rPr>
          <w:sz w:val="20"/>
          <w:szCs w:val="20"/>
        </w:rPr>
        <w:tab/>
        <w:t>Dies ist ebenfalls Teil der BRFSS-</w:t>
      </w:r>
      <w:r>
        <w:rPr>
          <w:sz w:val="20"/>
          <w:szCs w:val="20"/>
        </w:rPr>
        <w:t>Studie</w:t>
      </w:r>
      <w:r w:rsidRPr="009D7629">
        <w:rPr>
          <w:sz w:val="20"/>
          <w:szCs w:val="20"/>
        </w:rPr>
        <w:t xml:space="preserve"> und wird vom Hilfesystem erhoben. Gezählt werden alle Kinder von Personen, die im Hilfesystem wegen Drogenproblemen um Unterstützung nachfragen.</w:t>
      </w:r>
    </w:p>
  </w:footnote>
  <w:footnote w:id="33">
    <w:p w14:paraId="01C0DF53" w14:textId="1A9D58A7" w:rsidR="00617CD2" w:rsidRDefault="00617CD2" w:rsidP="00914CC5">
      <w:pPr>
        <w:pStyle w:val="Funotentext"/>
        <w:ind w:left="284" w:hanging="284"/>
      </w:pPr>
      <w:r>
        <w:rPr>
          <w:rStyle w:val="Funotenzeichen"/>
        </w:rPr>
        <w:footnoteRef/>
      </w:r>
      <w:r>
        <w:t xml:space="preserve"> </w:t>
      </w:r>
      <w:r>
        <w:tab/>
      </w:r>
      <w:r w:rsidRPr="00914CC5">
        <w:rPr>
          <w:sz w:val="20"/>
          <w:szCs w:val="20"/>
        </w:rPr>
        <w:t>Hier</w:t>
      </w:r>
      <w:r>
        <w:rPr>
          <w:sz w:val="20"/>
          <w:szCs w:val="20"/>
        </w:rPr>
        <w:t>zu stellt sich wieder</w:t>
      </w:r>
      <w:r w:rsidRPr="00914CC5">
        <w:rPr>
          <w:sz w:val="20"/>
          <w:szCs w:val="20"/>
        </w:rPr>
        <w:t>um die Frage, wie im Zuge des Übergang</w:t>
      </w:r>
      <w:r>
        <w:rPr>
          <w:sz w:val="20"/>
          <w:szCs w:val="20"/>
        </w:rPr>
        <w:t>szeitraums im Rahmen eines R</w:t>
      </w:r>
      <w:r w:rsidRPr="00914CC5">
        <w:rPr>
          <w:sz w:val="20"/>
          <w:szCs w:val="20"/>
        </w:rPr>
        <w:t>ad</w:t>
      </w:r>
      <w:r w:rsidRPr="00914CC5">
        <w:rPr>
          <w:sz w:val="20"/>
          <w:szCs w:val="20"/>
        </w:rPr>
        <w:t>i</w:t>
      </w:r>
      <w:r>
        <w:rPr>
          <w:sz w:val="20"/>
          <w:szCs w:val="20"/>
        </w:rPr>
        <w:t>cal P</w:t>
      </w:r>
      <w:r w:rsidRPr="00914CC5">
        <w:rPr>
          <w:sz w:val="20"/>
          <w:szCs w:val="20"/>
        </w:rPr>
        <w:t>olitical Shifts  solche Konsummuster epidemiologisch zu werten sind, ob sie also weiterhin als aktueller regelmäßiger Konsum gelten können?</w:t>
      </w:r>
    </w:p>
  </w:footnote>
  <w:footnote w:id="34">
    <w:p w14:paraId="43F700A3" w14:textId="77777777" w:rsidR="00617CD2" w:rsidRPr="00D67419" w:rsidRDefault="00617CD2" w:rsidP="00914CC5">
      <w:pPr>
        <w:pStyle w:val="Funotentext"/>
        <w:ind w:left="284" w:hanging="284"/>
        <w:rPr>
          <w:sz w:val="20"/>
          <w:szCs w:val="20"/>
        </w:rPr>
      </w:pPr>
      <w:r w:rsidRPr="00D67419">
        <w:rPr>
          <w:rStyle w:val="Funotenzeichen"/>
          <w:sz w:val="20"/>
          <w:szCs w:val="20"/>
        </w:rPr>
        <w:footnoteRef/>
      </w:r>
      <w:r w:rsidRPr="00D67419">
        <w:rPr>
          <w:sz w:val="20"/>
          <w:szCs w:val="20"/>
        </w:rPr>
        <w:t xml:space="preserve"> </w:t>
      </w:r>
      <w:r w:rsidRPr="00D67419">
        <w:rPr>
          <w:sz w:val="20"/>
          <w:szCs w:val="20"/>
        </w:rPr>
        <w:tab/>
        <w:t>Für den</w:t>
      </w:r>
      <w:r w:rsidRPr="00D67419">
        <w:rPr>
          <w:sz w:val="18"/>
          <w:szCs w:val="18"/>
        </w:rPr>
        <w:t xml:space="preserve"> </w:t>
      </w:r>
      <w:r w:rsidRPr="00D67419">
        <w:rPr>
          <w:sz w:val="20"/>
          <w:szCs w:val="20"/>
        </w:rPr>
        <w:t>Survey im Jahr 2015 konnten diese Daten nicht ermittelt werden.</w:t>
      </w:r>
    </w:p>
  </w:footnote>
  <w:footnote w:id="35">
    <w:p w14:paraId="798E8196" w14:textId="3FE723BF" w:rsidR="00617CD2" w:rsidRPr="00097F6D" w:rsidRDefault="00617CD2" w:rsidP="00B82627">
      <w:pPr>
        <w:pStyle w:val="Funotentext"/>
        <w:ind w:left="284" w:hanging="284"/>
        <w:rPr>
          <w:sz w:val="20"/>
          <w:szCs w:val="20"/>
        </w:rPr>
      </w:pPr>
      <w:r>
        <w:rPr>
          <w:rStyle w:val="Funotenzeichen"/>
        </w:rPr>
        <w:footnoteRef/>
      </w:r>
      <w:r>
        <w:t xml:space="preserve"> </w:t>
      </w:r>
      <w:r>
        <w:tab/>
      </w:r>
      <w:r w:rsidRPr="00097F6D">
        <w:rPr>
          <w:sz w:val="20"/>
          <w:szCs w:val="20"/>
        </w:rPr>
        <w:t>Dieses Gesetz umfasst diverse Detailregelungen, die die Art und Weise der Umsetzung der ang</w:t>
      </w:r>
      <w:r w:rsidRPr="00097F6D">
        <w:rPr>
          <w:sz w:val="20"/>
          <w:szCs w:val="20"/>
        </w:rPr>
        <w:t>e</w:t>
      </w:r>
      <w:r w:rsidRPr="00097F6D">
        <w:rPr>
          <w:sz w:val="20"/>
          <w:szCs w:val="20"/>
        </w:rPr>
        <w:t xml:space="preserve">strebten </w:t>
      </w:r>
      <w:r>
        <w:rPr>
          <w:sz w:val="20"/>
          <w:szCs w:val="20"/>
        </w:rPr>
        <w:t>Regulierungsprozesse</w:t>
      </w:r>
      <w:r w:rsidRPr="00097F6D">
        <w:rPr>
          <w:sz w:val="20"/>
          <w:szCs w:val="20"/>
        </w:rPr>
        <w:t xml:space="preserve"> </w:t>
      </w:r>
      <w:r>
        <w:rPr>
          <w:sz w:val="20"/>
          <w:szCs w:val="20"/>
        </w:rPr>
        <w:t>zum Freizeitkonsum</w:t>
      </w:r>
      <w:r w:rsidRPr="00097F6D">
        <w:rPr>
          <w:sz w:val="20"/>
          <w:szCs w:val="20"/>
        </w:rPr>
        <w:t xml:space="preserve"> von Marihuana festlegen. Dazu gehört u. a. auch, worüber durch Datensammlung und Auswertun</w:t>
      </w:r>
      <w:r>
        <w:rPr>
          <w:sz w:val="20"/>
          <w:szCs w:val="20"/>
        </w:rPr>
        <w:t xml:space="preserve">g die Effekte der Neuregelungen </w:t>
      </w:r>
      <w:r w:rsidRPr="00097F6D">
        <w:rPr>
          <w:sz w:val="20"/>
          <w:szCs w:val="20"/>
        </w:rPr>
        <w:t>abgebildet werden sollen.</w:t>
      </w:r>
    </w:p>
  </w:footnote>
  <w:footnote w:id="36">
    <w:p w14:paraId="50BF4F3F" w14:textId="77777777" w:rsidR="00617CD2" w:rsidRDefault="00617CD2" w:rsidP="007C55FB">
      <w:pPr>
        <w:pStyle w:val="Funotentext"/>
        <w:ind w:left="284" w:hanging="284"/>
        <w:jc w:val="both"/>
      </w:pPr>
      <w:r w:rsidRPr="00097F6D">
        <w:rPr>
          <w:rStyle w:val="Funotenzeichen"/>
          <w:sz w:val="20"/>
          <w:szCs w:val="20"/>
        </w:rPr>
        <w:footnoteRef/>
      </w:r>
      <w:r w:rsidRPr="00097F6D">
        <w:rPr>
          <w:sz w:val="20"/>
          <w:szCs w:val="20"/>
        </w:rPr>
        <w:t xml:space="preserve"> </w:t>
      </w:r>
      <w:r>
        <w:rPr>
          <w:sz w:val="20"/>
          <w:szCs w:val="20"/>
        </w:rPr>
        <w:tab/>
      </w:r>
      <w:r w:rsidRPr="00097F6D">
        <w:rPr>
          <w:sz w:val="20"/>
          <w:szCs w:val="20"/>
        </w:rPr>
        <w:t>Dieses Datensystem hat insofern eine gewisse Ähnlichkeit mit EBIS oder Moonlight, das in Deutsc</w:t>
      </w:r>
      <w:r w:rsidRPr="00097F6D">
        <w:rPr>
          <w:sz w:val="20"/>
          <w:szCs w:val="20"/>
        </w:rPr>
        <w:t>h</w:t>
      </w:r>
      <w:r w:rsidRPr="00097F6D">
        <w:rPr>
          <w:sz w:val="20"/>
          <w:szCs w:val="20"/>
        </w:rPr>
        <w:t>land genutzt wird, um Daten aus unterschiedlichen Einrichtungen schließlich zu vergleichbaren D</w:t>
      </w:r>
      <w:r w:rsidRPr="00097F6D">
        <w:rPr>
          <w:sz w:val="20"/>
          <w:szCs w:val="20"/>
        </w:rPr>
        <w:t>a</w:t>
      </w:r>
      <w:r w:rsidRPr="00097F6D">
        <w:rPr>
          <w:sz w:val="20"/>
          <w:szCs w:val="20"/>
        </w:rPr>
        <w:t>tensätzen zusammenzutragen.</w:t>
      </w:r>
    </w:p>
  </w:footnote>
  <w:footnote w:id="37">
    <w:p w14:paraId="3ED6AF21" w14:textId="61019B92" w:rsidR="00617CD2" w:rsidRPr="00516CFB" w:rsidRDefault="00617CD2" w:rsidP="007C55FB">
      <w:pPr>
        <w:pStyle w:val="KeinLeerraum"/>
        <w:ind w:left="284" w:hanging="284"/>
        <w:rPr>
          <w:sz w:val="20"/>
          <w:szCs w:val="20"/>
        </w:rPr>
      </w:pPr>
      <w:r>
        <w:rPr>
          <w:rStyle w:val="Funotenzeichen"/>
        </w:rPr>
        <w:footnoteRef/>
      </w:r>
      <w:r>
        <w:t xml:space="preserve"> </w:t>
      </w:r>
      <w:r>
        <w:tab/>
      </w:r>
      <w:r w:rsidRPr="00516CFB">
        <w:rPr>
          <w:sz w:val="20"/>
          <w:szCs w:val="20"/>
        </w:rPr>
        <w:t>Für diese Studie werden Schüler der sechsten, achten, zehnten und zwölften Klasse für eine repr</w:t>
      </w:r>
      <w:r w:rsidRPr="00516CFB">
        <w:rPr>
          <w:sz w:val="20"/>
          <w:szCs w:val="20"/>
        </w:rPr>
        <w:t>ä</w:t>
      </w:r>
      <w:r w:rsidRPr="00516CFB">
        <w:rPr>
          <w:sz w:val="20"/>
          <w:szCs w:val="20"/>
        </w:rPr>
        <w:t xml:space="preserve">sentative Stichprobe aus </w:t>
      </w:r>
      <w:r>
        <w:rPr>
          <w:sz w:val="20"/>
          <w:szCs w:val="20"/>
        </w:rPr>
        <w:t>einzelnen</w:t>
      </w:r>
      <w:r w:rsidRPr="00516CFB">
        <w:rPr>
          <w:sz w:val="20"/>
          <w:szCs w:val="20"/>
        </w:rPr>
        <w:t xml:space="preserve"> Schulen ausgewählt und zu einer Teilnahme an einer Befragung aufgefordert, die in einem selbstgewählten Setting über das Internet vorgenommen werden kann (vgl. verfügbare Fragebogen unter http://www.doh.wa.gov/DataandStatisticalReports/DataSystems/HealthyYouthSurvey). </w:t>
      </w:r>
    </w:p>
  </w:footnote>
  <w:footnote w:id="38">
    <w:p w14:paraId="78F4ED8A" w14:textId="5B63F19A" w:rsidR="00617CD2" w:rsidRPr="00516CFB" w:rsidRDefault="00617CD2" w:rsidP="007C55FB">
      <w:pPr>
        <w:pStyle w:val="KeinLeerraum"/>
        <w:ind w:left="284" w:hanging="284"/>
        <w:jc w:val="both"/>
        <w:rPr>
          <w:sz w:val="20"/>
          <w:szCs w:val="20"/>
        </w:rPr>
      </w:pPr>
      <w:r w:rsidRPr="00516CFB">
        <w:rPr>
          <w:rStyle w:val="Funotenzeichen"/>
          <w:sz w:val="20"/>
          <w:szCs w:val="20"/>
        </w:rPr>
        <w:footnoteRef/>
      </w:r>
      <w:r w:rsidRPr="00516CFB">
        <w:rPr>
          <w:sz w:val="20"/>
          <w:szCs w:val="20"/>
        </w:rPr>
        <w:t xml:space="preserve"> </w:t>
      </w:r>
      <w:r>
        <w:rPr>
          <w:sz w:val="20"/>
          <w:szCs w:val="20"/>
        </w:rPr>
        <w:tab/>
      </w:r>
      <w:r w:rsidRPr="00516CFB">
        <w:rPr>
          <w:sz w:val="20"/>
          <w:szCs w:val="20"/>
        </w:rPr>
        <w:t>Diese US</w:t>
      </w:r>
      <w:r>
        <w:rPr>
          <w:sz w:val="20"/>
          <w:szCs w:val="20"/>
        </w:rPr>
        <w:t>A-weite jährliche Untersuchung</w:t>
      </w:r>
      <w:r w:rsidRPr="00516CFB">
        <w:rPr>
          <w:sz w:val="20"/>
          <w:szCs w:val="20"/>
        </w:rPr>
        <w:t xml:space="preserve"> wird als Haushaltsbefragung durchgeführt, die zunächst telefonisch angekündigt wird und </w:t>
      </w:r>
      <w:r>
        <w:rPr>
          <w:sz w:val="20"/>
          <w:szCs w:val="20"/>
        </w:rPr>
        <w:t xml:space="preserve">in der </w:t>
      </w:r>
      <w:r w:rsidRPr="00516CFB">
        <w:rPr>
          <w:sz w:val="20"/>
          <w:szCs w:val="20"/>
        </w:rPr>
        <w:t>dann mit standardisierten Interviews und Internetbefr</w:t>
      </w:r>
      <w:r w:rsidRPr="00516CFB">
        <w:rPr>
          <w:sz w:val="20"/>
          <w:szCs w:val="20"/>
        </w:rPr>
        <w:t>a</w:t>
      </w:r>
      <w:r w:rsidRPr="00516CFB">
        <w:rPr>
          <w:sz w:val="20"/>
          <w:szCs w:val="20"/>
        </w:rPr>
        <w:t>gungen weiter</w:t>
      </w:r>
      <w:r>
        <w:rPr>
          <w:sz w:val="20"/>
          <w:szCs w:val="20"/>
        </w:rPr>
        <w:t>ge</w:t>
      </w:r>
      <w:r w:rsidRPr="00516CFB">
        <w:rPr>
          <w:sz w:val="20"/>
          <w:szCs w:val="20"/>
        </w:rPr>
        <w:t>arbeitet</w:t>
      </w:r>
      <w:r>
        <w:rPr>
          <w:sz w:val="20"/>
          <w:szCs w:val="20"/>
        </w:rPr>
        <w:t xml:space="preserve"> wird</w:t>
      </w:r>
      <w:r w:rsidRPr="00516CFB">
        <w:rPr>
          <w:sz w:val="20"/>
          <w:szCs w:val="20"/>
        </w:rPr>
        <w:t>.</w:t>
      </w:r>
    </w:p>
  </w:footnote>
  <w:footnote w:id="39">
    <w:p w14:paraId="270E9FD5" w14:textId="53927B1A" w:rsidR="00617CD2" w:rsidRDefault="00617CD2" w:rsidP="00591085">
      <w:pPr>
        <w:spacing w:line="276" w:lineRule="auto"/>
        <w:ind w:left="284" w:hanging="284"/>
        <w:jc w:val="both"/>
      </w:pPr>
      <w:r>
        <w:rPr>
          <w:rStyle w:val="Funotenzeichen"/>
        </w:rPr>
        <w:footnoteRef/>
      </w:r>
      <w:r>
        <w:t xml:space="preserve"> </w:t>
      </w:r>
      <w:r>
        <w:tab/>
      </w:r>
      <w:r w:rsidRPr="00591085">
        <w:rPr>
          <w:sz w:val="20"/>
          <w:szCs w:val="20"/>
        </w:rPr>
        <w:t xml:space="preserve">Die Dringlichkeit dieser Forderung wird u. a. </w:t>
      </w:r>
      <w:r>
        <w:rPr>
          <w:sz w:val="20"/>
          <w:szCs w:val="20"/>
        </w:rPr>
        <w:t>an den</w:t>
      </w:r>
      <w:r w:rsidRPr="00591085">
        <w:rPr>
          <w:sz w:val="20"/>
          <w:szCs w:val="20"/>
        </w:rPr>
        <w:t xml:space="preserve"> Daten zu Schulverweisen und Schulausschlü</w:t>
      </w:r>
      <w:r w:rsidRPr="00591085">
        <w:rPr>
          <w:sz w:val="20"/>
          <w:szCs w:val="20"/>
        </w:rPr>
        <w:t>s</w:t>
      </w:r>
      <w:r w:rsidRPr="00591085">
        <w:rPr>
          <w:sz w:val="20"/>
          <w:szCs w:val="20"/>
        </w:rPr>
        <w:t xml:space="preserve">sen in den USA </w:t>
      </w:r>
      <w:r>
        <w:rPr>
          <w:sz w:val="20"/>
          <w:szCs w:val="20"/>
        </w:rPr>
        <w:t>nachvollziehbar</w:t>
      </w:r>
      <w:r w:rsidRPr="00591085">
        <w:rPr>
          <w:sz w:val="20"/>
          <w:szCs w:val="20"/>
        </w:rPr>
        <w:t>: Im Oktober 2016 haben das U. S. Department of Health and Human Services und das U. S. Department of Education in einem Memorandum alle Bundesstaaten aufg</w:t>
      </w:r>
      <w:r w:rsidRPr="00591085">
        <w:rPr>
          <w:sz w:val="20"/>
          <w:szCs w:val="20"/>
        </w:rPr>
        <w:t>e</w:t>
      </w:r>
      <w:r w:rsidRPr="00591085">
        <w:rPr>
          <w:sz w:val="20"/>
          <w:szCs w:val="20"/>
        </w:rPr>
        <w:t xml:space="preserve">fordert, in Kindereinrichtungen und Schulen zukünftig auf eine Strafpolitik zu verzichten, durch die Kinder und Schüler aus den Einrichtungen temporär ausgeschlossen oder sogar ganz verwiesen werden (vgl. </w:t>
      </w:r>
      <w:r>
        <w:rPr>
          <w:bCs/>
          <w:sz w:val="20"/>
          <w:szCs w:val="20"/>
        </w:rPr>
        <w:t>U.S. Department of Health and Human S</w:t>
      </w:r>
      <w:r w:rsidRPr="00591085">
        <w:rPr>
          <w:bCs/>
          <w:sz w:val="20"/>
          <w:szCs w:val="20"/>
        </w:rPr>
        <w:t>ervices, U. S. Department of Education 2016)</w:t>
      </w:r>
      <w:r w:rsidRPr="00591085">
        <w:rPr>
          <w:sz w:val="20"/>
          <w:szCs w:val="20"/>
        </w:rPr>
        <w:t>. In diesen neuen politischen Leitlinien werden zugleich alle Bundesstaaten zu einem Monitoring der Entwicklungen in diesem Bereich aufgefordert. Insofern werden in den nächsten Jahren Daten vo</w:t>
      </w:r>
      <w:r w:rsidRPr="00591085">
        <w:rPr>
          <w:sz w:val="20"/>
          <w:szCs w:val="20"/>
        </w:rPr>
        <w:t>r</w:t>
      </w:r>
      <w:r>
        <w:rPr>
          <w:sz w:val="20"/>
          <w:szCs w:val="20"/>
        </w:rPr>
        <w:t>gelegt</w:t>
      </w:r>
      <w:r w:rsidRPr="00591085">
        <w:rPr>
          <w:sz w:val="20"/>
          <w:szCs w:val="20"/>
        </w:rPr>
        <w:t xml:space="preserve">, die </w:t>
      </w:r>
      <w:r>
        <w:rPr>
          <w:sz w:val="20"/>
          <w:szCs w:val="20"/>
        </w:rPr>
        <w:t xml:space="preserve">u. a. </w:t>
      </w:r>
      <w:r w:rsidRPr="00591085">
        <w:rPr>
          <w:sz w:val="20"/>
          <w:szCs w:val="20"/>
        </w:rPr>
        <w:t>auch einen Einblick ermöglichen, wie disziplinarisch auf den Marihuana-Konsum J</w:t>
      </w:r>
      <w:r w:rsidRPr="00591085">
        <w:rPr>
          <w:sz w:val="20"/>
          <w:szCs w:val="20"/>
        </w:rPr>
        <w:t>u</w:t>
      </w:r>
      <w:r w:rsidRPr="00591085">
        <w:rPr>
          <w:sz w:val="20"/>
          <w:szCs w:val="20"/>
        </w:rPr>
        <w:t xml:space="preserve">gendlicher reagiert wird. </w:t>
      </w:r>
      <w:r>
        <w:rPr>
          <w:sz w:val="20"/>
          <w:szCs w:val="20"/>
        </w:rPr>
        <w:t>A</w:t>
      </w:r>
      <w:r w:rsidRPr="00591085">
        <w:rPr>
          <w:sz w:val="20"/>
          <w:szCs w:val="20"/>
        </w:rPr>
        <w:t>llein wegen des zeitlichen Zusammenfalls der Regulierungsprozesse und grundsätzlicher Änderungen in der Strafpraxis für Kinder und Jugendliche werden diese Daten j</w:t>
      </w:r>
      <w:r w:rsidRPr="00591085">
        <w:rPr>
          <w:sz w:val="20"/>
          <w:szCs w:val="20"/>
        </w:rPr>
        <w:t>e</w:t>
      </w:r>
      <w:r w:rsidRPr="00591085">
        <w:rPr>
          <w:sz w:val="20"/>
          <w:szCs w:val="20"/>
        </w:rPr>
        <w:t xml:space="preserve">doch als Indikatoren für Folgen einer Regulierung </w:t>
      </w:r>
      <w:r>
        <w:rPr>
          <w:sz w:val="20"/>
          <w:szCs w:val="20"/>
        </w:rPr>
        <w:t>wenig</w:t>
      </w:r>
      <w:r w:rsidRPr="00591085">
        <w:rPr>
          <w:sz w:val="20"/>
          <w:szCs w:val="20"/>
        </w:rPr>
        <w:t xml:space="preserve"> geeignet sein.</w:t>
      </w:r>
      <w:r w:rsidRPr="00224873">
        <w:t xml:space="preserve"> </w:t>
      </w:r>
    </w:p>
    <w:p w14:paraId="7D9153FB" w14:textId="4DB80117" w:rsidR="00617CD2" w:rsidRDefault="00617CD2">
      <w:pPr>
        <w:pStyle w:val="Funotentext"/>
      </w:pPr>
    </w:p>
  </w:footnote>
  <w:footnote w:id="40">
    <w:p w14:paraId="20CB859C" w14:textId="4441B863" w:rsidR="00617CD2" w:rsidRPr="00D67419" w:rsidRDefault="00617CD2" w:rsidP="00D67419">
      <w:pPr>
        <w:pStyle w:val="KeinLeerraum"/>
        <w:ind w:left="142" w:hanging="142"/>
        <w:rPr>
          <w:sz w:val="20"/>
          <w:szCs w:val="20"/>
        </w:rPr>
      </w:pPr>
      <w:r w:rsidRPr="00D67419">
        <w:rPr>
          <w:rStyle w:val="Funotenzeichen"/>
          <w:sz w:val="20"/>
          <w:szCs w:val="20"/>
        </w:rPr>
        <w:footnoteRef/>
      </w:r>
      <w:r>
        <w:rPr>
          <w:sz w:val="20"/>
          <w:szCs w:val="20"/>
        </w:rPr>
        <w:t xml:space="preserve"> </w:t>
      </w:r>
      <w:r w:rsidRPr="00D67419">
        <w:rPr>
          <w:sz w:val="20"/>
          <w:szCs w:val="20"/>
        </w:rPr>
        <w:t>Bis zum 31. Dezember 1992 galt in den neuen Ländern und Berlin-Ost die 0,0-Promille-Regelung, d. h. „Fahrzeugführer durften bei Antritt und während der Fahrt nicht unter Einwirkung von Alkohol stehen“ (§ 7 DDR – StVO vom 26.5.77).</w:t>
      </w:r>
    </w:p>
  </w:footnote>
  <w:footnote w:id="41">
    <w:p w14:paraId="189A183E" w14:textId="086C7CCB" w:rsidR="00617CD2" w:rsidRPr="008D500D" w:rsidRDefault="00617CD2" w:rsidP="008D500D">
      <w:pPr>
        <w:pStyle w:val="Funotentext"/>
        <w:ind w:left="284" w:hanging="284"/>
        <w:rPr>
          <w:sz w:val="20"/>
          <w:szCs w:val="20"/>
        </w:rPr>
      </w:pPr>
      <w:r>
        <w:rPr>
          <w:rStyle w:val="Funotenzeichen"/>
        </w:rPr>
        <w:footnoteRef/>
      </w:r>
      <w:r>
        <w:t xml:space="preserve"> </w:t>
      </w:r>
      <w:r>
        <w:tab/>
      </w:r>
      <w:r w:rsidRPr="008D500D">
        <w:rPr>
          <w:rFonts w:cs="Georgia"/>
          <w:sz w:val="20"/>
          <w:szCs w:val="20"/>
        </w:rPr>
        <w:t>Aus aktivem THC verstoffwechselte, selbst nicht psycho</w:t>
      </w:r>
      <w:r>
        <w:rPr>
          <w:rFonts w:cs="Georgia"/>
          <w:sz w:val="20"/>
          <w:szCs w:val="20"/>
        </w:rPr>
        <w:t>-</w:t>
      </w:r>
      <w:r w:rsidRPr="008D500D">
        <w:rPr>
          <w:rFonts w:cs="Georgia"/>
          <w:sz w:val="20"/>
          <w:szCs w:val="20"/>
        </w:rPr>
        <w:t>aktiv wirkende, aber lange im Körper nac</w:t>
      </w:r>
      <w:r w:rsidRPr="008D500D">
        <w:rPr>
          <w:rFonts w:cs="Georgia"/>
          <w:sz w:val="20"/>
          <w:szCs w:val="20"/>
        </w:rPr>
        <w:t>h</w:t>
      </w:r>
      <w:r w:rsidRPr="008D500D">
        <w:rPr>
          <w:rFonts w:cs="Georgia"/>
          <w:sz w:val="20"/>
          <w:szCs w:val="20"/>
        </w:rPr>
        <w:t>weisbare Cannabiniode.</w:t>
      </w:r>
    </w:p>
  </w:footnote>
  <w:footnote w:id="42">
    <w:p w14:paraId="3AD17384" w14:textId="16135D5D" w:rsidR="00617CD2" w:rsidRPr="008D500D" w:rsidRDefault="00617CD2" w:rsidP="008D500D">
      <w:pPr>
        <w:pStyle w:val="Funotentext"/>
        <w:ind w:left="284" w:hanging="284"/>
        <w:rPr>
          <w:sz w:val="20"/>
          <w:szCs w:val="20"/>
        </w:rPr>
      </w:pPr>
      <w:r w:rsidRPr="008D500D">
        <w:rPr>
          <w:rStyle w:val="Funotenzeichen"/>
          <w:sz w:val="20"/>
          <w:szCs w:val="20"/>
        </w:rPr>
        <w:footnoteRef/>
      </w:r>
      <w:r w:rsidRPr="008D500D">
        <w:rPr>
          <w:sz w:val="20"/>
          <w:szCs w:val="20"/>
        </w:rPr>
        <w:t xml:space="preserve"> </w:t>
      </w:r>
      <w:r w:rsidRPr="008D500D">
        <w:rPr>
          <w:sz w:val="20"/>
          <w:szCs w:val="20"/>
        </w:rPr>
        <w:tab/>
        <w:t xml:space="preserve">FARS steht für Fatality Analysis Reporting System, eine Datenbank, in der 143 Daten zu Unfällen mit Todesfolge nach </w:t>
      </w:r>
      <w:r>
        <w:rPr>
          <w:sz w:val="20"/>
          <w:szCs w:val="20"/>
        </w:rPr>
        <w:t>landesweit</w:t>
      </w:r>
      <w:r w:rsidRPr="008D500D">
        <w:rPr>
          <w:sz w:val="20"/>
          <w:szCs w:val="20"/>
        </w:rPr>
        <w:t xml:space="preserve"> ei</w:t>
      </w:r>
      <w:r>
        <w:rPr>
          <w:sz w:val="20"/>
          <w:szCs w:val="20"/>
        </w:rPr>
        <w:t>nheitlichem</w:t>
      </w:r>
      <w:r w:rsidRPr="008D500D">
        <w:rPr>
          <w:sz w:val="20"/>
          <w:szCs w:val="20"/>
        </w:rPr>
        <w:t xml:space="preserve"> Muster bei der National Highway Traffic Safety Administr</w:t>
      </w:r>
      <w:r w:rsidRPr="008D500D">
        <w:rPr>
          <w:sz w:val="20"/>
          <w:szCs w:val="20"/>
        </w:rPr>
        <w:t>a</w:t>
      </w:r>
      <w:r w:rsidRPr="008D500D">
        <w:rPr>
          <w:sz w:val="20"/>
          <w:szCs w:val="20"/>
        </w:rPr>
        <w:t>tion gesammelt und codiert werden</w:t>
      </w:r>
      <w:r w:rsidRPr="008D500D">
        <w:rPr>
          <w:rFonts w:cs="Times"/>
          <w:sz w:val="20"/>
          <w:szCs w:val="20"/>
        </w:rPr>
        <w:t>.</w:t>
      </w:r>
    </w:p>
  </w:footnote>
  <w:footnote w:id="43">
    <w:p w14:paraId="1724AA80" w14:textId="1012F7A5" w:rsidR="00617CD2" w:rsidRPr="008D500D" w:rsidRDefault="00617CD2" w:rsidP="009444BA">
      <w:pPr>
        <w:pStyle w:val="Funotentext"/>
        <w:ind w:left="284" w:hanging="284"/>
        <w:rPr>
          <w:sz w:val="20"/>
          <w:szCs w:val="20"/>
        </w:rPr>
      </w:pPr>
      <w:r w:rsidRPr="008D500D">
        <w:rPr>
          <w:rStyle w:val="Funotenzeichen"/>
          <w:sz w:val="20"/>
          <w:szCs w:val="20"/>
        </w:rPr>
        <w:footnoteRef/>
      </w:r>
      <w:r w:rsidRPr="008D500D">
        <w:rPr>
          <w:sz w:val="20"/>
          <w:szCs w:val="20"/>
        </w:rPr>
        <w:t xml:space="preserve"> </w:t>
      </w:r>
      <w:r w:rsidRPr="008D500D">
        <w:rPr>
          <w:sz w:val="20"/>
          <w:szCs w:val="20"/>
        </w:rPr>
        <w:tab/>
        <w:t xml:space="preserve">Studien, die sich auf diese Daten stützen, übersehen oft, dass es sich dabei um ein stark selektiertes Datenmaterial handelt und verallgemeinern vorschnell, dass sich mit diesen Daten das Fahren unter dem Einfluss von Marihuana insgesamt beschreiben ließe (vgl. u. a. </w:t>
      </w:r>
      <w:r w:rsidRPr="008D500D">
        <w:rPr>
          <w:rFonts w:cs="Times New Roman"/>
          <w:color w:val="262626"/>
          <w:sz w:val="20"/>
          <w:szCs w:val="20"/>
        </w:rPr>
        <w:t xml:space="preserve">Northwest High Intensity Drug Trafficking Area: </w:t>
      </w:r>
      <w:r>
        <w:rPr>
          <w:rFonts w:cs="Times New Roman"/>
          <w:color w:val="262626"/>
          <w:sz w:val="20"/>
          <w:szCs w:val="20"/>
        </w:rPr>
        <w:t xml:space="preserve">Washington </w:t>
      </w:r>
      <w:r w:rsidRPr="008D500D">
        <w:rPr>
          <w:rFonts w:cs="Times New Roman"/>
          <w:color w:val="262626"/>
          <w:sz w:val="20"/>
          <w:szCs w:val="20"/>
        </w:rPr>
        <w:t>Marijuana report 2016</w:t>
      </w:r>
      <w:r>
        <w:rPr>
          <w:rFonts w:cs="Times New Roman"/>
          <w:color w:val="262626"/>
          <w:sz w:val="20"/>
          <w:szCs w:val="20"/>
        </w:rPr>
        <w:t>)</w:t>
      </w:r>
      <w:r w:rsidRPr="008D500D">
        <w:rPr>
          <w:rFonts w:cs="Times New Roman"/>
          <w:color w:val="262626"/>
          <w:sz w:val="20"/>
          <w:szCs w:val="20"/>
        </w:rPr>
        <w:t>. Allerdings tauchen auch in Europa immer wi</w:t>
      </w:r>
      <w:r w:rsidRPr="008D500D">
        <w:rPr>
          <w:rFonts w:cs="Times New Roman"/>
          <w:color w:val="262626"/>
          <w:sz w:val="20"/>
          <w:szCs w:val="20"/>
        </w:rPr>
        <w:t>e</w:t>
      </w:r>
      <w:r w:rsidRPr="008D500D">
        <w:rPr>
          <w:rFonts w:cs="Times New Roman"/>
          <w:color w:val="262626"/>
          <w:sz w:val="20"/>
          <w:szCs w:val="20"/>
        </w:rPr>
        <w:t xml:space="preserve">der Berichte auf, die sich unbesehen auf diese Daten stützen </w:t>
      </w:r>
      <w:r w:rsidRPr="008D500D">
        <w:rPr>
          <w:rFonts w:cs="Times New Roman"/>
          <w:sz w:val="20"/>
          <w:szCs w:val="20"/>
        </w:rPr>
        <w:t>(vgl. Zobel, Marthaler 2016)</w:t>
      </w:r>
      <w:r>
        <w:rPr>
          <w:rFonts w:cs="Times New Roman"/>
          <w:sz w:val="20"/>
          <w:szCs w:val="20"/>
        </w:rPr>
        <w:t>.</w:t>
      </w:r>
    </w:p>
  </w:footnote>
  <w:footnote w:id="44">
    <w:p w14:paraId="6A828E36" w14:textId="1E619295" w:rsidR="00617CD2" w:rsidRPr="00995317" w:rsidRDefault="00617CD2" w:rsidP="00E74B19">
      <w:pPr>
        <w:pStyle w:val="Funotentext"/>
        <w:ind w:left="284" w:hanging="284"/>
        <w:rPr>
          <w:sz w:val="20"/>
          <w:szCs w:val="20"/>
        </w:rPr>
      </w:pPr>
      <w:r w:rsidRPr="00995317">
        <w:rPr>
          <w:rStyle w:val="Funotenzeichen"/>
          <w:sz w:val="20"/>
          <w:szCs w:val="20"/>
        </w:rPr>
        <w:footnoteRef/>
      </w:r>
      <w:r w:rsidRPr="00995317">
        <w:rPr>
          <w:sz w:val="20"/>
          <w:szCs w:val="20"/>
        </w:rPr>
        <w:t xml:space="preserve"> </w:t>
      </w:r>
      <w:r>
        <w:rPr>
          <w:sz w:val="20"/>
          <w:szCs w:val="20"/>
        </w:rPr>
        <w:tab/>
      </w:r>
      <w:r w:rsidRPr="00995317">
        <w:rPr>
          <w:sz w:val="20"/>
          <w:szCs w:val="20"/>
        </w:rPr>
        <w:t xml:space="preserve">Hintergrund dieser Praxis ist, dass mit dem Washingtoner Gesetz zur </w:t>
      </w:r>
      <w:r>
        <w:rPr>
          <w:sz w:val="20"/>
          <w:szCs w:val="20"/>
        </w:rPr>
        <w:t>Regulierung</w:t>
      </w:r>
      <w:r w:rsidRPr="00995317">
        <w:rPr>
          <w:sz w:val="20"/>
          <w:szCs w:val="20"/>
        </w:rPr>
        <w:t xml:space="preserve"> am 3. Dezember 2012 (initiative 502) die geltenden Testlimits zunächst von 1 auf 2 Nanogramm pro Milliliter Blut e</w:t>
      </w:r>
      <w:r w:rsidRPr="00995317">
        <w:rPr>
          <w:sz w:val="20"/>
          <w:szCs w:val="20"/>
        </w:rPr>
        <w:t>r</w:t>
      </w:r>
      <w:r w:rsidRPr="00995317">
        <w:rPr>
          <w:sz w:val="20"/>
          <w:szCs w:val="20"/>
        </w:rPr>
        <w:t>höht und am 03. Mai 2014 wieder auf 1 Nanogramm pro Milliliter Blut gesenkt wurden (vgl.</w:t>
      </w:r>
      <w:r w:rsidRPr="00995317">
        <w:rPr>
          <w:rFonts w:cs="Georgia"/>
          <w:sz w:val="20"/>
          <w:szCs w:val="20"/>
        </w:rPr>
        <w:t xml:space="preserve"> </w:t>
      </w:r>
      <w:r w:rsidRPr="00995317">
        <w:rPr>
          <w:sz w:val="20"/>
          <w:szCs w:val="20"/>
        </w:rPr>
        <w:t>Tefft, Arnold, Grabowski 2016, S. 4).</w:t>
      </w:r>
    </w:p>
  </w:footnote>
  <w:footnote w:id="45">
    <w:p w14:paraId="2D9692B2" w14:textId="08C81B10" w:rsidR="00617CD2" w:rsidRDefault="00617CD2" w:rsidP="00DB7D1D">
      <w:pPr>
        <w:widowControl w:val="0"/>
        <w:autoSpaceDE w:val="0"/>
        <w:autoSpaceDN w:val="0"/>
        <w:adjustRightInd w:val="0"/>
        <w:spacing w:after="240"/>
        <w:ind w:left="284" w:hanging="284"/>
      </w:pPr>
      <w:r>
        <w:rPr>
          <w:rStyle w:val="Funotenzeichen"/>
        </w:rPr>
        <w:footnoteRef/>
      </w:r>
      <w:r>
        <w:t xml:space="preserve"> </w:t>
      </w:r>
      <w:r>
        <w:tab/>
      </w:r>
      <w:r w:rsidRPr="00912985">
        <w:rPr>
          <w:rFonts w:cs="Calibri"/>
          <w:sz w:val="20"/>
          <w:szCs w:val="20"/>
        </w:rPr>
        <w:t xml:space="preserve">Chematox ist ein privates Labor, das für mehr als 160 Strafverfolgungsbehörden Colorados arbeitet. Dieses hat </w:t>
      </w:r>
      <w:r>
        <w:rPr>
          <w:rFonts w:cs="Calibri"/>
          <w:sz w:val="20"/>
          <w:szCs w:val="20"/>
        </w:rPr>
        <w:t xml:space="preserve">im Jahr </w:t>
      </w:r>
      <w:r w:rsidRPr="00912985">
        <w:rPr>
          <w:rFonts w:cs="Calibri"/>
          <w:sz w:val="20"/>
          <w:szCs w:val="20"/>
        </w:rPr>
        <w:t>2014 4</w:t>
      </w:r>
      <w:r>
        <w:rPr>
          <w:rFonts w:cs="Calibri"/>
          <w:sz w:val="20"/>
          <w:szCs w:val="20"/>
        </w:rPr>
        <w:t>.</w:t>
      </w:r>
      <w:r w:rsidRPr="00912985">
        <w:rPr>
          <w:rFonts w:cs="Calibri"/>
          <w:sz w:val="20"/>
          <w:szCs w:val="20"/>
        </w:rPr>
        <w:t>371 Drogentest</w:t>
      </w:r>
      <w:r>
        <w:rPr>
          <w:rFonts w:cs="Calibri"/>
          <w:sz w:val="20"/>
          <w:szCs w:val="20"/>
        </w:rPr>
        <w:t>s</w:t>
      </w:r>
      <w:r w:rsidRPr="00912985">
        <w:rPr>
          <w:rFonts w:cs="Calibri"/>
          <w:sz w:val="20"/>
          <w:szCs w:val="20"/>
        </w:rPr>
        <w:t xml:space="preserve"> vorgenommen, bei denen 65 % zunächst positiv auf THC-Metaboliten und von diesen wiederum 67 % in einem Folgetest auf positives psychoaktives Delta-9 THC mit einem Blutwert von 2</w:t>
      </w:r>
      <w:r w:rsidR="00AF03D4">
        <w:rPr>
          <w:rFonts w:cs="Calibri"/>
          <w:sz w:val="20"/>
          <w:szCs w:val="20"/>
        </w:rPr>
        <w:t xml:space="preserve"> </w:t>
      </w:r>
      <w:r w:rsidRPr="00912985">
        <w:rPr>
          <w:rFonts w:cs="Calibri"/>
          <w:sz w:val="20"/>
          <w:szCs w:val="20"/>
        </w:rPr>
        <w:t xml:space="preserve">ng/ml oder größer getestet wurde. Der Cut-off-Wert von 2 ng/ml Blut wird in der Testpraxis genutzt, um einen gerade zurückliegenden Konsum nachzuweisen, der nicht unbedingt eine Beeinträchtigung der Person zur Folge hat. </w:t>
      </w:r>
    </w:p>
  </w:footnote>
  <w:footnote w:id="46">
    <w:p w14:paraId="24CA8687" w14:textId="7DDC9B7E" w:rsidR="00617CD2" w:rsidRPr="005D2FC0" w:rsidRDefault="00617CD2" w:rsidP="00115373">
      <w:pPr>
        <w:widowControl w:val="0"/>
        <w:autoSpaceDE w:val="0"/>
        <w:autoSpaceDN w:val="0"/>
        <w:adjustRightInd w:val="0"/>
        <w:spacing w:after="240"/>
        <w:ind w:left="284" w:hanging="284"/>
        <w:rPr>
          <w:sz w:val="20"/>
          <w:szCs w:val="20"/>
        </w:rPr>
      </w:pPr>
      <w:r>
        <w:rPr>
          <w:rStyle w:val="Funotenzeichen"/>
        </w:rPr>
        <w:footnoteRef/>
      </w:r>
      <w:r>
        <w:t xml:space="preserve"> </w:t>
      </w:r>
      <w:r>
        <w:tab/>
      </w:r>
      <w:r w:rsidRPr="005D2FC0">
        <w:rPr>
          <w:sz w:val="20"/>
          <w:szCs w:val="20"/>
        </w:rPr>
        <w:t xml:space="preserve">Diese vermehrte Ausbildung der Polizei </w:t>
      </w:r>
      <w:r>
        <w:rPr>
          <w:sz w:val="20"/>
          <w:szCs w:val="20"/>
        </w:rPr>
        <w:t>wird</w:t>
      </w:r>
      <w:r w:rsidRPr="005D2FC0">
        <w:rPr>
          <w:sz w:val="20"/>
          <w:szCs w:val="20"/>
        </w:rPr>
        <w:t xml:space="preserve"> möglich durch </w:t>
      </w:r>
      <w:r>
        <w:rPr>
          <w:sz w:val="20"/>
          <w:szCs w:val="20"/>
        </w:rPr>
        <w:t>vermehrte</w:t>
      </w:r>
      <w:r w:rsidRPr="005D2FC0">
        <w:rPr>
          <w:sz w:val="20"/>
          <w:szCs w:val="20"/>
        </w:rPr>
        <w:t xml:space="preserve"> Steuereinnahmen aus der </w:t>
      </w:r>
      <w:r>
        <w:rPr>
          <w:sz w:val="20"/>
          <w:szCs w:val="20"/>
        </w:rPr>
        <w:t>R</w:t>
      </w:r>
      <w:r>
        <w:rPr>
          <w:sz w:val="20"/>
          <w:szCs w:val="20"/>
        </w:rPr>
        <w:t>e</w:t>
      </w:r>
      <w:r>
        <w:rPr>
          <w:sz w:val="20"/>
          <w:szCs w:val="20"/>
        </w:rPr>
        <w:t>gulierung</w:t>
      </w:r>
      <w:r w:rsidRPr="005D2FC0">
        <w:rPr>
          <w:sz w:val="20"/>
          <w:szCs w:val="20"/>
        </w:rPr>
        <w:t>, die entsprechend einem Gesetz (</w:t>
      </w:r>
      <w:r w:rsidRPr="005D2FC0">
        <w:rPr>
          <w:rFonts w:cs="Calibri"/>
          <w:sz w:val="20"/>
          <w:szCs w:val="20"/>
        </w:rPr>
        <w:t>Senate Bill 14-215) auch für ein speziell ausgelegtes Pr</w:t>
      </w:r>
      <w:r w:rsidRPr="005D2FC0">
        <w:rPr>
          <w:rFonts w:cs="Calibri"/>
          <w:sz w:val="20"/>
          <w:szCs w:val="20"/>
        </w:rPr>
        <w:t>o</w:t>
      </w:r>
      <w:r w:rsidRPr="005D2FC0">
        <w:rPr>
          <w:rFonts w:cs="Calibri"/>
          <w:sz w:val="20"/>
          <w:szCs w:val="20"/>
        </w:rPr>
        <w:t>gramm  zur Ausbildung sogenannter Peace Officer Standards and Training (POST)einzusetzen ist.</w:t>
      </w:r>
    </w:p>
  </w:footnote>
  <w:footnote w:id="47">
    <w:p w14:paraId="1E004654" w14:textId="77777777" w:rsidR="00617CD2" w:rsidRPr="00B259FB" w:rsidRDefault="00617CD2" w:rsidP="00390D20">
      <w:pPr>
        <w:pStyle w:val="Funotentext"/>
        <w:ind w:left="284" w:hanging="284"/>
        <w:rPr>
          <w:sz w:val="20"/>
          <w:szCs w:val="20"/>
        </w:rPr>
      </w:pPr>
      <w:r>
        <w:rPr>
          <w:rStyle w:val="Funotenzeichen"/>
        </w:rPr>
        <w:footnoteRef/>
      </w:r>
      <w:r>
        <w:t xml:space="preserve"> </w:t>
      </w:r>
      <w:r>
        <w:tab/>
      </w:r>
      <w:r w:rsidRPr="00B259FB">
        <w:rPr>
          <w:rFonts w:cs="Georgia"/>
          <w:sz w:val="20"/>
          <w:szCs w:val="20"/>
        </w:rPr>
        <w:t xml:space="preserve">So werden in dem Bericht der </w:t>
      </w:r>
      <w:r w:rsidRPr="00B259FB">
        <w:rPr>
          <w:sz w:val="20"/>
          <w:szCs w:val="20"/>
        </w:rPr>
        <w:t>Rocky Mountain High Intensity Drug Trafficking Area (RMHIDTA) be</w:t>
      </w:r>
      <w:r w:rsidRPr="00B259FB">
        <w:rPr>
          <w:sz w:val="20"/>
          <w:szCs w:val="20"/>
        </w:rPr>
        <w:t>i</w:t>
      </w:r>
      <w:r w:rsidRPr="00B259FB">
        <w:rPr>
          <w:sz w:val="20"/>
          <w:szCs w:val="20"/>
        </w:rPr>
        <w:t>spielsweise Verkehrsteilnehmer, die in einen Unfall mit Todesfolge involviert waren und auf Marihu</w:t>
      </w:r>
      <w:r w:rsidRPr="00B259FB">
        <w:rPr>
          <w:sz w:val="20"/>
          <w:szCs w:val="20"/>
        </w:rPr>
        <w:t>a</w:t>
      </w:r>
      <w:r w:rsidRPr="00B259FB">
        <w:rPr>
          <w:sz w:val="20"/>
          <w:szCs w:val="20"/>
        </w:rPr>
        <w:t>na positiv getestet wurden, als „</w:t>
      </w:r>
      <w:r w:rsidRPr="00B259FB">
        <w:rPr>
          <w:rFonts w:cs="Times"/>
          <w:bCs/>
          <w:sz w:val="20"/>
          <w:szCs w:val="20"/>
        </w:rPr>
        <w:t xml:space="preserve">Traffic Deaths Related to Marijuana“ (vgl. </w:t>
      </w:r>
      <w:r w:rsidRPr="00B259FB">
        <w:rPr>
          <w:rFonts w:cs="SourceSansPro-Regular"/>
          <w:sz w:val="20"/>
          <w:szCs w:val="20"/>
        </w:rPr>
        <w:t xml:space="preserve">Clarke, Harlow, Wong 2016, S. 16) </w:t>
      </w:r>
      <w:r w:rsidRPr="00B259FB">
        <w:rPr>
          <w:rFonts w:cs="Times"/>
          <w:bCs/>
          <w:sz w:val="20"/>
          <w:szCs w:val="20"/>
        </w:rPr>
        <w:t xml:space="preserve">ausgewiesen. Das ist angesichts der oben beschriebenen Einschränkungen </w:t>
      </w:r>
      <w:r>
        <w:rPr>
          <w:rFonts w:cs="Times"/>
          <w:bCs/>
          <w:sz w:val="20"/>
          <w:szCs w:val="20"/>
        </w:rPr>
        <w:t xml:space="preserve">in der Aussagekraft (Verursachung insgesamt und bezogen auf die getestete Person nicht geklärt) </w:t>
      </w:r>
      <w:r w:rsidRPr="00B259FB">
        <w:rPr>
          <w:rFonts w:cs="Times"/>
          <w:bCs/>
          <w:sz w:val="20"/>
          <w:szCs w:val="20"/>
        </w:rPr>
        <w:t xml:space="preserve">eine Überinterpretation der vorliegenden </w:t>
      </w:r>
      <w:r>
        <w:rPr>
          <w:rFonts w:cs="Times"/>
          <w:bCs/>
          <w:sz w:val="20"/>
          <w:szCs w:val="20"/>
        </w:rPr>
        <w:t>Daten</w:t>
      </w:r>
      <w:r w:rsidRPr="00B259FB">
        <w:rPr>
          <w:rFonts w:cs="Times"/>
          <w:bCs/>
          <w:sz w:val="20"/>
          <w:szCs w:val="20"/>
        </w:rPr>
        <w:t>. Zudem wird in diesem Bericht mit Zahlen gearbeitet, die sich in der offiziellen Statistik des National Highway Traffic Safety Administration, Fatality Analysis Reporting System (FARS), auf das sich als Quelle bezogen wird, nicht finden lassen (ebenda, S. 16).</w:t>
      </w:r>
    </w:p>
  </w:footnote>
  <w:footnote w:id="48">
    <w:p w14:paraId="39505C6A" w14:textId="2BDB632A" w:rsidR="00617CD2" w:rsidRDefault="00617CD2" w:rsidP="00390D20">
      <w:pPr>
        <w:pStyle w:val="Funotentext"/>
        <w:ind w:left="284" w:hanging="284"/>
      </w:pPr>
      <w:r w:rsidRPr="00B259FB">
        <w:rPr>
          <w:rStyle w:val="Funotenzeichen"/>
          <w:sz w:val="20"/>
          <w:szCs w:val="20"/>
        </w:rPr>
        <w:footnoteRef/>
      </w:r>
      <w:r w:rsidRPr="00B259FB">
        <w:rPr>
          <w:sz w:val="20"/>
          <w:szCs w:val="20"/>
        </w:rPr>
        <w:t xml:space="preserve"> </w:t>
      </w:r>
      <w:r>
        <w:rPr>
          <w:sz w:val="20"/>
          <w:szCs w:val="20"/>
        </w:rPr>
        <w:tab/>
      </w:r>
      <w:r w:rsidRPr="00B259FB">
        <w:rPr>
          <w:sz w:val="20"/>
          <w:szCs w:val="20"/>
        </w:rPr>
        <w:t xml:space="preserve">Für den Bundesstaat Colorado werden diese Daten durch </w:t>
      </w:r>
      <w:r w:rsidRPr="00B259FB">
        <w:rPr>
          <w:rFonts w:cs="Calibri"/>
          <w:sz w:val="20"/>
          <w:szCs w:val="20"/>
        </w:rPr>
        <w:t>Colorado Department of Transportation (CDOT)</w:t>
      </w:r>
      <w:r w:rsidRPr="00B259FB">
        <w:rPr>
          <w:rFonts w:cs="Times"/>
          <w:sz w:val="20"/>
          <w:szCs w:val="20"/>
        </w:rPr>
        <w:t xml:space="preserve"> gesammelt und von dort </w:t>
      </w:r>
      <w:r>
        <w:rPr>
          <w:rFonts w:cs="Times"/>
          <w:sz w:val="20"/>
          <w:szCs w:val="20"/>
        </w:rPr>
        <w:t>für</w:t>
      </w:r>
      <w:r w:rsidRPr="00B259FB">
        <w:rPr>
          <w:rFonts w:cs="Times"/>
          <w:sz w:val="20"/>
          <w:szCs w:val="20"/>
        </w:rPr>
        <w:t xml:space="preserve"> die zentrale Berichterstattung </w:t>
      </w:r>
      <w:r>
        <w:rPr>
          <w:rFonts w:cs="Times"/>
          <w:sz w:val="20"/>
          <w:szCs w:val="20"/>
        </w:rPr>
        <w:t>der</w:t>
      </w:r>
      <w:r w:rsidRPr="00B259FB">
        <w:rPr>
          <w:rFonts w:cs="Times"/>
          <w:sz w:val="20"/>
          <w:szCs w:val="20"/>
        </w:rPr>
        <w:t xml:space="preserve"> USA insgesamt weitergegeben.</w:t>
      </w:r>
    </w:p>
  </w:footnote>
  <w:footnote w:id="49">
    <w:p w14:paraId="6C172990" w14:textId="03EC19F0" w:rsidR="00617CD2" w:rsidRDefault="00617CD2" w:rsidP="00FE78E0">
      <w:pPr>
        <w:pStyle w:val="Funotentext"/>
        <w:ind w:left="284" w:hanging="284"/>
      </w:pPr>
      <w:r>
        <w:rPr>
          <w:rStyle w:val="Funotenzeichen"/>
        </w:rPr>
        <w:footnoteRef/>
      </w:r>
      <w:r>
        <w:t xml:space="preserve"> </w:t>
      </w:r>
      <w:r>
        <w:tab/>
      </w:r>
      <w:r w:rsidRPr="00FE78E0">
        <w:rPr>
          <w:sz w:val="18"/>
          <w:szCs w:val="18"/>
        </w:rPr>
        <w:t>„The Gazette“ stellt z. B. in einem Bericht unter dem Titel „</w:t>
      </w:r>
      <w:r w:rsidRPr="00FE78E0">
        <w:rPr>
          <w:rFonts w:cs="RobotoCondensed-Regular"/>
          <w:color w:val="0E0E0E"/>
          <w:sz w:val="18"/>
          <w:szCs w:val="18"/>
        </w:rPr>
        <w:t xml:space="preserve">Colorado State Patrol: Legal marijuana brought 'new era' of DUI arrests in 2014“ dar, dass ein Jahr nach Beginn des </w:t>
      </w:r>
      <w:r>
        <w:rPr>
          <w:rFonts w:cs="RobotoCondensed-Regular"/>
          <w:color w:val="0E0E0E"/>
          <w:sz w:val="18"/>
          <w:szCs w:val="18"/>
        </w:rPr>
        <w:t>Regulierung</w:t>
      </w:r>
      <w:r w:rsidRPr="00FE78E0">
        <w:rPr>
          <w:rFonts w:cs="RobotoCondensed-Regular"/>
          <w:color w:val="0E0E0E"/>
          <w:sz w:val="18"/>
          <w:szCs w:val="18"/>
        </w:rPr>
        <w:t>sprozesses 2014 auf den Straßen Col</w:t>
      </w:r>
      <w:r w:rsidRPr="00FE78E0">
        <w:rPr>
          <w:rFonts w:cs="RobotoCondensed-Regular"/>
          <w:color w:val="0E0E0E"/>
          <w:sz w:val="18"/>
          <w:szCs w:val="18"/>
        </w:rPr>
        <w:t>o</w:t>
      </w:r>
      <w:r w:rsidRPr="00FE78E0">
        <w:rPr>
          <w:rFonts w:cs="RobotoCondensed-Regular"/>
          <w:color w:val="0E0E0E"/>
          <w:sz w:val="18"/>
          <w:szCs w:val="18"/>
        </w:rPr>
        <w:t xml:space="preserve">rados </w:t>
      </w:r>
      <w:r w:rsidRPr="00FE78E0">
        <w:rPr>
          <w:rFonts w:cs="Georgia"/>
          <w:sz w:val="18"/>
          <w:szCs w:val="18"/>
        </w:rPr>
        <w:t>5500 Ordnungsstrafen für das Fahren unter Alkohol und anderen Drogen ausgesprochen wurden, darunter 354 für Fahrer, die nur Marihuana konsumiert hatten. Dies entspricht einem Anteil von 6,4 % Marihuana-Konsumenten an der Gesamtzahl der ausgesprochenen Strafen und steht damit in keinem Bezug zu der publizie</w:t>
      </w:r>
      <w:r w:rsidRPr="00FE78E0">
        <w:rPr>
          <w:rFonts w:cs="Georgia"/>
          <w:sz w:val="18"/>
          <w:szCs w:val="18"/>
        </w:rPr>
        <w:t>r</w:t>
      </w:r>
      <w:r w:rsidRPr="00FE78E0">
        <w:rPr>
          <w:rFonts w:cs="Georgia"/>
          <w:sz w:val="18"/>
          <w:szCs w:val="18"/>
        </w:rPr>
        <w:t>ten Überschrift (vgl. Cloos 2015).</w:t>
      </w:r>
    </w:p>
  </w:footnote>
  <w:footnote w:id="50">
    <w:p w14:paraId="56B09AEB" w14:textId="69DCB57C" w:rsidR="00617CD2" w:rsidRDefault="00617CD2" w:rsidP="004F7C74">
      <w:pPr>
        <w:pStyle w:val="Funotentext"/>
        <w:ind w:left="284" w:hanging="284"/>
      </w:pPr>
      <w:r>
        <w:rPr>
          <w:rStyle w:val="Funotenzeichen"/>
        </w:rPr>
        <w:footnoteRef/>
      </w:r>
      <w:r>
        <w:t xml:space="preserve"> </w:t>
      </w:r>
      <w:r>
        <w:tab/>
      </w:r>
      <w:r w:rsidRPr="0059171C">
        <w:rPr>
          <w:sz w:val="20"/>
          <w:szCs w:val="20"/>
        </w:rPr>
        <w:t xml:space="preserve">Die U.S.-amerikanische Bevölkerung wuchs zwischen 2004 und 2014 um 10 %. Deshalb sind Angaben in absoluten Zahlen für diesen Zeitraum nur bedingt aussagefähig. </w:t>
      </w:r>
      <w:r w:rsidRPr="0059171C">
        <w:rPr>
          <w:rFonts w:ascii="Times New Roman" w:hAnsi="Times New Roman"/>
          <w:sz w:val="20"/>
          <w:szCs w:val="20"/>
        </w:rPr>
        <w:t>Mit Blick auf sich verän</w:t>
      </w:r>
      <w:r>
        <w:rPr>
          <w:rFonts w:ascii="Times New Roman" w:hAnsi="Times New Roman"/>
          <w:sz w:val="20"/>
          <w:szCs w:val="20"/>
        </w:rPr>
        <w:t>dernde</w:t>
      </w:r>
      <w:r w:rsidRPr="0059171C">
        <w:rPr>
          <w:rFonts w:ascii="Times New Roman" w:hAnsi="Times New Roman"/>
          <w:sz w:val="20"/>
          <w:szCs w:val="20"/>
        </w:rPr>
        <w:t xml:space="preserve"> B</w:t>
      </w:r>
      <w:r w:rsidRPr="0059171C">
        <w:rPr>
          <w:rFonts w:ascii="Times New Roman" w:hAnsi="Times New Roman"/>
          <w:sz w:val="20"/>
          <w:szCs w:val="20"/>
        </w:rPr>
        <w:t>e</w:t>
      </w:r>
      <w:r w:rsidRPr="0059171C">
        <w:rPr>
          <w:rFonts w:ascii="Times New Roman" w:hAnsi="Times New Roman"/>
          <w:sz w:val="20"/>
          <w:szCs w:val="20"/>
        </w:rPr>
        <w:t xml:space="preserve">völkerungszahlen ermöglichen Raten pro 100.000 Einwohner, die älter als 12 Jahre alt </w:t>
      </w:r>
      <w:r>
        <w:rPr>
          <w:rFonts w:ascii="Times New Roman" w:hAnsi="Times New Roman"/>
          <w:sz w:val="20"/>
          <w:szCs w:val="20"/>
        </w:rPr>
        <w:t xml:space="preserve">sind, </w:t>
      </w:r>
      <w:r w:rsidRPr="0059171C">
        <w:rPr>
          <w:rFonts w:ascii="Times New Roman" w:hAnsi="Times New Roman"/>
          <w:sz w:val="20"/>
          <w:szCs w:val="20"/>
        </w:rPr>
        <w:t>ein realitätsg</w:t>
      </w:r>
      <w:r w:rsidRPr="0059171C">
        <w:rPr>
          <w:rFonts w:ascii="Times New Roman" w:hAnsi="Times New Roman"/>
          <w:sz w:val="20"/>
          <w:szCs w:val="20"/>
        </w:rPr>
        <w:t>e</w:t>
      </w:r>
      <w:r w:rsidRPr="0059171C">
        <w:rPr>
          <w:rFonts w:ascii="Times New Roman" w:hAnsi="Times New Roman"/>
          <w:sz w:val="20"/>
          <w:szCs w:val="20"/>
        </w:rPr>
        <w:t>rechteres Urteil.</w:t>
      </w:r>
    </w:p>
  </w:footnote>
  <w:footnote w:id="51">
    <w:p w14:paraId="5FC55EE2" w14:textId="74DEA11C" w:rsidR="00617CD2" w:rsidRPr="00443646" w:rsidRDefault="00617CD2" w:rsidP="00EC769C">
      <w:pPr>
        <w:pStyle w:val="KeinLeerraum"/>
        <w:ind w:left="284" w:hanging="284"/>
        <w:jc w:val="both"/>
        <w:rPr>
          <w:sz w:val="20"/>
          <w:szCs w:val="20"/>
        </w:rPr>
      </w:pPr>
      <w:r>
        <w:rPr>
          <w:rStyle w:val="Funotenzeichen"/>
        </w:rPr>
        <w:footnoteRef/>
      </w:r>
      <w:r>
        <w:rPr>
          <w:sz w:val="20"/>
          <w:szCs w:val="20"/>
        </w:rPr>
        <w:tab/>
      </w:r>
      <w:r w:rsidRPr="00443646">
        <w:rPr>
          <w:sz w:val="20"/>
          <w:szCs w:val="20"/>
        </w:rPr>
        <w:t>Um in diesem Datenbanksystem als Klient aufgenommen zu werden, müssen die Persone</w:t>
      </w:r>
      <w:r>
        <w:rPr>
          <w:sz w:val="20"/>
          <w:szCs w:val="20"/>
        </w:rPr>
        <w:t>n folgende Kriterien erfüllen: E</w:t>
      </w:r>
      <w:r w:rsidRPr="00443646">
        <w:rPr>
          <w:sz w:val="20"/>
          <w:szCs w:val="20"/>
        </w:rPr>
        <w:t>rstens ein Problem mit dem Konsum von Alkohol oder einer anderen psycho</w:t>
      </w:r>
      <w:r>
        <w:rPr>
          <w:sz w:val="20"/>
          <w:szCs w:val="20"/>
        </w:rPr>
        <w:t>-</w:t>
      </w:r>
      <w:r w:rsidRPr="00443646">
        <w:rPr>
          <w:sz w:val="20"/>
          <w:szCs w:val="20"/>
        </w:rPr>
        <w:t>aktiven Substanz haben, zweitens einen kompletten Prozess der Anamnese und der Aufnahme in die Behandlung durchlaufen haben, drittens auch formal  von der jeweiligen Behandlungseinrichtung als Patient akzeptiert worden sein (vor allem mit Blick auf die Finanzierung der Leistungen) und viertens nunmehr über eigene Behandlungsunterlagen verfügen (vgl. Substance Abuse and Mental Health Se</w:t>
      </w:r>
      <w:r w:rsidRPr="00443646">
        <w:rPr>
          <w:sz w:val="20"/>
          <w:szCs w:val="20"/>
        </w:rPr>
        <w:t>r</w:t>
      </w:r>
      <w:r w:rsidRPr="00443646">
        <w:rPr>
          <w:sz w:val="20"/>
          <w:szCs w:val="20"/>
        </w:rPr>
        <w:t xml:space="preserve">vices Administration, Center for Behavioral Health Statistics and Quality. </w:t>
      </w:r>
      <w:r w:rsidRPr="00443646">
        <w:rPr>
          <w:iCs/>
          <w:sz w:val="20"/>
          <w:szCs w:val="20"/>
        </w:rPr>
        <w:t xml:space="preserve">Treatment Episode Data Set (TEDS) 2014, S. </w:t>
      </w:r>
      <w:r w:rsidRPr="00443646">
        <w:rPr>
          <w:sz w:val="20"/>
          <w:szCs w:val="20"/>
        </w:rPr>
        <w:t>209).</w:t>
      </w:r>
    </w:p>
  </w:footnote>
  <w:footnote w:id="52">
    <w:p w14:paraId="205FC266" w14:textId="3BB9C536" w:rsidR="00617CD2" w:rsidRPr="004F7C74" w:rsidRDefault="00617CD2" w:rsidP="00EC769C">
      <w:pPr>
        <w:pStyle w:val="KeinLeerraum"/>
        <w:ind w:left="284" w:hanging="284"/>
        <w:jc w:val="both"/>
        <w:rPr>
          <w:sz w:val="20"/>
          <w:szCs w:val="20"/>
        </w:rPr>
      </w:pPr>
      <w:r w:rsidRPr="00443646">
        <w:rPr>
          <w:rStyle w:val="Funotenzeichen"/>
          <w:sz w:val="20"/>
          <w:szCs w:val="20"/>
        </w:rPr>
        <w:footnoteRef/>
      </w:r>
      <w:r>
        <w:rPr>
          <w:sz w:val="18"/>
          <w:szCs w:val="18"/>
        </w:rPr>
        <w:tab/>
      </w:r>
      <w:r w:rsidRPr="004F7C74">
        <w:rPr>
          <w:sz w:val="20"/>
          <w:szCs w:val="20"/>
        </w:rPr>
        <w:t>Die Behandlungsrate für substanzbezogene Stö</w:t>
      </w:r>
      <w:r>
        <w:rPr>
          <w:sz w:val="20"/>
          <w:szCs w:val="20"/>
        </w:rPr>
        <w:t>rungen in der B</w:t>
      </w:r>
      <w:r w:rsidRPr="004F7C74">
        <w:rPr>
          <w:sz w:val="20"/>
          <w:szCs w:val="20"/>
        </w:rPr>
        <w:t>evölkerung (12 Jahre und älter) war 2004 mehr al</w:t>
      </w:r>
      <w:r>
        <w:rPr>
          <w:sz w:val="20"/>
          <w:szCs w:val="20"/>
        </w:rPr>
        <w:t>s 19 % höher (729 Fälle pro 100.</w:t>
      </w:r>
      <w:r w:rsidRPr="004F7C74">
        <w:rPr>
          <w:sz w:val="20"/>
          <w:szCs w:val="20"/>
        </w:rPr>
        <w:t xml:space="preserve">000 Einwohner) als </w:t>
      </w:r>
      <w:r>
        <w:rPr>
          <w:sz w:val="20"/>
          <w:szCs w:val="20"/>
        </w:rPr>
        <w:t>im Jahr 2014 (591 Fälle pro 100.</w:t>
      </w:r>
      <w:r w:rsidRPr="004F7C74">
        <w:rPr>
          <w:sz w:val="20"/>
          <w:szCs w:val="20"/>
        </w:rPr>
        <w:t>000 Einwohner).  Die Hintergründe dafür müssen offen bleiben, weil nicht geklärt werden kann, wieweit z. B. Veränderungen im System der Krankenversicherungen daran Anteil haben.</w:t>
      </w:r>
    </w:p>
  </w:footnote>
  <w:footnote w:id="53">
    <w:p w14:paraId="6630E884" w14:textId="12906268" w:rsidR="00617CD2" w:rsidRPr="004F7C74" w:rsidRDefault="00617CD2" w:rsidP="00EC769C">
      <w:pPr>
        <w:pStyle w:val="Funotentext"/>
        <w:ind w:left="284" w:hanging="284"/>
        <w:jc w:val="both"/>
        <w:rPr>
          <w:sz w:val="20"/>
          <w:szCs w:val="20"/>
        </w:rPr>
      </w:pPr>
      <w:r w:rsidRPr="004F7C74">
        <w:rPr>
          <w:rStyle w:val="Funotenzeichen"/>
          <w:sz w:val="20"/>
          <w:szCs w:val="20"/>
        </w:rPr>
        <w:footnoteRef/>
      </w:r>
      <w:r w:rsidRPr="004F7C74">
        <w:rPr>
          <w:sz w:val="20"/>
          <w:szCs w:val="20"/>
        </w:rPr>
        <w:t xml:space="preserve"> </w:t>
      </w:r>
      <w:r w:rsidRPr="004F7C74">
        <w:rPr>
          <w:sz w:val="20"/>
          <w:szCs w:val="20"/>
        </w:rPr>
        <w:tab/>
        <w:t>Weil es auch Wechsel in den jeweils gewählten Settings gibt (z. B. von Intensiv-Care  zu normalen a</w:t>
      </w:r>
      <w:r w:rsidRPr="004F7C74">
        <w:rPr>
          <w:sz w:val="20"/>
          <w:szCs w:val="20"/>
        </w:rPr>
        <w:t>m</w:t>
      </w:r>
      <w:r w:rsidRPr="004F7C74">
        <w:rPr>
          <w:sz w:val="20"/>
          <w:szCs w:val="20"/>
        </w:rPr>
        <w:t>bulanten Regimes</w:t>
      </w:r>
      <w:r>
        <w:rPr>
          <w:sz w:val="20"/>
          <w:szCs w:val="20"/>
        </w:rPr>
        <w:t>)</w:t>
      </w:r>
      <w:r w:rsidRPr="004F7C74">
        <w:rPr>
          <w:sz w:val="20"/>
          <w:szCs w:val="20"/>
        </w:rPr>
        <w:t xml:space="preserve"> sind die Prozentzahlen in der Summe nicht 100 % (vgl. TEDS 2016, S. 43). </w:t>
      </w:r>
    </w:p>
  </w:footnote>
  <w:footnote w:id="54">
    <w:p w14:paraId="5CF499CA" w14:textId="13689FE0" w:rsidR="00617CD2" w:rsidRPr="004F7C74" w:rsidRDefault="00617CD2" w:rsidP="00EC769C">
      <w:pPr>
        <w:pStyle w:val="KeinLeerraum"/>
        <w:ind w:left="284" w:hanging="284"/>
        <w:jc w:val="both"/>
        <w:rPr>
          <w:sz w:val="20"/>
          <w:szCs w:val="20"/>
        </w:rPr>
      </w:pPr>
      <w:r w:rsidRPr="004F7C74">
        <w:rPr>
          <w:rStyle w:val="Funotenzeichen"/>
          <w:sz w:val="20"/>
          <w:szCs w:val="20"/>
        </w:rPr>
        <w:footnoteRef/>
      </w:r>
      <w:r w:rsidRPr="004F7C74">
        <w:rPr>
          <w:sz w:val="20"/>
          <w:szCs w:val="20"/>
        </w:rPr>
        <w:t xml:space="preserve"> </w:t>
      </w:r>
      <w:r w:rsidRPr="004F7C74">
        <w:rPr>
          <w:sz w:val="20"/>
          <w:szCs w:val="20"/>
        </w:rPr>
        <w:tab/>
        <w:t>Die Relevanz dieser Einschätzung wird unterstrichen, wenn man die prozentualen Anteile der Alter</w:t>
      </w:r>
      <w:r w:rsidRPr="004F7C74">
        <w:rPr>
          <w:sz w:val="20"/>
          <w:szCs w:val="20"/>
        </w:rPr>
        <w:t>s</w:t>
      </w:r>
      <w:r w:rsidRPr="004F7C74">
        <w:rPr>
          <w:sz w:val="20"/>
          <w:szCs w:val="20"/>
        </w:rPr>
        <w:t>gruppen an den Behandlungen in Bezug setzt zu deren Anteilen an der Gesamtbevölkerung: Während 2014 die Gruppe der 12-17</w:t>
      </w:r>
      <w:r>
        <w:rPr>
          <w:sz w:val="20"/>
          <w:szCs w:val="20"/>
        </w:rPr>
        <w:t>-</w:t>
      </w:r>
      <w:r w:rsidRPr="004F7C74">
        <w:rPr>
          <w:sz w:val="20"/>
          <w:szCs w:val="20"/>
        </w:rPr>
        <w:t xml:space="preserve">Jährigen einen Anteil von 9 % an der Gesamtbevölkerung der USA hatte, betrug deren Anteil an den Behandlungsfällen </w:t>
      </w:r>
      <w:r>
        <w:rPr>
          <w:sz w:val="20"/>
          <w:szCs w:val="20"/>
        </w:rPr>
        <w:t xml:space="preserve">nur </w:t>
      </w:r>
      <w:r w:rsidRPr="004F7C74">
        <w:rPr>
          <w:sz w:val="20"/>
          <w:szCs w:val="20"/>
        </w:rPr>
        <w:t>5 %; die Gruppe der 18-44</w:t>
      </w:r>
      <w:r>
        <w:rPr>
          <w:sz w:val="20"/>
          <w:szCs w:val="20"/>
        </w:rPr>
        <w:t>-</w:t>
      </w:r>
      <w:r w:rsidRPr="004F7C74">
        <w:rPr>
          <w:sz w:val="20"/>
          <w:szCs w:val="20"/>
        </w:rPr>
        <w:t>Jährigen hatte einen A</w:t>
      </w:r>
      <w:r w:rsidRPr="004F7C74">
        <w:rPr>
          <w:sz w:val="20"/>
          <w:szCs w:val="20"/>
        </w:rPr>
        <w:t>n</w:t>
      </w:r>
      <w:r w:rsidRPr="004F7C74">
        <w:rPr>
          <w:sz w:val="20"/>
          <w:szCs w:val="20"/>
        </w:rPr>
        <w:t xml:space="preserve">teil von 43 % an der Gesamtbevölkerung, war aber an den Behandlungsfällen mit 69 % </w:t>
      </w:r>
      <w:r>
        <w:rPr>
          <w:sz w:val="20"/>
          <w:szCs w:val="20"/>
        </w:rPr>
        <w:t>überproporti</w:t>
      </w:r>
      <w:r>
        <w:rPr>
          <w:sz w:val="20"/>
          <w:szCs w:val="20"/>
        </w:rPr>
        <w:t>o</w:t>
      </w:r>
      <w:r>
        <w:rPr>
          <w:sz w:val="20"/>
          <w:szCs w:val="20"/>
        </w:rPr>
        <w:t xml:space="preserve">nal </w:t>
      </w:r>
      <w:r w:rsidRPr="004F7C74">
        <w:rPr>
          <w:sz w:val="20"/>
          <w:szCs w:val="20"/>
        </w:rPr>
        <w:t>beteiligt; die Gruppe derjenigen, die älter als 45 Jahre waren, hatte an der Gesamtbevölkerung e</w:t>
      </w:r>
      <w:r w:rsidRPr="004F7C74">
        <w:rPr>
          <w:sz w:val="20"/>
          <w:szCs w:val="20"/>
        </w:rPr>
        <w:t>i</w:t>
      </w:r>
      <w:r w:rsidRPr="004F7C74">
        <w:rPr>
          <w:sz w:val="20"/>
          <w:szCs w:val="20"/>
        </w:rPr>
        <w:t>nen Anteil von 48 %, an der</w:t>
      </w:r>
      <w:r>
        <w:rPr>
          <w:sz w:val="20"/>
          <w:szCs w:val="20"/>
        </w:rPr>
        <w:t xml:space="preserve"> Zahl der Behandlungsfälle war</w:t>
      </w:r>
      <w:r w:rsidRPr="004F7C74">
        <w:rPr>
          <w:sz w:val="20"/>
          <w:szCs w:val="20"/>
        </w:rPr>
        <w:t xml:space="preserve"> sie allerdings nur mit 26 % beteiligt (TEDS 2016, S. 10)</w:t>
      </w:r>
      <w:r>
        <w:rPr>
          <w:sz w:val="20"/>
          <w:szCs w:val="20"/>
        </w:rPr>
        <w:t>.</w:t>
      </w:r>
    </w:p>
  </w:footnote>
  <w:footnote w:id="55">
    <w:p w14:paraId="2EBCCC80" w14:textId="77777777" w:rsidR="00617CD2" w:rsidRPr="001D3CBA" w:rsidRDefault="00617CD2" w:rsidP="001D3CBA">
      <w:pPr>
        <w:pStyle w:val="KeinLeerraum"/>
        <w:ind w:left="284" w:hanging="284"/>
        <w:jc w:val="both"/>
        <w:rPr>
          <w:sz w:val="20"/>
          <w:szCs w:val="20"/>
        </w:rPr>
      </w:pPr>
      <w:r w:rsidRPr="004F7C74">
        <w:rPr>
          <w:rStyle w:val="Funotenzeichen"/>
          <w:sz w:val="20"/>
          <w:szCs w:val="20"/>
        </w:rPr>
        <w:footnoteRef/>
      </w:r>
      <w:r w:rsidRPr="004F7C74">
        <w:rPr>
          <w:sz w:val="20"/>
          <w:szCs w:val="20"/>
        </w:rPr>
        <w:tab/>
      </w:r>
      <w:r w:rsidRPr="001D3CBA">
        <w:rPr>
          <w:sz w:val="20"/>
          <w:szCs w:val="20"/>
        </w:rPr>
        <w:t>Die Bevölkerung der USA ist in den letzten Jahren insbesondere durch die Erwanderung junger Me</w:t>
      </w:r>
      <w:r w:rsidRPr="001D3CBA">
        <w:rPr>
          <w:sz w:val="20"/>
          <w:szCs w:val="20"/>
        </w:rPr>
        <w:t>n</w:t>
      </w:r>
      <w:r w:rsidRPr="001D3CBA">
        <w:rPr>
          <w:sz w:val="20"/>
          <w:szCs w:val="20"/>
        </w:rPr>
        <w:t>schen um 10 % gewachsen (vgl. TEDS 2015, S. 6), weshalb eine sinkende Zahl von Personen dieser A</w:t>
      </w:r>
      <w:r w:rsidRPr="001D3CBA">
        <w:rPr>
          <w:sz w:val="20"/>
          <w:szCs w:val="20"/>
        </w:rPr>
        <w:t>l</w:t>
      </w:r>
      <w:r w:rsidRPr="001D3CBA">
        <w:rPr>
          <w:sz w:val="20"/>
          <w:szCs w:val="20"/>
        </w:rPr>
        <w:t xml:space="preserve">tersgruppe diese Entwicklungen nicht erklären kann. </w:t>
      </w:r>
    </w:p>
  </w:footnote>
  <w:footnote w:id="56">
    <w:p w14:paraId="00BDFE4D" w14:textId="77777777" w:rsidR="00617CD2" w:rsidRPr="001D3CBA" w:rsidRDefault="00617CD2" w:rsidP="001D3CBA">
      <w:pPr>
        <w:pStyle w:val="Funotentext"/>
        <w:ind w:left="284" w:hanging="284"/>
        <w:jc w:val="both"/>
        <w:rPr>
          <w:sz w:val="20"/>
          <w:szCs w:val="20"/>
        </w:rPr>
      </w:pPr>
      <w:r w:rsidRPr="001D3CBA">
        <w:rPr>
          <w:rStyle w:val="Funotenzeichen"/>
          <w:sz w:val="20"/>
          <w:szCs w:val="20"/>
        </w:rPr>
        <w:footnoteRef/>
      </w:r>
      <w:r w:rsidRPr="001D3CBA">
        <w:rPr>
          <w:sz w:val="20"/>
          <w:szCs w:val="20"/>
        </w:rPr>
        <w:t xml:space="preserve"> </w:t>
      </w:r>
      <w:r>
        <w:rPr>
          <w:sz w:val="20"/>
          <w:szCs w:val="20"/>
        </w:rPr>
        <w:tab/>
      </w:r>
      <w:r w:rsidRPr="001D3CBA">
        <w:rPr>
          <w:sz w:val="20"/>
          <w:szCs w:val="20"/>
        </w:rPr>
        <w:t>2012 war problematischer Marihuana-Konsum für 78 % der 12-14-Jährigen und für 76 % der 15-17-Jährigen das Hauptproblem, für das Behandlungen durchgeführt wurden.</w:t>
      </w:r>
    </w:p>
  </w:footnote>
  <w:footnote w:id="57">
    <w:p w14:paraId="44297696" w14:textId="1F1F2C5B" w:rsidR="00617CD2" w:rsidRPr="00947B32" w:rsidRDefault="00617CD2" w:rsidP="001D3CBA">
      <w:pPr>
        <w:pStyle w:val="KeinLeerraum"/>
        <w:ind w:left="284" w:hanging="284"/>
        <w:jc w:val="both"/>
        <w:rPr>
          <w:sz w:val="20"/>
          <w:szCs w:val="20"/>
        </w:rPr>
      </w:pPr>
      <w:r w:rsidRPr="001D3CBA">
        <w:rPr>
          <w:rStyle w:val="Funotenzeichen"/>
          <w:sz w:val="20"/>
          <w:szCs w:val="20"/>
        </w:rPr>
        <w:footnoteRef/>
      </w:r>
      <w:r w:rsidRPr="001D3CBA">
        <w:rPr>
          <w:sz w:val="20"/>
          <w:szCs w:val="20"/>
        </w:rPr>
        <w:tab/>
        <w:t>Der Vergleich mit der Gesamtzahl von Therapien, die als Erst- und Zweitsubstanzkonsum Marihuana umfassen, ließ sich für 2014 im vorgelegten Bericht nicht ermitteln.</w:t>
      </w:r>
      <w:r w:rsidRPr="00947B32">
        <w:rPr>
          <w:sz w:val="20"/>
          <w:szCs w:val="20"/>
        </w:rPr>
        <w:t xml:space="preserve"> </w:t>
      </w:r>
    </w:p>
  </w:footnote>
  <w:footnote w:id="58">
    <w:p w14:paraId="32C4E723" w14:textId="464BE5EF" w:rsidR="00617CD2" w:rsidRPr="004F7C74" w:rsidRDefault="00617CD2" w:rsidP="003E5C25">
      <w:pPr>
        <w:pStyle w:val="KeinLeerraum"/>
        <w:ind w:left="284" w:hanging="284"/>
        <w:rPr>
          <w:sz w:val="20"/>
          <w:szCs w:val="20"/>
        </w:rPr>
      </w:pPr>
      <w:r>
        <w:rPr>
          <w:rStyle w:val="Funotenzeichen"/>
        </w:rPr>
        <w:footnoteRef/>
      </w:r>
      <w:r>
        <w:t xml:space="preserve"> </w:t>
      </w:r>
      <w:r>
        <w:tab/>
      </w:r>
      <w:r w:rsidRPr="00636F21">
        <w:rPr>
          <w:sz w:val="20"/>
          <w:szCs w:val="20"/>
        </w:rPr>
        <w:t>Die Besonderheit, dass eine Behandlungsaufnahme wegen pr</w:t>
      </w:r>
      <w:r>
        <w:rPr>
          <w:sz w:val="20"/>
          <w:szCs w:val="20"/>
        </w:rPr>
        <w:t xml:space="preserve">oblematischen Marihuana-Konsums, </w:t>
      </w:r>
      <w:r w:rsidRPr="00636F21">
        <w:rPr>
          <w:sz w:val="20"/>
          <w:szCs w:val="20"/>
        </w:rPr>
        <w:t>weit weniger als bei anderen Substanz</w:t>
      </w:r>
      <w:r>
        <w:rPr>
          <w:sz w:val="20"/>
          <w:szCs w:val="20"/>
        </w:rPr>
        <w:t>konsum</w:t>
      </w:r>
      <w:r w:rsidRPr="00636F21">
        <w:rPr>
          <w:sz w:val="20"/>
          <w:szCs w:val="20"/>
        </w:rPr>
        <w:t>störungen</w:t>
      </w:r>
      <w:r>
        <w:rPr>
          <w:sz w:val="20"/>
          <w:szCs w:val="20"/>
        </w:rPr>
        <w:t>,</w:t>
      </w:r>
      <w:r w:rsidRPr="00636F21">
        <w:rPr>
          <w:sz w:val="20"/>
          <w:szCs w:val="20"/>
        </w:rPr>
        <w:t xml:space="preserve"> selbstinitiiert oder durch andere Einzelpersonen </w:t>
      </w:r>
      <w:r w:rsidRPr="004F7C74">
        <w:rPr>
          <w:sz w:val="20"/>
          <w:szCs w:val="20"/>
        </w:rPr>
        <w:t>angeregt wurde, zeigt sich auch bei der Gesamtzahl der Behandlungsfälle. Im Jahr 2014 wurden be</w:t>
      </w:r>
      <w:r w:rsidRPr="004F7C74">
        <w:rPr>
          <w:sz w:val="20"/>
          <w:szCs w:val="20"/>
        </w:rPr>
        <w:t>i</w:t>
      </w:r>
      <w:r w:rsidRPr="004F7C74">
        <w:rPr>
          <w:sz w:val="20"/>
          <w:szCs w:val="20"/>
        </w:rPr>
        <w:t>spielsweise 52 % aller Behandlungen durch Gerichte oder andere Strafinstanzen angeordnet (vgl. TEDS 2016, S. 22).</w:t>
      </w:r>
    </w:p>
  </w:footnote>
  <w:footnote w:id="59">
    <w:p w14:paraId="2DD5E090" w14:textId="6C410F0D" w:rsidR="00617CD2" w:rsidRPr="00F142DD" w:rsidRDefault="00617CD2" w:rsidP="00A11A59">
      <w:pPr>
        <w:widowControl w:val="0"/>
        <w:numPr>
          <w:ilvl w:val="0"/>
          <w:numId w:val="1"/>
        </w:numPr>
        <w:tabs>
          <w:tab w:val="left" w:pos="284"/>
        </w:tabs>
        <w:autoSpaceDE w:val="0"/>
        <w:autoSpaceDN w:val="0"/>
        <w:adjustRightInd w:val="0"/>
        <w:spacing w:after="240"/>
        <w:ind w:left="284" w:hanging="284"/>
      </w:pPr>
      <w:r>
        <w:rPr>
          <w:rStyle w:val="Funotenzeichen"/>
        </w:rPr>
        <w:footnoteRef/>
      </w:r>
      <w:r>
        <w:t xml:space="preserve"> </w:t>
      </w:r>
      <w:r>
        <w:tab/>
      </w:r>
      <w:r w:rsidRPr="00A11A59">
        <w:rPr>
          <w:sz w:val="18"/>
          <w:szCs w:val="18"/>
        </w:rPr>
        <w:t>Die Diagnose „substanzbezogene Störung“ wird in diesem Bericht entlang der Diagnosekriterien des DSM-4 g</w:t>
      </w:r>
      <w:r w:rsidRPr="00A11A59">
        <w:rPr>
          <w:sz w:val="18"/>
          <w:szCs w:val="18"/>
        </w:rPr>
        <w:t>e</w:t>
      </w:r>
      <w:r w:rsidRPr="00A11A59">
        <w:rPr>
          <w:sz w:val="18"/>
          <w:szCs w:val="18"/>
        </w:rPr>
        <w:t xml:space="preserve">stellt (vgl. </w:t>
      </w:r>
      <w:r w:rsidRPr="00A11A59">
        <w:rPr>
          <w:rFonts w:cs="Times"/>
          <w:sz w:val="18"/>
          <w:szCs w:val="18"/>
        </w:rPr>
        <w:t>American Psychiatric Association 1994).</w:t>
      </w:r>
      <w:r w:rsidRPr="00F142DD">
        <w:rPr>
          <w:rFonts w:ascii="Times" w:hAnsi="Times" w:cs="Times"/>
          <w:sz w:val="24"/>
        </w:rPr>
        <w:t xml:space="preserve"> </w:t>
      </w:r>
    </w:p>
  </w:footnote>
  <w:footnote w:id="60">
    <w:p w14:paraId="5F5CE2B0" w14:textId="3031CD28" w:rsidR="00617CD2" w:rsidRDefault="00617CD2" w:rsidP="00B05E62">
      <w:pPr>
        <w:pStyle w:val="Funotentext"/>
        <w:ind w:left="284" w:hanging="284"/>
      </w:pPr>
      <w:r>
        <w:rPr>
          <w:rStyle w:val="Funotenzeichen"/>
        </w:rPr>
        <w:footnoteRef/>
      </w:r>
      <w:r>
        <w:rPr>
          <w:szCs w:val="22"/>
        </w:rPr>
        <w:tab/>
      </w:r>
      <w:r w:rsidRPr="00B05E62">
        <w:rPr>
          <w:sz w:val="20"/>
          <w:szCs w:val="20"/>
        </w:rPr>
        <w:t>Diese Altersgruppe kann zumindest von einer medizinischen Vergabe von Marihuana profitieren und sich in gewisser Weise einer Strafverfolgung entziehen.</w:t>
      </w:r>
      <w:r>
        <w:rPr>
          <w:szCs w:val="22"/>
        </w:rPr>
        <w:t xml:space="preserve"> </w:t>
      </w:r>
    </w:p>
  </w:footnote>
  <w:footnote w:id="61">
    <w:p w14:paraId="43D3ED68" w14:textId="1459B8F0" w:rsidR="00617CD2" w:rsidRDefault="00617CD2" w:rsidP="00B01A7A">
      <w:pPr>
        <w:pStyle w:val="Funotentext"/>
        <w:ind w:left="284" w:hanging="284"/>
      </w:pPr>
      <w:r>
        <w:rPr>
          <w:rStyle w:val="Funotenzeichen"/>
        </w:rPr>
        <w:footnoteRef/>
      </w:r>
      <w:r>
        <w:t xml:space="preserve"> </w:t>
      </w:r>
      <w:r>
        <w:tab/>
      </w:r>
      <w:r w:rsidRPr="00B01A7A">
        <w:rPr>
          <w:sz w:val="20"/>
          <w:szCs w:val="20"/>
        </w:rPr>
        <w:t>Lizenzen, die für Produktion, Erzeugung, Handel und Verkauf medizinischen Marihuanas vergeben werden und diesen Teil der Marihuana-Wirtschaft in vielen U.S.-amerikanischen Bundesstaaten b</w:t>
      </w:r>
      <w:r w:rsidRPr="00B01A7A">
        <w:rPr>
          <w:sz w:val="20"/>
          <w:szCs w:val="20"/>
        </w:rPr>
        <w:t>e</w:t>
      </w:r>
      <w:r w:rsidRPr="00B01A7A">
        <w:rPr>
          <w:sz w:val="20"/>
          <w:szCs w:val="20"/>
        </w:rPr>
        <w:t>reits in den 1990er Jahren legalisierten.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58D99" w14:textId="2E81B606" w:rsidR="00617CD2" w:rsidRPr="009D7629" w:rsidRDefault="00617CD2">
    <w:pPr>
      <w:pStyle w:val="Kopfzeile"/>
      <w:rPr>
        <w:sz w:val="18"/>
        <w:szCs w:val="18"/>
      </w:rPr>
    </w:pPr>
    <w:r w:rsidRPr="009D7629">
      <w:rPr>
        <w:noProof/>
        <w:sz w:val="18"/>
        <w:szCs w:val="18"/>
      </w:rPr>
      <mc:AlternateContent>
        <mc:Choice Requires="wps">
          <w:drawing>
            <wp:anchor distT="0" distB="0" distL="114300" distR="114300" simplePos="0" relativeHeight="251659264" behindDoc="0" locked="0" layoutInCell="1" allowOverlap="1" wp14:anchorId="4130DF4B" wp14:editId="13006A83">
              <wp:simplePos x="0" y="0"/>
              <wp:positionH relativeFrom="column">
                <wp:posOffset>0</wp:posOffset>
              </wp:positionH>
              <wp:positionV relativeFrom="paragraph">
                <wp:posOffset>335915</wp:posOffset>
              </wp:positionV>
              <wp:extent cx="5829300" cy="0"/>
              <wp:effectExtent l="0" t="0" r="12700" b="25400"/>
              <wp:wrapNone/>
              <wp:docPr id="17" name="Gerade Verbindung 17"/>
              <wp:cNvGraphicFramePr/>
              <a:graphic xmlns:a="http://schemas.openxmlformats.org/drawingml/2006/main">
                <a:graphicData uri="http://schemas.microsoft.com/office/word/2010/wordprocessingShape">
                  <wps:wsp>
                    <wps:cNvCnPr/>
                    <wps:spPr>
                      <a:xfrm>
                        <a:off x="0" y="0"/>
                        <a:ext cx="5829300" cy="0"/>
                      </a:xfrm>
                      <a:prstGeom prst="line">
                        <a:avLst/>
                      </a:prstGeom>
                      <a:ln>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6.45pt" to="459pt,2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"/>
          </w:pict>
        </mc:Fallback>
      </mc:AlternateContent>
    </w:r>
    <w:r w:rsidRPr="009D7629">
      <w:rPr>
        <w:sz w:val="18"/>
        <w:szCs w:val="18"/>
      </w:rPr>
      <w:t>Prof. Dr. phil. habil. Gundula Barsch</w:t>
    </w:r>
    <w:r w:rsidRPr="009D7629">
      <w:rPr>
        <w:sz w:val="18"/>
        <w:szCs w:val="18"/>
      </w:rPr>
      <w:tab/>
    </w:r>
    <w:r w:rsidRPr="009D7629">
      <w:rPr>
        <w:sz w:val="18"/>
        <w:szCs w:val="18"/>
      </w:rPr>
      <w:tab/>
      <w:t>Dezember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50399"/>
    <w:multiLevelType w:val="hybridMultilevel"/>
    <w:tmpl w:val="64349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F1532B"/>
    <w:multiLevelType w:val="hybridMultilevel"/>
    <w:tmpl w:val="DB6C676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nsid w:val="052167C4"/>
    <w:multiLevelType w:val="hybridMultilevel"/>
    <w:tmpl w:val="9FB08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88B5EC1"/>
    <w:multiLevelType w:val="hybridMultilevel"/>
    <w:tmpl w:val="1D8C04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AEE7E8A"/>
    <w:multiLevelType w:val="hybridMultilevel"/>
    <w:tmpl w:val="B35A1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4D119D"/>
    <w:multiLevelType w:val="hybridMultilevel"/>
    <w:tmpl w:val="FCBAF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3A6128"/>
    <w:multiLevelType w:val="hybridMultilevel"/>
    <w:tmpl w:val="15E2C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4467C6"/>
    <w:multiLevelType w:val="hybridMultilevel"/>
    <w:tmpl w:val="B3987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1450A08"/>
    <w:multiLevelType w:val="hybridMultilevel"/>
    <w:tmpl w:val="F6246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C876C33"/>
    <w:multiLevelType w:val="hybridMultilevel"/>
    <w:tmpl w:val="5DF2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FE408B1"/>
    <w:multiLevelType w:val="hybridMultilevel"/>
    <w:tmpl w:val="5C244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0197A0A"/>
    <w:multiLevelType w:val="hybridMultilevel"/>
    <w:tmpl w:val="523AD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060081D"/>
    <w:multiLevelType w:val="hybridMultilevel"/>
    <w:tmpl w:val="F7121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3870BAE"/>
    <w:multiLevelType w:val="hybridMultilevel"/>
    <w:tmpl w:val="7C7E674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34B96A21"/>
    <w:multiLevelType w:val="hybridMultilevel"/>
    <w:tmpl w:val="707EEC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D2C7E4E"/>
    <w:multiLevelType w:val="hybridMultilevel"/>
    <w:tmpl w:val="AEC2CF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E5B6392"/>
    <w:multiLevelType w:val="hybridMultilevel"/>
    <w:tmpl w:val="3364F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FB013B7"/>
    <w:multiLevelType w:val="hybridMultilevel"/>
    <w:tmpl w:val="24A09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4BE688F"/>
    <w:multiLevelType w:val="hybridMultilevel"/>
    <w:tmpl w:val="22405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82D209F"/>
    <w:multiLevelType w:val="hybridMultilevel"/>
    <w:tmpl w:val="40A2D4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AC94791"/>
    <w:multiLevelType w:val="hybridMultilevel"/>
    <w:tmpl w:val="9BE642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E6E15C6"/>
    <w:multiLevelType w:val="multilevel"/>
    <w:tmpl w:val="FD62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FE84D69"/>
    <w:multiLevelType w:val="multilevel"/>
    <w:tmpl w:val="FD62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7C57450"/>
    <w:multiLevelType w:val="multilevel"/>
    <w:tmpl w:val="FD62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384D06"/>
    <w:multiLevelType w:val="hybridMultilevel"/>
    <w:tmpl w:val="33AEF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13206D2"/>
    <w:multiLevelType w:val="hybridMultilevel"/>
    <w:tmpl w:val="9AB6CF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4C77F7C"/>
    <w:multiLevelType w:val="hybridMultilevel"/>
    <w:tmpl w:val="2252F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538747B"/>
    <w:multiLevelType w:val="hybridMultilevel"/>
    <w:tmpl w:val="C00E8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6BF7642"/>
    <w:multiLevelType w:val="multilevel"/>
    <w:tmpl w:val="68BC7ADA"/>
    <w:lvl w:ilvl="0">
      <w:start w:val="1"/>
      <w:numFmt w:val="decimal"/>
      <w:pStyle w:val="berschrift1"/>
      <w:lvlText w:val="%1"/>
      <w:lvlJc w:val="left"/>
      <w:pPr>
        <w:ind w:left="792" w:hanging="432"/>
      </w:pPr>
    </w:lvl>
    <w:lvl w:ilvl="1">
      <w:start w:val="1"/>
      <w:numFmt w:val="decimal"/>
      <w:pStyle w:val="berschrift2"/>
      <w:lvlText w:val="%1.%2"/>
      <w:lvlJc w:val="left"/>
      <w:pPr>
        <w:ind w:left="936" w:hanging="576"/>
      </w:pPr>
    </w:lvl>
    <w:lvl w:ilvl="2">
      <w:start w:val="1"/>
      <w:numFmt w:val="decimal"/>
      <w:pStyle w:val="berschrift3"/>
      <w:lvlText w:val="%1.%2.%3"/>
      <w:lvlJc w:val="left"/>
      <w:pPr>
        <w:ind w:left="1080" w:hanging="720"/>
      </w:pPr>
    </w:lvl>
    <w:lvl w:ilvl="3">
      <w:start w:val="1"/>
      <w:numFmt w:val="decimal"/>
      <w:pStyle w:val="berschrift4"/>
      <w:lvlText w:val="%1.%2.%3.%4"/>
      <w:lvlJc w:val="left"/>
      <w:pPr>
        <w:ind w:left="1224" w:hanging="864"/>
      </w:pPr>
    </w:lvl>
    <w:lvl w:ilvl="4">
      <w:start w:val="1"/>
      <w:numFmt w:val="decimal"/>
      <w:pStyle w:val="berschrift5"/>
      <w:lvlText w:val="%1.%2.%3.%4.%5"/>
      <w:lvlJc w:val="left"/>
      <w:pPr>
        <w:ind w:left="1368" w:hanging="1008"/>
      </w:pPr>
    </w:lvl>
    <w:lvl w:ilvl="5">
      <w:start w:val="1"/>
      <w:numFmt w:val="decimal"/>
      <w:pStyle w:val="berschrift6"/>
      <w:lvlText w:val="%1.%2.%3.%4.%5.%6"/>
      <w:lvlJc w:val="left"/>
      <w:pPr>
        <w:ind w:left="1512" w:hanging="1152"/>
      </w:pPr>
    </w:lvl>
    <w:lvl w:ilvl="6">
      <w:start w:val="1"/>
      <w:numFmt w:val="decimal"/>
      <w:pStyle w:val="berschrift7"/>
      <w:lvlText w:val="%1.%2.%3.%4.%5.%6.%7"/>
      <w:lvlJc w:val="left"/>
      <w:pPr>
        <w:ind w:left="1656" w:hanging="1296"/>
      </w:pPr>
    </w:lvl>
    <w:lvl w:ilvl="7">
      <w:start w:val="1"/>
      <w:numFmt w:val="decimal"/>
      <w:pStyle w:val="berschrift8"/>
      <w:lvlText w:val="%1.%2.%3.%4.%5.%6.%7.%8"/>
      <w:lvlJc w:val="left"/>
      <w:pPr>
        <w:ind w:left="1800" w:hanging="1440"/>
      </w:pPr>
    </w:lvl>
    <w:lvl w:ilvl="8">
      <w:start w:val="1"/>
      <w:numFmt w:val="decimal"/>
      <w:pStyle w:val="berschrift9"/>
      <w:lvlText w:val="%1.%2.%3.%4.%5.%6.%7.%8.%9"/>
      <w:lvlJc w:val="left"/>
      <w:pPr>
        <w:ind w:left="1944" w:hanging="1584"/>
      </w:pPr>
    </w:lvl>
  </w:abstractNum>
  <w:abstractNum w:abstractNumId="30">
    <w:nsid w:val="6E3E1E5E"/>
    <w:multiLevelType w:val="hybridMultilevel"/>
    <w:tmpl w:val="AEC2CF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28767D2"/>
    <w:multiLevelType w:val="hybridMultilevel"/>
    <w:tmpl w:val="3F40EE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3CD49DB"/>
    <w:multiLevelType w:val="hybridMultilevel"/>
    <w:tmpl w:val="7362D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2"/>
  </w:num>
  <w:num w:numId="5">
    <w:abstractNumId w:val="10"/>
  </w:num>
  <w:num w:numId="6">
    <w:abstractNumId w:val="3"/>
  </w:num>
  <w:num w:numId="7">
    <w:abstractNumId w:val="16"/>
  </w:num>
  <w:num w:numId="8">
    <w:abstractNumId w:val="9"/>
  </w:num>
  <w:num w:numId="9">
    <w:abstractNumId w:val="26"/>
  </w:num>
  <w:num w:numId="10">
    <w:abstractNumId w:val="25"/>
  </w:num>
  <w:num w:numId="11">
    <w:abstractNumId w:val="29"/>
  </w:num>
  <w:num w:numId="12">
    <w:abstractNumId w:val="20"/>
  </w:num>
  <w:num w:numId="13">
    <w:abstractNumId w:val="19"/>
  </w:num>
  <w:num w:numId="14">
    <w:abstractNumId w:val="22"/>
  </w:num>
  <w:num w:numId="15">
    <w:abstractNumId w:val="24"/>
  </w:num>
  <w:num w:numId="16">
    <w:abstractNumId w:val="23"/>
  </w:num>
  <w:num w:numId="17">
    <w:abstractNumId w:val="17"/>
  </w:num>
  <w:num w:numId="18">
    <w:abstractNumId w:val="12"/>
  </w:num>
  <w:num w:numId="19">
    <w:abstractNumId w:val="11"/>
  </w:num>
  <w:num w:numId="20">
    <w:abstractNumId w:val="1"/>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30"/>
  </w:num>
  <w:num w:numId="24">
    <w:abstractNumId w:val="18"/>
  </w:num>
  <w:num w:numId="25">
    <w:abstractNumId w:val="15"/>
  </w:num>
  <w:num w:numId="26">
    <w:abstractNumId w:val="21"/>
  </w:num>
  <w:num w:numId="27">
    <w:abstractNumId w:val="5"/>
  </w:num>
  <w:num w:numId="28">
    <w:abstractNumId w:val="14"/>
  </w:num>
  <w:num w:numId="29">
    <w:abstractNumId w:val="7"/>
  </w:num>
  <w:num w:numId="30">
    <w:abstractNumId w:val="13"/>
  </w:num>
  <w:num w:numId="31">
    <w:abstractNumId w:val="28"/>
  </w:num>
  <w:num w:numId="32">
    <w:abstractNumId w:val="31"/>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activeWritingStyle w:appName="MSWord" w:lang="de-DE" w:vendorID="64" w:dllVersion="131078" w:nlCheck="1" w:checkStyle="1"/>
  <w:defaultTabStop w:val="708"/>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EE3"/>
    <w:rsid w:val="000024D8"/>
    <w:rsid w:val="000051BD"/>
    <w:rsid w:val="000114E4"/>
    <w:rsid w:val="00011A6D"/>
    <w:rsid w:val="00013A4B"/>
    <w:rsid w:val="00015081"/>
    <w:rsid w:val="00017E88"/>
    <w:rsid w:val="00020A85"/>
    <w:rsid w:val="00021B1A"/>
    <w:rsid w:val="00022463"/>
    <w:rsid w:val="000236B7"/>
    <w:rsid w:val="00026ADC"/>
    <w:rsid w:val="00031E88"/>
    <w:rsid w:val="00032936"/>
    <w:rsid w:val="0003417D"/>
    <w:rsid w:val="000364BC"/>
    <w:rsid w:val="00036F53"/>
    <w:rsid w:val="00040120"/>
    <w:rsid w:val="000444A4"/>
    <w:rsid w:val="00044F18"/>
    <w:rsid w:val="00051CEE"/>
    <w:rsid w:val="00054178"/>
    <w:rsid w:val="0005711C"/>
    <w:rsid w:val="00063C3B"/>
    <w:rsid w:val="000671C8"/>
    <w:rsid w:val="000671F1"/>
    <w:rsid w:val="0006740C"/>
    <w:rsid w:val="00070EF6"/>
    <w:rsid w:val="000759B9"/>
    <w:rsid w:val="00075EBC"/>
    <w:rsid w:val="000770DD"/>
    <w:rsid w:val="00077151"/>
    <w:rsid w:val="000779A8"/>
    <w:rsid w:val="00080283"/>
    <w:rsid w:val="00082C1B"/>
    <w:rsid w:val="00082C7F"/>
    <w:rsid w:val="00082D01"/>
    <w:rsid w:val="00083CB5"/>
    <w:rsid w:val="00083FE1"/>
    <w:rsid w:val="00086CB5"/>
    <w:rsid w:val="000914D0"/>
    <w:rsid w:val="00097F6D"/>
    <w:rsid w:val="000A14C8"/>
    <w:rsid w:val="000A44D3"/>
    <w:rsid w:val="000A6367"/>
    <w:rsid w:val="000B1268"/>
    <w:rsid w:val="000B5226"/>
    <w:rsid w:val="000B582B"/>
    <w:rsid w:val="000B7CCD"/>
    <w:rsid w:val="000C126E"/>
    <w:rsid w:val="000C1BD7"/>
    <w:rsid w:val="000C2060"/>
    <w:rsid w:val="000C2E5F"/>
    <w:rsid w:val="000C5AB7"/>
    <w:rsid w:val="000C70C4"/>
    <w:rsid w:val="000D29AF"/>
    <w:rsid w:val="000D3835"/>
    <w:rsid w:val="000D41A5"/>
    <w:rsid w:val="000D493B"/>
    <w:rsid w:val="000D4EF6"/>
    <w:rsid w:val="000E7234"/>
    <w:rsid w:val="000E77DD"/>
    <w:rsid w:val="000F025B"/>
    <w:rsid w:val="000F0EEE"/>
    <w:rsid w:val="000F1C24"/>
    <w:rsid w:val="000F4AC8"/>
    <w:rsid w:val="000F4E16"/>
    <w:rsid w:val="001028AB"/>
    <w:rsid w:val="00103150"/>
    <w:rsid w:val="00103F96"/>
    <w:rsid w:val="0011115C"/>
    <w:rsid w:val="00114A80"/>
    <w:rsid w:val="001150A6"/>
    <w:rsid w:val="00115373"/>
    <w:rsid w:val="001227E1"/>
    <w:rsid w:val="00124173"/>
    <w:rsid w:val="0012496C"/>
    <w:rsid w:val="00126EA4"/>
    <w:rsid w:val="00131DAC"/>
    <w:rsid w:val="001346A5"/>
    <w:rsid w:val="00143461"/>
    <w:rsid w:val="00144CCC"/>
    <w:rsid w:val="0014632A"/>
    <w:rsid w:val="00150F77"/>
    <w:rsid w:val="00151FE9"/>
    <w:rsid w:val="00156379"/>
    <w:rsid w:val="001606B2"/>
    <w:rsid w:val="00166F3B"/>
    <w:rsid w:val="00175DC5"/>
    <w:rsid w:val="001773B1"/>
    <w:rsid w:val="0018244F"/>
    <w:rsid w:val="0018587B"/>
    <w:rsid w:val="001872B3"/>
    <w:rsid w:val="00187DE1"/>
    <w:rsid w:val="001920D7"/>
    <w:rsid w:val="00196BF7"/>
    <w:rsid w:val="001A4AB0"/>
    <w:rsid w:val="001A638A"/>
    <w:rsid w:val="001A7A32"/>
    <w:rsid w:val="001B1EF9"/>
    <w:rsid w:val="001B3B5E"/>
    <w:rsid w:val="001B632C"/>
    <w:rsid w:val="001C1EE3"/>
    <w:rsid w:val="001C2A88"/>
    <w:rsid w:val="001C6115"/>
    <w:rsid w:val="001C63B3"/>
    <w:rsid w:val="001D2E7D"/>
    <w:rsid w:val="001D3CBA"/>
    <w:rsid w:val="001D569C"/>
    <w:rsid w:val="001E0A7B"/>
    <w:rsid w:val="001E0D75"/>
    <w:rsid w:val="001E0E85"/>
    <w:rsid w:val="001E15D6"/>
    <w:rsid w:val="001E2264"/>
    <w:rsid w:val="001E2268"/>
    <w:rsid w:val="001E2327"/>
    <w:rsid w:val="001E2A3F"/>
    <w:rsid w:val="001E410E"/>
    <w:rsid w:val="001E5604"/>
    <w:rsid w:val="001E6362"/>
    <w:rsid w:val="001E72DB"/>
    <w:rsid w:val="001E7306"/>
    <w:rsid w:val="001F071B"/>
    <w:rsid w:val="001F50AB"/>
    <w:rsid w:val="001F6D8C"/>
    <w:rsid w:val="001F7387"/>
    <w:rsid w:val="00214BB2"/>
    <w:rsid w:val="002164BC"/>
    <w:rsid w:val="00220528"/>
    <w:rsid w:val="00220ABD"/>
    <w:rsid w:val="00221BC0"/>
    <w:rsid w:val="00224873"/>
    <w:rsid w:val="00227607"/>
    <w:rsid w:val="0023045B"/>
    <w:rsid w:val="00231DE0"/>
    <w:rsid w:val="00233556"/>
    <w:rsid w:val="00234D54"/>
    <w:rsid w:val="00234DE2"/>
    <w:rsid w:val="00236F19"/>
    <w:rsid w:val="0023703D"/>
    <w:rsid w:val="002403C5"/>
    <w:rsid w:val="00242950"/>
    <w:rsid w:val="00246C5A"/>
    <w:rsid w:val="002504D0"/>
    <w:rsid w:val="0025077F"/>
    <w:rsid w:val="002528BF"/>
    <w:rsid w:val="00254369"/>
    <w:rsid w:val="002546FC"/>
    <w:rsid w:val="00257DDF"/>
    <w:rsid w:val="0026454C"/>
    <w:rsid w:val="00264932"/>
    <w:rsid w:val="00266CE1"/>
    <w:rsid w:val="00267288"/>
    <w:rsid w:val="002678BD"/>
    <w:rsid w:val="00267930"/>
    <w:rsid w:val="002706AB"/>
    <w:rsid w:val="00272F52"/>
    <w:rsid w:val="00273877"/>
    <w:rsid w:val="00274CC3"/>
    <w:rsid w:val="00280251"/>
    <w:rsid w:val="00285DA9"/>
    <w:rsid w:val="002877E7"/>
    <w:rsid w:val="00292ECE"/>
    <w:rsid w:val="00295350"/>
    <w:rsid w:val="002A05B6"/>
    <w:rsid w:val="002A05FC"/>
    <w:rsid w:val="002A2105"/>
    <w:rsid w:val="002A2D44"/>
    <w:rsid w:val="002A5D20"/>
    <w:rsid w:val="002A6D22"/>
    <w:rsid w:val="002A790A"/>
    <w:rsid w:val="002A7A16"/>
    <w:rsid w:val="002B0F7D"/>
    <w:rsid w:val="002B32B3"/>
    <w:rsid w:val="002B7BB2"/>
    <w:rsid w:val="002C264E"/>
    <w:rsid w:val="002C61F9"/>
    <w:rsid w:val="002C6341"/>
    <w:rsid w:val="002C66ED"/>
    <w:rsid w:val="002D38C5"/>
    <w:rsid w:val="002D6028"/>
    <w:rsid w:val="002E0155"/>
    <w:rsid w:val="002E055F"/>
    <w:rsid w:val="002E29A0"/>
    <w:rsid w:val="002E51D1"/>
    <w:rsid w:val="002E62A2"/>
    <w:rsid w:val="002E675B"/>
    <w:rsid w:val="002E7129"/>
    <w:rsid w:val="002E78A9"/>
    <w:rsid w:val="002F16AD"/>
    <w:rsid w:val="002F341D"/>
    <w:rsid w:val="002F39D6"/>
    <w:rsid w:val="002F49FC"/>
    <w:rsid w:val="002F5812"/>
    <w:rsid w:val="00303CB4"/>
    <w:rsid w:val="00303CFF"/>
    <w:rsid w:val="00306F8C"/>
    <w:rsid w:val="00307346"/>
    <w:rsid w:val="003073A6"/>
    <w:rsid w:val="003132DA"/>
    <w:rsid w:val="003226AC"/>
    <w:rsid w:val="00331E16"/>
    <w:rsid w:val="00333746"/>
    <w:rsid w:val="003350C6"/>
    <w:rsid w:val="003361CD"/>
    <w:rsid w:val="00341660"/>
    <w:rsid w:val="003416E7"/>
    <w:rsid w:val="00342E92"/>
    <w:rsid w:val="0034350E"/>
    <w:rsid w:val="00343930"/>
    <w:rsid w:val="00344326"/>
    <w:rsid w:val="00352247"/>
    <w:rsid w:val="00352870"/>
    <w:rsid w:val="0035300E"/>
    <w:rsid w:val="003559E5"/>
    <w:rsid w:val="00356D3F"/>
    <w:rsid w:val="00357D16"/>
    <w:rsid w:val="00357EA5"/>
    <w:rsid w:val="00364255"/>
    <w:rsid w:val="003665BF"/>
    <w:rsid w:val="003712D9"/>
    <w:rsid w:val="003809F7"/>
    <w:rsid w:val="003869D2"/>
    <w:rsid w:val="0039062A"/>
    <w:rsid w:val="00390D20"/>
    <w:rsid w:val="0039127D"/>
    <w:rsid w:val="00394713"/>
    <w:rsid w:val="00395A2D"/>
    <w:rsid w:val="003A2616"/>
    <w:rsid w:val="003A2724"/>
    <w:rsid w:val="003A6D8A"/>
    <w:rsid w:val="003A737E"/>
    <w:rsid w:val="003A74FB"/>
    <w:rsid w:val="003A79AA"/>
    <w:rsid w:val="003B3452"/>
    <w:rsid w:val="003B77E6"/>
    <w:rsid w:val="003C1946"/>
    <w:rsid w:val="003C2289"/>
    <w:rsid w:val="003C279A"/>
    <w:rsid w:val="003C353F"/>
    <w:rsid w:val="003C50EA"/>
    <w:rsid w:val="003C5379"/>
    <w:rsid w:val="003C6B60"/>
    <w:rsid w:val="003C6DCC"/>
    <w:rsid w:val="003D4EC4"/>
    <w:rsid w:val="003D5271"/>
    <w:rsid w:val="003D7E78"/>
    <w:rsid w:val="003E070E"/>
    <w:rsid w:val="003E184A"/>
    <w:rsid w:val="003E321E"/>
    <w:rsid w:val="003E3A70"/>
    <w:rsid w:val="003E42C1"/>
    <w:rsid w:val="003E4445"/>
    <w:rsid w:val="003E5C25"/>
    <w:rsid w:val="003F128E"/>
    <w:rsid w:val="003F2E2E"/>
    <w:rsid w:val="003F3D85"/>
    <w:rsid w:val="003F759D"/>
    <w:rsid w:val="004028E0"/>
    <w:rsid w:val="00405F41"/>
    <w:rsid w:val="004061AA"/>
    <w:rsid w:val="00406527"/>
    <w:rsid w:val="004065C6"/>
    <w:rsid w:val="0040679B"/>
    <w:rsid w:val="00406A5E"/>
    <w:rsid w:val="00406C7B"/>
    <w:rsid w:val="00410E0F"/>
    <w:rsid w:val="0041214F"/>
    <w:rsid w:val="00413EEC"/>
    <w:rsid w:val="004149D7"/>
    <w:rsid w:val="00414FC8"/>
    <w:rsid w:val="00415A1B"/>
    <w:rsid w:val="00416718"/>
    <w:rsid w:val="0041677B"/>
    <w:rsid w:val="0041723E"/>
    <w:rsid w:val="0041735A"/>
    <w:rsid w:val="00417C52"/>
    <w:rsid w:val="004210B7"/>
    <w:rsid w:val="00421494"/>
    <w:rsid w:val="0042245F"/>
    <w:rsid w:val="00423083"/>
    <w:rsid w:val="004319CC"/>
    <w:rsid w:val="00436031"/>
    <w:rsid w:val="00436444"/>
    <w:rsid w:val="004373A1"/>
    <w:rsid w:val="004409C7"/>
    <w:rsid w:val="00443646"/>
    <w:rsid w:val="00451598"/>
    <w:rsid w:val="00452C4E"/>
    <w:rsid w:val="004549A4"/>
    <w:rsid w:val="00456F0E"/>
    <w:rsid w:val="00460CB7"/>
    <w:rsid w:val="00466111"/>
    <w:rsid w:val="004709E4"/>
    <w:rsid w:val="00473858"/>
    <w:rsid w:val="0047429E"/>
    <w:rsid w:val="004748A9"/>
    <w:rsid w:val="00475156"/>
    <w:rsid w:val="004800A3"/>
    <w:rsid w:val="00482083"/>
    <w:rsid w:val="0048221D"/>
    <w:rsid w:val="004850E4"/>
    <w:rsid w:val="00487740"/>
    <w:rsid w:val="004879E4"/>
    <w:rsid w:val="00487C44"/>
    <w:rsid w:val="00494DD6"/>
    <w:rsid w:val="004A5BCA"/>
    <w:rsid w:val="004A68E3"/>
    <w:rsid w:val="004B2277"/>
    <w:rsid w:val="004B3101"/>
    <w:rsid w:val="004B41E7"/>
    <w:rsid w:val="004B4A4E"/>
    <w:rsid w:val="004B7857"/>
    <w:rsid w:val="004B7E24"/>
    <w:rsid w:val="004C0518"/>
    <w:rsid w:val="004C072E"/>
    <w:rsid w:val="004C0AE8"/>
    <w:rsid w:val="004C6E5A"/>
    <w:rsid w:val="004C7034"/>
    <w:rsid w:val="004C7098"/>
    <w:rsid w:val="004D092B"/>
    <w:rsid w:val="004D0B4A"/>
    <w:rsid w:val="004D0C8E"/>
    <w:rsid w:val="004D4841"/>
    <w:rsid w:val="004D6C79"/>
    <w:rsid w:val="004E07E2"/>
    <w:rsid w:val="004E71B8"/>
    <w:rsid w:val="004F009E"/>
    <w:rsid w:val="004F3335"/>
    <w:rsid w:val="004F3C90"/>
    <w:rsid w:val="004F3EAC"/>
    <w:rsid w:val="004F581D"/>
    <w:rsid w:val="004F77BA"/>
    <w:rsid w:val="004F7C74"/>
    <w:rsid w:val="00502A5C"/>
    <w:rsid w:val="00504248"/>
    <w:rsid w:val="0050454B"/>
    <w:rsid w:val="00505029"/>
    <w:rsid w:val="00505920"/>
    <w:rsid w:val="00505A62"/>
    <w:rsid w:val="00507C16"/>
    <w:rsid w:val="00516767"/>
    <w:rsid w:val="00516CFB"/>
    <w:rsid w:val="00524E74"/>
    <w:rsid w:val="00527BDA"/>
    <w:rsid w:val="00530D18"/>
    <w:rsid w:val="00532BD9"/>
    <w:rsid w:val="0054052C"/>
    <w:rsid w:val="0054179C"/>
    <w:rsid w:val="0054335D"/>
    <w:rsid w:val="00543FEC"/>
    <w:rsid w:val="00545184"/>
    <w:rsid w:val="00545A5E"/>
    <w:rsid w:val="005475E3"/>
    <w:rsid w:val="00551306"/>
    <w:rsid w:val="00557574"/>
    <w:rsid w:val="00560FBE"/>
    <w:rsid w:val="005619AB"/>
    <w:rsid w:val="005623FD"/>
    <w:rsid w:val="005625CF"/>
    <w:rsid w:val="00562F99"/>
    <w:rsid w:val="0056395E"/>
    <w:rsid w:val="00565DD7"/>
    <w:rsid w:val="00566283"/>
    <w:rsid w:val="00572A48"/>
    <w:rsid w:val="00576F19"/>
    <w:rsid w:val="00577AD1"/>
    <w:rsid w:val="0058142D"/>
    <w:rsid w:val="00581C33"/>
    <w:rsid w:val="005830DE"/>
    <w:rsid w:val="005859C7"/>
    <w:rsid w:val="00586523"/>
    <w:rsid w:val="00587349"/>
    <w:rsid w:val="00591085"/>
    <w:rsid w:val="0059171C"/>
    <w:rsid w:val="0059452E"/>
    <w:rsid w:val="00594A40"/>
    <w:rsid w:val="00594D78"/>
    <w:rsid w:val="00595D4D"/>
    <w:rsid w:val="00596DBA"/>
    <w:rsid w:val="005A0FB3"/>
    <w:rsid w:val="005A4293"/>
    <w:rsid w:val="005A700C"/>
    <w:rsid w:val="005B3E0B"/>
    <w:rsid w:val="005B6C2C"/>
    <w:rsid w:val="005B7215"/>
    <w:rsid w:val="005C1BA7"/>
    <w:rsid w:val="005C2FF5"/>
    <w:rsid w:val="005C33F9"/>
    <w:rsid w:val="005D0DED"/>
    <w:rsid w:val="005D2DDF"/>
    <w:rsid w:val="005D2FC0"/>
    <w:rsid w:val="005D3796"/>
    <w:rsid w:val="005D4231"/>
    <w:rsid w:val="005E0BAB"/>
    <w:rsid w:val="005E5C91"/>
    <w:rsid w:val="005F0C40"/>
    <w:rsid w:val="005F1350"/>
    <w:rsid w:val="005F2434"/>
    <w:rsid w:val="005F29EB"/>
    <w:rsid w:val="005F5E98"/>
    <w:rsid w:val="00600056"/>
    <w:rsid w:val="00602EFD"/>
    <w:rsid w:val="00605A26"/>
    <w:rsid w:val="00605F8E"/>
    <w:rsid w:val="00610073"/>
    <w:rsid w:val="0061270B"/>
    <w:rsid w:val="006128FE"/>
    <w:rsid w:val="0061354A"/>
    <w:rsid w:val="00614CDF"/>
    <w:rsid w:val="00615F8E"/>
    <w:rsid w:val="00617CD2"/>
    <w:rsid w:val="00620E5A"/>
    <w:rsid w:val="00623ADE"/>
    <w:rsid w:val="00626478"/>
    <w:rsid w:val="006362F1"/>
    <w:rsid w:val="00636564"/>
    <w:rsid w:val="00636F21"/>
    <w:rsid w:val="00640DFB"/>
    <w:rsid w:val="00640FE0"/>
    <w:rsid w:val="006412B0"/>
    <w:rsid w:val="00642089"/>
    <w:rsid w:val="006475A7"/>
    <w:rsid w:val="006517BD"/>
    <w:rsid w:val="006528DE"/>
    <w:rsid w:val="00660A68"/>
    <w:rsid w:val="006618B8"/>
    <w:rsid w:val="00663A78"/>
    <w:rsid w:val="006708C7"/>
    <w:rsid w:val="00671823"/>
    <w:rsid w:val="006747A5"/>
    <w:rsid w:val="00676250"/>
    <w:rsid w:val="00681A7C"/>
    <w:rsid w:val="00681E27"/>
    <w:rsid w:val="0068598F"/>
    <w:rsid w:val="006865BB"/>
    <w:rsid w:val="00686E94"/>
    <w:rsid w:val="00691325"/>
    <w:rsid w:val="006938EE"/>
    <w:rsid w:val="006A4780"/>
    <w:rsid w:val="006A5DBF"/>
    <w:rsid w:val="006A6DD4"/>
    <w:rsid w:val="006A710E"/>
    <w:rsid w:val="006B11C8"/>
    <w:rsid w:val="006B560F"/>
    <w:rsid w:val="006B7750"/>
    <w:rsid w:val="006C22C3"/>
    <w:rsid w:val="006D1445"/>
    <w:rsid w:val="006D6D63"/>
    <w:rsid w:val="006E0374"/>
    <w:rsid w:val="006E0780"/>
    <w:rsid w:val="006E76C4"/>
    <w:rsid w:val="006F0638"/>
    <w:rsid w:val="006F433C"/>
    <w:rsid w:val="006F44FF"/>
    <w:rsid w:val="006F4C20"/>
    <w:rsid w:val="00700A10"/>
    <w:rsid w:val="00703C3A"/>
    <w:rsid w:val="007063EE"/>
    <w:rsid w:val="007106E6"/>
    <w:rsid w:val="00711B18"/>
    <w:rsid w:val="007125E1"/>
    <w:rsid w:val="00712C92"/>
    <w:rsid w:val="00715FA5"/>
    <w:rsid w:val="00717BE6"/>
    <w:rsid w:val="00721E30"/>
    <w:rsid w:val="007243A9"/>
    <w:rsid w:val="007274BC"/>
    <w:rsid w:val="00732784"/>
    <w:rsid w:val="00735FBC"/>
    <w:rsid w:val="0073612A"/>
    <w:rsid w:val="00741D23"/>
    <w:rsid w:val="00747BE5"/>
    <w:rsid w:val="00750AAE"/>
    <w:rsid w:val="00752582"/>
    <w:rsid w:val="00753056"/>
    <w:rsid w:val="00753673"/>
    <w:rsid w:val="00760404"/>
    <w:rsid w:val="00761F41"/>
    <w:rsid w:val="00762252"/>
    <w:rsid w:val="0076259F"/>
    <w:rsid w:val="0076436C"/>
    <w:rsid w:val="007674D3"/>
    <w:rsid w:val="00772C07"/>
    <w:rsid w:val="00773D00"/>
    <w:rsid w:val="0077538A"/>
    <w:rsid w:val="007762C7"/>
    <w:rsid w:val="00780B43"/>
    <w:rsid w:val="007832A5"/>
    <w:rsid w:val="007846DE"/>
    <w:rsid w:val="00784ED6"/>
    <w:rsid w:val="0079687F"/>
    <w:rsid w:val="00797A57"/>
    <w:rsid w:val="007A2CCC"/>
    <w:rsid w:val="007A46BB"/>
    <w:rsid w:val="007A5DBE"/>
    <w:rsid w:val="007B016B"/>
    <w:rsid w:val="007B11CD"/>
    <w:rsid w:val="007B1803"/>
    <w:rsid w:val="007B353C"/>
    <w:rsid w:val="007B4514"/>
    <w:rsid w:val="007B4935"/>
    <w:rsid w:val="007C1A22"/>
    <w:rsid w:val="007C55FB"/>
    <w:rsid w:val="007E1A10"/>
    <w:rsid w:val="007E48AA"/>
    <w:rsid w:val="007E499C"/>
    <w:rsid w:val="007F599B"/>
    <w:rsid w:val="007F642F"/>
    <w:rsid w:val="00800043"/>
    <w:rsid w:val="00801FBD"/>
    <w:rsid w:val="00803F87"/>
    <w:rsid w:val="008078CE"/>
    <w:rsid w:val="00810790"/>
    <w:rsid w:val="00811D37"/>
    <w:rsid w:val="00812F1E"/>
    <w:rsid w:val="0081426E"/>
    <w:rsid w:val="00814C68"/>
    <w:rsid w:val="008171DB"/>
    <w:rsid w:val="0082152F"/>
    <w:rsid w:val="00821E86"/>
    <w:rsid w:val="0082324E"/>
    <w:rsid w:val="00826108"/>
    <w:rsid w:val="00831EEA"/>
    <w:rsid w:val="0083349F"/>
    <w:rsid w:val="0083617B"/>
    <w:rsid w:val="0084018E"/>
    <w:rsid w:val="00843723"/>
    <w:rsid w:val="0084773E"/>
    <w:rsid w:val="00847B30"/>
    <w:rsid w:val="00853E3C"/>
    <w:rsid w:val="008568BB"/>
    <w:rsid w:val="00857157"/>
    <w:rsid w:val="00860576"/>
    <w:rsid w:val="0086415C"/>
    <w:rsid w:val="00866852"/>
    <w:rsid w:val="0087050B"/>
    <w:rsid w:val="008808CF"/>
    <w:rsid w:val="008822D7"/>
    <w:rsid w:val="00884115"/>
    <w:rsid w:val="008853BE"/>
    <w:rsid w:val="008901F7"/>
    <w:rsid w:val="0089736E"/>
    <w:rsid w:val="008A0087"/>
    <w:rsid w:val="008A43D2"/>
    <w:rsid w:val="008A52BB"/>
    <w:rsid w:val="008A5EB0"/>
    <w:rsid w:val="008A694D"/>
    <w:rsid w:val="008A7561"/>
    <w:rsid w:val="008A7D12"/>
    <w:rsid w:val="008A7E3C"/>
    <w:rsid w:val="008B1D72"/>
    <w:rsid w:val="008B3898"/>
    <w:rsid w:val="008B5D38"/>
    <w:rsid w:val="008C39CB"/>
    <w:rsid w:val="008C5D04"/>
    <w:rsid w:val="008C7078"/>
    <w:rsid w:val="008D0A43"/>
    <w:rsid w:val="008D455D"/>
    <w:rsid w:val="008D490E"/>
    <w:rsid w:val="008D500D"/>
    <w:rsid w:val="008D56D7"/>
    <w:rsid w:val="008D69C2"/>
    <w:rsid w:val="008E250D"/>
    <w:rsid w:val="008E3563"/>
    <w:rsid w:val="008E73E1"/>
    <w:rsid w:val="008E7B66"/>
    <w:rsid w:val="008F3538"/>
    <w:rsid w:val="009025B3"/>
    <w:rsid w:val="00903243"/>
    <w:rsid w:val="0090385B"/>
    <w:rsid w:val="00903B1D"/>
    <w:rsid w:val="00912985"/>
    <w:rsid w:val="00912E05"/>
    <w:rsid w:val="00914A3E"/>
    <w:rsid w:val="00914CC5"/>
    <w:rsid w:val="00915C1C"/>
    <w:rsid w:val="0092020D"/>
    <w:rsid w:val="00921446"/>
    <w:rsid w:val="00924646"/>
    <w:rsid w:val="00925BC6"/>
    <w:rsid w:val="0092773E"/>
    <w:rsid w:val="0093176B"/>
    <w:rsid w:val="00933149"/>
    <w:rsid w:val="00934805"/>
    <w:rsid w:val="00935562"/>
    <w:rsid w:val="0093730B"/>
    <w:rsid w:val="0094043D"/>
    <w:rsid w:val="00941FC0"/>
    <w:rsid w:val="009421FF"/>
    <w:rsid w:val="00944235"/>
    <w:rsid w:val="009444BA"/>
    <w:rsid w:val="00947407"/>
    <w:rsid w:val="00947B32"/>
    <w:rsid w:val="00950147"/>
    <w:rsid w:val="00953F32"/>
    <w:rsid w:val="009558B4"/>
    <w:rsid w:val="00956279"/>
    <w:rsid w:val="00957242"/>
    <w:rsid w:val="00961181"/>
    <w:rsid w:val="00965EBE"/>
    <w:rsid w:val="009703BF"/>
    <w:rsid w:val="00970544"/>
    <w:rsid w:val="00970F71"/>
    <w:rsid w:val="0097257C"/>
    <w:rsid w:val="0097512D"/>
    <w:rsid w:val="00976386"/>
    <w:rsid w:val="0097654D"/>
    <w:rsid w:val="00976F60"/>
    <w:rsid w:val="009800D1"/>
    <w:rsid w:val="0098022A"/>
    <w:rsid w:val="009816D9"/>
    <w:rsid w:val="009821DE"/>
    <w:rsid w:val="00983E8F"/>
    <w:rsid w:val="00984009"/>
    <w:rsid w:val="009840A1"/>
    <w:rsid w:val="00990CC9"/>
    <w:rsid w:val="00995317"/>
    <w:rsid w:val="009962B0"/>
    <w:rsid w:val="009A1450"/>
    <w:rsid w:val="009A1BCE"/>
    <w:rsid w:val="009A27C2"/>
    <w:rsid w:val="009A2C09"/>
    <w:rsid w:val="009B10D7"/>
    <w:rsid w:val="009B7532"/>
    <w:rsid w:val="009B77AA"/>
    <w:rsid w:val="009C161A"/>
    <w:rsid w:val="009C1F24"/>
    <w:rsid w:val="009C3E70"/>
    <w:rsid w:val="009C4B3C"/>
    <w:rsid w:val="009C51FA"/>
    <w:rsid w:val="009C5209"/>
    <w:rsid w:val="009C7054"/>
    <w:rsid w:val="009D5833"/>
    <w:rsid w:val="009D7629"/>
    <w:rsid w:val="009E093A"/>
    <w:rsid w:val="009E391B"/>
    <w:rsid w:val="009E42A0"/>
    <w:rsid w:val="009E6FBB"/>
    <w:rsid w:val="009F365C"/>
    <w:rsid w:val="009F4A9B"/>
    <w:rsid w:val="009F5278"/>
    <w:rsid w:val="009F5579"/>
    <w:rsid w:val="009F5A56"/>
    <w:rsid w:val="00A03296"/>
    <w:rsid w:val="00A03FDA"/>
    <w:rsid w:val="00A05170"/>
    <w:rsid w:val="00A056A3"/>
    <w:rsid w:val="00A11A59"/>
    <w:rsid w:val="00A12DF2"/>
    <w:rsid w:val="00A17426"/>
    <w:rsid w:val="00A202F9"/>
    <w:rsid w:val="00A23EC7"/>
    <w:rsid w:val="00A23F4B"/>
    <w:rsid w:val="00A24BE8"/>
    <w:rsid w:val="00A27E37"/>
    <w:rsid w:val="00A331B6"/>
    <w:rsid w:val="00A3799D"/>
    <w:rsid w:val="00A403B1"/>
    <w:rsid w:val="00A41D24"/>
    <w:rsid w:val="00A429B2"/>
    <w:rsid w:val="00A42B73"/>
    <w:rsid w:val="00A42F4A"/>
    <w:rsid w:val="00A4328B"/>
    <w:rsid w:val="00A45E60"/>
    <w:rsid w:val="00A46688"/>
    <w:rsid w:val="00A5011E"/>
    <w:rsid w:val="00A52566"/>
    <w:rsid w:val="00A5484E"/>
    <w:rsid w:val="00A55BE9"/>
    <w:rsid w:val="00A55FEA"/>
    <w:rsid w:val="00A56C56"/>
    <w:rsid w:val="00A56CC1"/>
    <w:rsid w:val="00A6039F"/>
    <w:rsid w:val="00A6102D"/>
    <w:rsid w:val="00A610A1"/>
    <w:rsid w:val="00A656FB"/>
    <w:rsid w:val="00A67598"/>
    <w:rsid w:val="00A72483"/>
    <w:rsid w:val="00A80843"/>
    <w:rsid w:val="00A83DBC"/>
    <w:rsid w:val="00A8485D"/>
    <w:rsid w:val="00A94F5D"/>
    <w:rsid w:val="00A95E23"/>
    <w:rsid w:val="00A971DD"/>
    <w:rsid w:val="00AA0F07"/>
    <w:rsid w:val="00AA1A57"/>
    <w:rsid w:val="00AA327C"/>
    <w:rsid w:val="00AA69F8"/>
    <w:rsid w:val="00AB0540"/>
    <w:rsid w:val="00AB0805"/>
    <w:rsid w:val="00AB2BF5"/>
    <w:rsid w:val="00AB4361"/>
    <w:rsid w:val="00AB4AA8"/>
    <w:rsid w:val="00AB7021"/>
    <w:rsid w:val="00AB7E5E"/>
    <w:rsid w:val="00AC0D6D"/>
    <w:rsid w:val="00AC529F"/>
    <w:rsid w:val="00AD10FA"/>
    <w:rsid w:val="00AD5F75"/>
    <w:rsid w:val="00AE096D"/>
    <w:rsid w:val="00AE34A2"/>
    <w:rsid w:val="00AE7155"/>
    <w:rsid w:val="00AF03D4"/>
    <w:rsid w:val="00AF1C4A"/>
    <w:rsid w:val="00AF26CF"/>
    <w:rsid w:val="00AF283E"/>
    <w:rsid w:val="00AF2B51"/>
    <w:rsid w:val="00AF3BA7"/>
    <w:rsid w:val="00AF5540"/>
    <w:rsid w:val="00AF6170"/>
    <w:rsid w:val="00AF7411"/>
    <w:rsid w:val="00B00CAA"/>
    <w:rsid w:val="00B01451"/>
    <w:rsid w:val="00B01A7A"/>
    <w:rsid w:val="00B05978"/>
    <w:rsid w:val="00B05E62"/>
    <w:rsid w:val="00B063B7"/>
    <w:rsid w:val="00B114BC"/>
    <w:rsid w:val="00B1183D"/>
    <w:rsid w:val="00B11C6F"/>
    <w:rsid w:val="00B1292B"/>
    <w:rsid w:val="00B22B54"/>
    <w:rsid w:val="00B22DE9"/>
    <w:rsid w:val="00B259FB"/>
    <w:rsid w:val="00B2611A"/>
    <w:rsid w:val="00B269D0"/>
    <w:rsid w:val="00B26DDC"/>
    <w:rsid w:val="00B333FA"/>
    <w:rsid w:val="00B339D8"/>
    <w:rsid w:val="00B34D90"/>
    <w:rsid w:val="00B37E29"/>
    <w:rsid w:val="00B475E7"/>
    <w:rsid w:val="00B47E34"/>
    <w:rsid w:val="00B504FD"/>
    <w:rsid w:val="00B53E11"/>
    <w:rsid w:val="00B563B3"/>
    <w:rsid w:val="00B57641"/>
    <w:rsid w:val="00B578CD"/>
    <w:rsid w:val="00B623EC"/>
    <w:rsid w:val="00B638A6"/>
    <w:rsid w:val="00B65310"/>
    <w:rsid w:val="00B66200"/>
    <w:rsid w:val="00B70211"/>
    <w:rsid w:val="00B71B33"/>
    <w:rsid w:val="00B82321"/>
    <w:rsid w:val="00B82627"/>
    <w:rsid w:val="00B85525"/>
    <w:rsid w:val="00B85D9B"/>
    <w:rsid w:val="00B86830"/>
    <w:rsid w:val="00B93396"/>
    <w:rsid w:val="00BA14B2"/>
    <w:rsid w:val="00BA26E5"/>
    <w:rsid w:val="00BA3726"/>
    <w:rsid w:val="00BA3FD1"/>
    <w:rsid w:val="00BA47C3"/>
    <w:rsid w:val="00BB1257"/>
    <w:rsid w:val="00BB1444"/>
    <w:rsid w:val="00BB2327"/>
    <w:rsid w:val="00BB576C"/>
    <w:rsid w:val="00BB6A65"/>
    <w:rsid w:val="00BB75AC"/>
    <w:rsid w:val="00BB7776"/>
    <w:rsid w:val="00BC06A1"/>
    <w:rsid w:val="00BC0A7D"/>
    <w:rsid w:val="00BC2DA1"/>
    <w:rsid w:val="00BC5485"/>
    <w:rsid w:val="00BC6083"/>
    <w:rsid w:val="00BC7180"/>
    <w:rsid w:val="00BD01C2"/>
    <w:rsid w:val="00BD103A"/>
    <w:rsid w:val="00BD543D"/>
    <w:rsid w:val="00BD600D"/>
    <w:rsid w:val="00BE363F"/>
    <w:rsid w:val="00BE6A52"/>
    <w:rsid w:val="00BF2391"/>
    <w:rsid w:val="00BF503F"/>
    <w:rsid w:val="00C00AFB"/>
    <w:rsid w:val="00C11E45"/>
    <w:rsid w:val="00C12328"/>
    <w:rsid w:val="00C1273A"/>
    <w:rsid w:val="00C17576"/>
    <w:rsid w:val="00C21EB5"/>
    <w:rsid w:val="00C24747"/>
    <w:rsid w:val="00C25785"/>
    <w:rsid w:val="00C26D4E"/>
    <w:rsid w:val="00C309D3"/>
    <w:rsid w:val="00C30D68"/>
    <w:rsid w:val="00C31CDF"/>
    <w:rsid w:val="00C31F52"/>
    <w:rsid w:val="00C32045"/>
    <w:rsid w:val="00C3775B"/>
    <w:rsid w:val="00C37816"/>
    <w:rsid w:val="00C43204"/>
    <w:rsid w:val="00C45408"/>
    <w:rsid w:val="00C45B0F"/>
    <w:rsid w:val="00C46586"/>
    <w:rsid w:val="00C50251"/>
    <w:rsid w:val="00C508BD"/>
    <w:rsid w:val="00C516AB"/>
    <w:rsid w:val="00C516CF"/>
    <w:rsid w:val="00C51DDC"/>
    <w:rsid w:val="00C52D89"/>
    <w:rsid w:val="00C6302B"/>
    <w:rsid w:val="00C641E1"/>
    <w:rsid w:val="00C65828"/>
    <w:rsid w:val="00C65ECF"/>
    <w:rsid w:val="00C65FA0"/>
    <w:rsid w:val="00C66158"/>
    <w:rsid w:val="00C669F6"/>
    <w:rsid w:val="00C71AB1"/>
    <w:rsid w:val="00C74CA7"/>
    <w:rsid w:val="00C750CA"/>
    <w:rsid w:val="00C75D68"/>
    <w:rsid w:val="00C81EE3"/>
    <w:rsid w:val="00C839EC"/>
    <w:rsid w:val="00C84608"/>
    <w:rsid w:val="00C84A89"/>
    <w:rsid w:val="00C84AEC"/>
    <w:rsid w:val="00C90131"/>
    <w:rsid w:val="00C93004"/>
    <w:rsid w:val="00C93C30"/>
    <w:rsid w:val="00C96A41"/>
    <w:rsid w:val="00C97196"/>
    <w:rsid w:val="00C977E3"/>
    <w:rsid w:val="00CA1FE8"/>
    <w:rsid w:val="00CA217E"/>
    <w:rsid w:val="00CA2926"/>
    <w:rsid w:val="00CA6F36"/>
    <w:rsid w:val="00CA7AA3"/>
    <w:rsid w:val="00CB784F"/>
    <w:rsid w:val="00CC29E2"/>
    <w:rsid w:val="00CC2DBD"/>
    <w:rsid w:val="00CC4130"/>
    <w:rsid w:val="00CC7FD4"/>
    <w:rsid w:val="00CD4530"/>
    <w:rsid w:val="00CD4BA6"/>
    <w:rsid w:val="00CD7ED4"/>
    <w:rsid w:val="00CE23D2"/>
    <w:rsid w:val="00CE2F5E"/>
    <w:rsid w:val="00CE379C"/>
    <w:rsid w:val="00CE4458"/>
    <w:rsid w:val="00CE46B8"/>
    <w:rsid w:val="00CE5020"/>
    <w:rsid w:val="00CE5A36"/>
    <w:rsid w:val="00CE65B8"/>
    <w:rsid w:val="00CF0C61"/>
    <w:rsid w:val="00CF524F"/>
    <w:rsid w:val="00CF70DA"/>
    <w:rsid w:val="00D01097"/>
    <w:rsid w:val="00D02CAF"/>
    <w:rsid w:val="00D04A8D"/>
    <w:rsid w:val="00D057AC"/>
    <w:rsid w:val="00D06CF2"/>
    <w:rsid w:val="00D12F51"/>
    <w:rsid w:val="00D16291"/>
    <w:rsid w:val="00D2016D"/>
    <w:rsid w:val="00D25410"/>
    <w:rsid w:val="00D2738B"/>
    <w:rsid w:val="00D310FE"/>
    <w:rsid w:val="00D3312F"/>
    <w:rsid w:val="00D33587"/>
    <w:rsid w:val="00D427BC"/>
    <w:rsid w:val="00D43937"/>
    <w:rsid w:val="00D47191"/>
    <w:rsid w:val="00D4766F"/>
    <w:rsid w:val="00D52B5B"/>
    <w:rsid w:val="00D52F24"/>
    <w:rsid w:val="00D53388"/>
    <w:rsid w:val="00D55E74"/>
    <w:rsid w:val="00D60FA1"/>
    <w:rsid w:val="00D637F1"/>
    <w:rsid w:val="00D65DB7"/>
    <w:rsid w:val="00D670E5"/>
    <w:rsid w:val="00D67419"/>
    <w:rsid w:val="00D674FB"/>
    <w:rsid w:val="00D703C3"/>
    <w:rsid w:val="00D7515F"/>
    <w:rsid w:val="00D77233"/>
    <w:rsid w:val="00D77FE7"/>
    <w:rsid w:val="00D81C9C"/>
    <w:rsid w:val="00D8317B"/>
    <w:rsid w:val="00D838EE"/>
    <w:rsid w:val="00D85424"/>
    <w:rsid w:val="00D87139"/>
    <w:rsid w:val="00D90E12"/>
    <w:rsid w:val="00D9177C"/>
    <w:rsid w:val="00D94D2E"/>
    <w:rsid w:val="00D966B2"/>
    <w:rsid w:val="00D96A90"/>
    <w:rsid w:val="00D978F0"/>
    <w:rsid w:val="00DA417C"/>
    <w:rsid w:val="00DA53EF"/>
    <w:rsid w:val="00DA66D2"/>
    <w:rsid w:val="00DA7D09"/>
    <w:rsid w:val="00DB028A"/>
    <w:rsid w:val="00DB0D1E"/>
    <w:rsid w:val="00DB211E"/>
    <w:rsid w:val="00DB72E2"/>
    <w:rsid w:val="00DB78D9"/>
    <w:rsid w:val="00DB7D1D"/>
    <w:rsid w:val="00DC0291"/>
    <w:rsid w:val="00DC12B1"/>
    <w:rsid w:val="00DC2AAE"/>
    <w:rsid w:val="00DC2D74"/>
    <w:rsid w:val="00DC327A"/>
    <w:rsid w:val="00DC43E7"/>
    <w:rsid w:val="00DC4CEE"/>
    <w:rsid w:val="00DC7721"/>
    <w:rsid w:val="00DD165C"/>
    <w:rsid w:val="00DD1A85"/>
    <w:rsid w:val="00DD1CB5"/>
    <w:rsid w:val="00DD46A4"/>
    <w:rsid w:val="00DE41C4"/>
    <w:rsid w:val="00DF011D"/>
    <w:rsid w:val="00DF071D"/>
    <w:rsid w:val="00DF0839"/>
    <w:rsid w:val="00DF0B21"/>
    <w:rsid w:val="00DF2EE5"/>
    <w:rsid w:val="00DF773E"/>
    <w:rsid w:val="00E01335"/>
    <w:rsid w:val="00E01CFA"/>
    <w:rsid w:val="00E01DEF"/>
    <w:rsid w:val="00E10C5D"/>
    <w:rsid w:val="00E11629"/>
    <w:rsid w:val="00E12A85"/>
    <w:rsid w:val="00E12C08"/>
    <w:rsid w:val="00E1318A"/>
    <w:rsid w:val="00E132F7"/>
    <w:rsid w:val="00E16564"/>
    <w:rsid w:val="00E178C1"/>
    <w:rsid w:val="00E179F0"/>
    <w:rsid w:val="00E17F51"/>
    <w:rsid w:val="00E24219"/>
    <w:rsid w:val="00E27895"/>
    <w:rsid w:val="00E27C31"/>
    <w:rsid w:val="00E329E7"/>
    <w:rsid w:val="00E33387"/>
    <w:rsid w:val="00E35466"/>
    <w:rsid w:val="00E36C40"/>
    <w:rsid w:val="00E44CB3"/>
    <w:rsid w:val="00E472BD"/>
    <w:rsid w:val="00E54961"/>
    <w:rsid w:val="00E54A57"/>
    <w:rsid w:val="00E54FA3"/>
    <w:rsid w:val="00E557E3"/>
    <w:rsid w:val="00E55C53"/>
    <w:rsid w:val="00E55DF3"/>
    <w:rsid w:val="00E55EE8"/>
    <w:rsid w:val="00E55F28"/>
    <w:rsid w:val="00E65E57"/>
    <w:rsid w:val="00E6624E"/>
    <w:rsid w:val="00E70006"/>
    <w:rsid w:val="00E71D73"/>
    <w:rsid w:val="00E73A78"/>
    <w:rsid w:val="00E74B19"/>
    <w:rsid w:val="00E74E93"/>
    <w:rsid w:val="00E75B5D"/>
    <w:rsid w:val="00E8342B"/>
    <w:rsid w:val="00E86C7D"/>
    <w:rsid w:val="00E87C1B"/>
    <w:rsid w:val="00E90688"/>
    <w:rsid w:val="00E93A99"/>
    <w:rsid w:val="00E945DD"/>
    <w:rsid w:val="00E96349"/>
    <w:rsid w:val="00EA0DE5"/>
    <w:rsid w:val="00EA1368"/>
    <w:rsid w:val="00EB2733"/>
    <w:rsid w:val="00EB3E0B"/>
    <w:rsid w:val="00EB50EF"/>
    <w:rsid w:val="00EB6A58"/>
    <w:rsid w:val="00EB756A"/>
    <w:rsid w:val="00EC44AE"/>
    <w:rsid w:val="00EC4ABA"/>
    <w:rsid w:val="00EC769C"/>
    <w:rsid w:val="00EC7FA1"/>
    <w:rsid w:val="00ED09DE"/>
    <w:rsid w:val="00ED7E30"/>
    <w:rsid w:val="00EE4F7F"/>
    <w:rsid w:val="00EE5DD9"/>
    <w:rsid w:val="00EF04E4"/>
    <w:rsid w:val="00EF27D0"/>
    <w:rsid w:val="00EF5BA2"/>
    <w:rsid w:val="00EF7D06"/>
    <w:rsid w:val="00EF7E04"/>
    <w:rsid w:val="00F0490B"/>
    <w:rsid w:val="00F06601"/>
    <w:rsid w:val="00F07B11"/>
    <w:rsid w:val="00F117C3"/>
    <w:rsid w:val="00F12067"/>
    <w:rsid w:val="00F1353D"/>
    <w:rsid w:val="00F136AF"/>
    <w:rsid w:val="00F142DD"/>
    <w:rsid w:val="00F15239"/>
    <w:rsid w:val="00F16F6D"/>
    <w:rsid w:val="00F245DA"/>
    <w:rsid w:val="00F27FC2"/>
    <w:rsid w:val="00F30247"/>
    <w:rsid w:val="00F30F9A"/>
    <w:rsid w:val="00F33160"/>
    <w:rsid w:val="00F364F0"/>
    <w:rsid w:val="00F40120"/>
    <w:rsid w:val="00F403F5"/>
    <w:rsid w:val="00F4066D"/>
    <w:rsid w:val="00F41DB0"/>
    <w:rsid w:val="00F467EC"/>
    <w:rsid w:val="00F53A38"/>
    <w:rsid w:val="00F53EBA"/>
    <w:rsid w:val="00F56DBB"/>
    <w:rsid w:val="00F57FA0"/>
    <w:rsid w:val="00F60A6E"/>
    <w:rsid w:val="00F60EAB"/>
    <w:rsid w:val="00F61935"/>
    <w:rsid w:val="00F63772"/>
    <w:rsid w:val="00F63955"/>
    <w:rsid w:val="00F648D4"/>
    <w:rsid w:val="00F6597A"/>
    <w:rsid w:val="00F67143"/>
    <w:rsid w:val="00F72E2A"/>
    <w:rsid w:val="00F7309F"/>
    <w:rsid w:val="00F81C56"/>
    <w:rsid w:val="00F84BB1"/>
    <w:rsid w:val="00F85C11"/>
    <w:rsid w:val="00F908FC"/>
    <w:rsid w:val="00F90CC0"/>
    <w:rsid w:val="00F931B0"/>
    <w:rsid w:val="00F9563E"/>
    <w:rsid w:val="00F95EBB"/>
    <w:rsid w:val="00FA1168"/>
    <w:rsid w:val="00FA13F6"/>
    <w:rsid w:val="00FA24F6"/>
    <w:rsid w:val="00FA482B"/>
    <w:rsid w:val="00FA5119"/>
    <w:rsid w:val="00FA7862"/>
    <w:rsid w:val="00FB044B"/>
    <w:rsid w:val="00FB1B24"/>
    <w:rsid w:val="00FB2C63"/>
    <w:rsid w:val="00FB4977"/>
    <w:rsid w:val="00FB5F1B"/>
    <w:rsid w:val="00FB663C"/>
    <w:rsid w:val="00FB6A91"/>
    <w:rsid w:val="00FB71F9"/>
    <w:rsid w:val="00FC08CA"/>
    <w:rsid w:val="00FC0C0F"/>
    <w:rsid w:val="00FC4D7F"/>
    <w:rsid w:val="00FC6DB6"/>
    <w:rsid w:val="00FD1963"/>
    <w:rsid w:val="00FD1D31"/>
    <w:rsid w:val="00FD785D"/>
    <w:rsid w:val="00FE026C"/>
    <w:rsid w:val="00FE1678"/>
    <w:rsid w:val="00FE211A"/>
    <w:rsid w:val="00FE2D07"/>
    <w:rsid w:val="00FE3B42"/>
    <w:rsid w:val="00FE40E4"/>
    <w:rsid w:val="00FE5489"/>
    <w:rsid w:val="00FE6B97"/>
    <w:rsid w:val="00FE78E0"/>
    <w:rsid w:val="00FE7B6C"/>
    <w:rsid w:val="00FF17A9"/>
    <w:rsid w:val="00FF5164"/>
    <w:rsid w:val="00FF70EC"/>
    <w:rsid w:val="00FF7F2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6B728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184A"/>
    <w:rPr>
      <w:sz w:val="22"/>
    </w:rPr>
  </w:style>
  <w:style w:type="paragraph" w:styleId="berschrift1">
    <w:name w:val="heading 1"/>
    <w:basedOn w:val="Standard"/>
    <w:next w:val="Standard"/>
    <w:link w:val="berschrift1Zeichen"/>
    <w:uiPriority w:val="9"/>
    <w:qFormat/>
    <w:rsid w:val="006412B0"/>
    <w:pPr>
      <w:keepNext/>
      <w:keepLines/>
      <w:numPr>
        <w:numId w:val="11"/>
      </w:numPr>
      <w:spacing w:before="480"/>
      <w:outlineLvl w:val="0"/>
    </w:pPr>
    <w:rPr>
      <w:rFonts w:eastAsiaTheme="majorEastAsia" w:cstheme="majorBidi"/>
      <w:b/>
      <w:bCs/>
      <w:sz w:val="24"/>
      <w:szCs w:val="32"/>
    </w:rPr>
  </w:style>
  <w:style w:type="paragraph" w:styleId="berschrift2">
    <w:name w:val="heading 2"/>
    <w:basedOn w:val="Standard"/>
    <w:next w:val="Standard"/>
    <w:link w:val="berschrift2Zeichen"/>
    <w:uiPriority w:val="9"/>
    <w:unhideWhenUsed/>
    <w:qFormat/>
    <w:rsid w:val="006412B0"/>
    <w:pPr>
      <w:keepNext/>
      <w:keepLines/>
      <w:numPr>
        <w:ilvl w:val="1"/>
        <w:numId w:val="11"/>
      </w:numPr>
      <w:spacing w:before="200"/>
      <w:outlineLvl w:val="1"/>
    </w:pPr>
    <w:rPr>
      <w:rFonts w:eastAsiaTheme="majorEastAsia" w:cstheme="majorBidi"/>
      <w:b/>
      <w:bCs/>
      <w:szCs w:val="26"/>
    </w:rPr>
  </w:style>
  <w:style w:type="paragraph" w:styleId="berschrift3">
    <w:name w:val="heading 3"/>
    <w:basedOn w:val="Standard"/>
    <w:next w:val="Standard"/>
    <w:link w:val="berschrift3Zeichen"/>
    <w:uiPriority w:val="9"/>
    <w:unhideWhenUsed/>
    <w:qFormat/>
    <w:rsid w:val="006412B0"/>
    <w:pPr>
      <w:keepNext/>
      <w:keepLines/>
      <w:numPr>
        <w:ilvl w:val="2"/>
        <w:numId w:val="11"/>
      </w:numPr>
      <w:spacing w:before="200"/>
      <w:outlineLvl w:val="2"/>
    </w:pPr>
    <w:rPr>
      <w:rFonts w:asciiTheme="majorHAnsi" w:eastAsiaTheme="majorEastAsia" w:hAnsiTheme="majorHAnsi" w:cstheme="majorBidi"/>
      <w:b/>
      <w:bCs/>
    </w:rPr>
  </w:style>
  <w:style w:type="paragraph" w:styleId="berschrift4">
    <w:name w:val="heading 4"/>
    <w:basedOn w:val="Standard"/>
    <w:next w:val="Standard"/>
    <w:link w:val="berschrift4Zeichen"/>
    <w:uiPriority w:val="9"/>
    <w:semiHidden/>
    <w:unhideWhenUsed/>
    <w:qFormat/>
    <w:rsid w:val="006412B0"/>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semiHidden/>
    <w:unhideWhenUsed/>
    <w:qFormat/>
    <w:rsid w:val="006412B0"/>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6412B0"/>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6412B0"/>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6412B0"/>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6412B0"/>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221BC0"/>
    <w:rPr>
      <w:color w:val="0000FF" w:themeColor="hyperlink"/>
      <w:u w:val="single"/>
    </w:rPr>
  </w:style>
  <w:style w:type="paragraph" w:styleId="Sprechblasentext">
    <w:name w:val="Balloon Text"/>
    <w:basedOn w:val="Standard"/>
    <w:link w:val="SprechblasentextZeichen"/>
    <w:uiPriority w:val="99"/>
    <w:semiHidden/>
    <w:unhideWhenUsed/>
    <w:rsid w:val="001150A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150A6"/>
    <w:rPr>
      <w:rFonts w:ascii="Lucida Grande" w:hAnsi="Lucida Grande" w:cs="Lucida Grande"/>
      <w:sz w:val="18"/>
      <w:szCs w:val="18"/>
    </w:rPr>
  </w:style>
  <w:style w:type="character" w:styleId="GesichteterLink">
    <w:name w:val="FollowedHyperlink"/>
    <w:basedOn w:val="Absatzstandardschriftart"/>
    <w:uiPriority w:val="99"/>
    <w:semiHidden/>
    <w:unhideWhenUsed/>
    <w:rsid w:val="00F16F6D"/>
    <w:rPr>
      <w:color w:val="800080" w:themeColor="followedHyperlink"/>
      <w:u w:val="single"/>
    </w:rPr>
  </w:style>
  <w:style w:type="paragraph" w:styleId="StandardWeb">
    <w:name w:val="Normal (Web)"/>
    <w:basedOn w:val="Standard"/>
    <w:uiPriority w:val="99"/>
    <w:unhideWhenUsed/>
    <w:rsid w:val="009A1450"/>
    <w:pPr>
      <w:spacing w:before="100" w:beforeAutospacing="1" w:after="100" w:afterAutospacing="1"/>
    </w:pPr>
    <w:rPr>
      <w:rFonts w:ascii="Times" w:hAnsi="Times" w:cs="Times New Roman"/>
      <w:sz w:val="20"/>
      <w:szCs w:val="20"/>
    </w:rPr>
  </w:style>
  <w:style w:type="paragraph" w:styleId="Listenabsatz">
    <w:name w:val="List Paragraph"/>
    <w:basedOn w:val="Standard"/>
    <w:uiPriority w:val="34"/>
    <w:qFormat/>
    <w:rsid w:val="007106E6"/>
    <w:pPr>
      <w:ind w:left="720"/>
      <w:contextualSpacing/>
    </w:pPr>
  </w:style>
  <w:style w:type="paragraph" w:styleId="KeinLeerraum">
    <w:name w:val="No Spacing"/>
    <w:uiPriority w:val="1"/>
    <w:qFormat/>
    <w:rsid w:val="000B7CCD"/>
    <w:rPr>
      <w:sz w:val="22"/>
    </w:rPr>
  </w:style>
  <w:style w:type="paragraph" w:styleId="Funotentext">
    <w:name w:val="footnote text"/>
    <w:basedOn w:val="Standard"/>
    <w:link w:val="FunotentextZeichen"/>
    <w:uiPriority w:val="99"/>
    <w:unhideWhenUsed/>
    <w:rsid w:val="00F15239"/>
  </w:style>
  <w:style w:type="character" w:customStyle="1" w:styleId="FunotentextZeichen">
    <w:name w:val="Fußnotentext Zeichen"/>
    <w:basedOn w:val="Absatzstandardschriftart"/>
    <w:link w:val="Funotentext"/>
    <w:uiPriority w:val="99"/>
    <w:rsid w:val="00F15239"/>
  </w:style>
  <w:style w:type="character" w:styleId="Funotenzeichen">
    <w:name w:val="footnote reference"/>
    <w:basedOn w:val="Absatzstandardschriftart"/>
    <w:uiPriority w:val="99"/>
    <w:unhideWhenUsed/>
    <w:rsid w:val="00F15239"/>
    <w:rPr>
      <w:vertAlign w:val="superscript"/>
    </w:rPr>
  </w:style>
  <w:style w:type="character" w:customStyle="1" w:styleId="berschrift1Zeichen">
    <w:name w:val="Überschrift 1 Zeichen"/>
    <w:basedOn w:val="Absatzstandardschriftart"/>
    <w:link w:val="berschrift1"/>
    <w:uiPriority w:val="9"/>
    <w:rsid w:val="006412B0"/>
    <w:rPr>
      <w:rFonts w:eastAsiaTheme="majorEastAsia" w:cstheme="majorBidi"/>
      <w:b/>
      <w:bCs/>
      <w:szCs w:val="32"/>
    </w:rPr>
  </w:style>
  <w:style w:type="character" w:customStyle="1" w:styleId="berschrift2Zeichen">
    <w:name w:val="Überschrift 2 Zeichen"/>
    <w:basedOn w:val="Absatzstandardschriftart"/>
    <w:link w:val="berschrift2"/>
    <w:uiPriority w:val="9"/>
    <w:rsid w:val="006412B0"/>
    <w:rPr>
      <w:rFonts w:eastAsiaTheme="majorEastAsia" w:cstheme="majorBidi"/>
      <w:b/>
      <w:bCs/>
      <w:sz w:val="22"/>
      <w:szCs w:val="26"/>
    </w:rPr>
  </w:style>
  <w:style w:type="paragraph" w:styleId="Beschriftung">
    <w:name w:val="caption"/>
    <w:basedOn w:val="Standard"/>
    <w:next w:val="Standard"/>
    <w:uiPriority w:val="35"/>
    <w:unhideWhenUsed/>
    <w:qFormat/>
    <w:rsid w:val="005859C7"/>
    <w:pPr>
      <w:spacing w:after="200"/>
    </w:pPr>
    <w:rPr>
      <w:b/>
      <w:bCs/>
      <w:sz w:val="18"/>
      <w:szCs w:val="18"/>
    </w:rPr>
  </w:style>
  <w:style w:type="paragraph" w:styleId="Fuzeile">
    <w:name w:val="footer"/>
    <w:basedOn w:val="Standard"/>
    <w:link w:val="FuzeileZeichen"/>
    <w:uiPriority w:val="99"/>
    <w:unhideWhenUsed/>
    <w:rsid w:val="00995317"/>
    <w:pPr>
      <w:tabs>
        <w:tab w:val="center" w:pos="4536"/>
        <w:tab w:val="right" w:pos="9072"/>
      </w:tabs>
    </w:pPr>
  </w:style>
  <w:style w:type="character" w:customStyle="1" w:styleId="FuzeileZeichen">
    <w:name w:val="Fußzeile Zeichen"/>
    <w:basedOn w:val="Absatzstandardschriftart"/>
    <w:link w:val="Fuzeile"/>
    <w:uiPriority w:val="99"/>
    <w:rsid w:val="00995317"/>
    <w:rPr>
      <w:sz w:val="22"/>
    </w:rPr>
  </w:style>
  <w:style w:type="character" w:styleId="Seitenzahl">
    <w:name w:val="page number"/>
    <w:basedOn w:val="Absatzstandardschriftart"/>
    <w:uiPriority w:val="99"/>
    <w:semiHidden/>
    <w:unhideWhenUsed/>
    <w:rsid w:val="00995317"/>
  </w:style>
  <w:style w:type="paragraph" w:styleId="Verzeichnis1">
    <w:name w:val="toc 1"/>
    <w:basedOn w:val="Standard"/>
    <w:next w:val="Standard"/>
    <w:autoRedefine/>
    <w:uiPriority w:val="39"/>
    <w:unhideWhenUsed/>
    <w:rsid w:val="0059452E"/>
    <w:pPr>
      <w:tabs>
        <w:tab w:val="left" w:pos="362"/>
        <w:tab w:val="right" w:leader="dot" w:pos="9056"/>
      </w:tabs>
    </w:pPr>
  </w:style>
  <w:style w:type="paragraph" w:styleId="Verzeichnis2">
    <w:name w:val="toc 2"/>
    <w:basedOn w:val="Standard"/>
    <w:next w:val="Standard"/>
    <w:autoRedefine/>
    <w:uiPriority w:val="39"/>
    <w:unhideWhenUsed/>
    <w:rsid w:val="0097654D"/>
    <w:pPr>
      <w:ind w:left="220"/>
    </w:pPr>
  </w:style>
  <w:style w:type="paragraph" w:styleId="Verzeichnis3">
    <w:name w:val="toc 3"/>
    <w:basedOn w:val="Standard"/>
    <w:next w:val="Standard"/>
    <w:autoRedefine/>
    <w:uiPriority w:val="39"/>
    <w:unhideWhenUsed/>
    <w:rsid w:val="0097654D"/>
    <w:pPr>
      <w:ind w:left="440"/>
    </w:pPr>
  </w:style>
  <w:style w:type="paragraph" w:styleId="Verzeichnis4">
    <w:name w:val="toc 4"/>
    <w:basedOn w:val="Standard"/>
    <w:next w:val="Standard"/>
    <w:autoRedefine/>
    <w:uiPriority w:val="39"/>
    <w:unhideWhenUsed/>
    <w:rsid w:val="0097654D"/>
    <w:pPr>
      <w:ind w:left="660"/>
    </w:pPr>
  </w:style>
  <w:style w:type="paragraph" w:styleId="Verzeichnis5">
    <w:name w:val="toc 5"/>
    <w:basedOn w:val="Standard"/>
    <w:next w:val="Standard"/>
    <w:autoRedefine/>
    <w:uiPriority w:val="39"/>
    <w:unhideWhenUsed/>
    <w:rsid w:val="0097654D"/>
    <w:pPr>
      <w:ind w:left="880"/>
    </w:pPr>
  </w:style>
  <w:style w:type="paragraph" w:styleId="Verzeichnis6">
    <w:name w:val="toc 6"/>
    <w:basedOn w:val="Standard"/>
    <w:next w:val="Standard"/>
    <w:autoRedefine/>
    <w:uiPriority w:val="39"/>
    <w:unhideWhenUsed/>
    <w:rsid w:val="0097654D"/>
    <w:pPr>
      <w:ind w:left="1100"/>
    </w:pPr>
  </w:style>
  <w:style w:type="paragraph" w:styleId="Verzeichnis7">
    <w:name w:val="toc 7"/>
    <w:basedOn w:val="Standard"/>
    <w:next w:val="Standard"/>
    <w:autoRedefine/>
    <w:uiPriority w:val="39"/>
    <w:unhideWhenUsed/>
    <w:rsid w:val="0097654D"/>
    <w:pPr>
      <w:ind w:left="1320"/>
    </w:pPr>
  </w:style>
  <w:style w:type="paragraph" w:styleId="Verzeichnis8">
    <w:name w:val="toc 8"/>
    <w:basedOn w:val="Standard"/>
    <w:next w:val="Standard"/>
    <w:autoRedefine/>
    <w:uiPriority w:val="39"/>
    <w:unhideWhenUsed/>
    <w:rsid w:val="0097654D"/>
    <w:pPr>
      <w:ind w:left="1540"/>
    </w:pPr>
  </w:style>
  <w:style w:type="paragraph" w:styleId="Verzeichnis9">
    <w:name w:val="toc 9"/>
    <w:basedOn w:val="Standard"/>
    <w:next w:val="Standard"/>
    <w:autoRedefine/>
    <w:uiPriority w:val="39"/>
    <w:unhideWhenUsed/>
    <w:rsid w:val="0097654D"/>
    <w:pPr>
      <w:ind w:left="1760"/>
    </w:pPr>
  </w:style>
  <w:style w:type="character" w:customStyle="1" w:styleId="berschrift3Zeichen">
    <w:name w:val="Überschrift 3 Zeichen"/>
    <w:basedOn w:val="Absatzstandardschriftart"/>
    <w:link w:val="berschrift3"/>
    <w:uiPriority w:val="9"/>
    <w:rsid w:val="006412B0"/>
    <w:rPr>
      <w:rFonts w:asciiTheme="majorHAnsi" w:eastAsiaTheme="majorEastAsia" w:hAnsiTheme="majorHAnsi" w:cstheme="majorBidi"/>
      <w:b/>
      <w:bCs/>
      <w:sz w:val="22"/>
    </w:rPr>
  </w:style>
  <w:style w:type="paragraph" w:styleId="Kopfzeile">
    <w:name w:val="header"/>
    <w:basedOn w:val="Standard"/>
    <w:link w:val="KopfzeileZeichen"/>
    <w:uiPriority w:val="99"/>
    <w:unhideWhenUsed/>
    <w:rsid w:val="00ED7E30"/>
    <w:pPr>
      <w:tabs>
        <w:tab w:val="center" w:pos="4536"/>
        <w:tab w:val="right" w:pos="9072"/>
      </w:tabs>
    </w:pPr>
  </w:style>
  <w:style w:type="character" w:customStyle="1" w:styleId="KopfzeileZeichen">
    <w:name w:val="Kopfzeile Zeichen"/>
    <w:basedOn w:val="Absatzstandardschriftart"/>
    <w:link w:val="Kopfzeile"/>
    <w:uiPriority w:val="99"/>
    <w:rsid w:val="00ED7E30"/>
    <w:rPr>
      <w:sz w:val="22"/>
    </w:rPr>
  </w:style>
  <w:style w:type="character" w:customStyle="1" w:styleId="berschrift4Zeichen">
    <w:name w:val="Überschrift 4 Zeichen"/>
    <w:basedOn w:val="Absatzstandardschriftart"/>
    <w:link w:val="berschrift4"/>
    <w:uiPriority w:val="9"/>
    <w:semiHidden/>
    <w:rsid w:val="006412B0"/>
    <w:rPr>
      <w:rFonts w:asciiTheme="majorHAnsi" w:eastAsiaTheme="majorEastAsia" w:hAnsiTheme="majorHAnsi" w:cstheme="majorBidi"/>
      <w:b/>
      <w:bCs/>
      <w:i/>
      <w:iCs/>
      <w:color w:val="4F81BD" w:themeColor="accent1"/>
      <w:sz w:val="22"/>
    </w:rPr>
  </w:style>
  <w:style w:type="character" w:customStyle="1" w:styleId="berschrift5Zeichen">
    <w:name w:val="Überschrift 5 Zeichen"/>
    <w:basedOn w:val="Absatzstandardschriftart"/>
    <w:link w:val="berschrift5"/>
    <w:uiPriority w:val="9"/>
    <w:semiHidden/>
    <w:rsid w:val="006412B0"/>
    <w:rPr>
      <w:rFonts w:asciiTheme="majorHAnsi" w:eastAsiaTheme="majorEastAsia" w:hAnsiTheme="majorHAnsi" w:cstheme="majorBidi"/>
      <w:color w:val="243F60" w:themeColor="accent1" w:themeShade="7F"/>
      <w:sz w:val="22"/>
    </w:rPr>
  </w:style>
  <w:style w:type="character" w:customStyle="1" w:styleId="berschrift6Zeichen">
    <w:name w:val="Überschrift 6 Zeichen"/>
    <w:basedOn w:val="Absatzstandardschriftart"/>
    <w:link w:val="berschrift6"/>
    <w:uiPriority w:val="9"/>
    <w:semiHidden/>
    <w:rsid w:val="006412B0"/>
    <w:rPr>
      <w:rFonts w:asciiTheme="majorHAnsi" w:eastAsiaTheme="majorEastAsia" w:hAnsiTheme="majorHAnsi" w:cstheme="majorBidi"/>
      <w:i/>
      <w:iCs/>
      <w:color w:val="243F60" w:themeColor="accent1" w:themeShade="7F"/>
      <w:sz w:val="22"/>
    </w:rPr>
  </w:style>
  <w:style w:type="character" w:customStyle="1" w:styleId="berschrift7Zeichen">
    <w:name w:val="Überschrift 7 Zeichen"/>
    <w:basedOn w:val="Absatzstandardschriftart"/>
    <w:link w:val="berschrift7"/>
    <w:uiPriority w:val="9"/>
    <w:semiHidden/>
    <w:rsid w:val="006412B0"/>
    <w:rPr>
      <w:rFonts w:asciiTheme="majorHAnsi" w:eastAsiaTheme="majorEastAsia" w:hAnsiTheme="majorHAnsi" w:cstheme="majorBidi"/>
      <w:i/>
      <w:iCs/>
      <w:color w:val="404040" w:themeColor="text1" w:themeTint="BF"/>
      <w:sz w:val="22"/>
    </w:rPr>
  </w:style>
  <w:style w:type="character" w:customStyle="1" w:styleId="berschrift8Zeichen">
    <w:name w:val="Überschrift 8 Zeichen"/>
    <w:basedOn w:val="Absatzstandardschriftart"/>
    <w:link w:val="berschrift8"/>
    <w:uiPriority w:val="9"/>
    <w:semiHidden/>
    <w:rsid w:val="006412B0"/>
    <w:rPr>
      <w:rFonts w:asciiTheme="majorHAnsi" w:eastAsiaTheme="majorEastAsia" w:hAnsiTheme="majorHAnsi" w:cstheme="majorBidi"/>
      <w:color w:val="404040" w:themeColor="text1" w:themeTint="BF"/>
      <w:sz w:val="20"/>
      <w:szCs w:val="20"/>
    </w:rPr>
  </w:style>
  <w:style w:type="character" w:customStyle="1" w:styleId="berschrift9Zeichen">
    <w:name w:val="Überschrift 9 Zeichen"/>
    <w:basedOn w:val="Absatzstandardschriftart"/>
    <w:link w:val="berschrift9"/>
    <w:uiPriority w:val="9"/>
    <w:semiHidden/>
    <w:rsid w:val="006412B0"/>
    <w:rPr>
      <w:rFonts w:asciiTheme="majorHAnsi" w:eastAsiaTheme="majorEastAsia" w:hAnsiTheme="majorHAnsi" w:cstheme="majorBidi"/>
      <w:i/>
      <w:iCs/>
      <w:color w:val="404040" w:themeColor="text1" w:themeTint="BF"/>
      <w:sz w:val="20"/>
      <w:szCs w:val="20"/>
    </w:rPr>
  </w:style>
  <w:style w:type="character" w:styleId="Kommentarzeichen">
    <w:name w:val="annotation reference"/>
    <w:basedOn w:val="Absatzstandardschriftart"/>
    <w:uiPriority w:val="99"/>
    <w:semiHidden/>
    <w:unhideWhenUsed/>
    <w:rsid w:val="00914CC5"/>
    <w:rPr>
      <w:sz w:val="18"/>
      <w:szCs w:val="18"/>
    </w:rPr>
  </w:style>
  <w:style w:type="paragraph" w:styleId="Kommentartext">
    <w:name w:val="annotation text"/>
    <w:basedOn w:val="Standard"/>
    <w:link w:val="KommentartextZeichen"/>
    <w:uiPriority w:val="99"/>
    <w:semiHidden/>
    <w:unhideWhenUsed/>
    <w:rsid w:val="00914CC5"/>
    <w:rPr>
      <w:sz w:val="24"/>
    </w:rPr>
  </w:style>
  <w:style w:type="character" w:customStyle="1" w:styleId="KommentartextZeichen">
    <w:name w:val="Kommentartext Zeichen"/>
    <w:basedOn w:val="Absatzstandardschriftart"/>
    <w:link w:val="Kommentartext"/>
    <w:uiPriority w:val="99"/>
    <w:semiHidden/>
    <w:rsid w:val="00914CC5"/>
  </w:style>
  <w:style w:type="paragraph" w:styleId="Kommentarthema">
    <w:name w:val="annotation subject"/>
    <w:basedOn w:val="Kommentartext"/>
    <w:next w:val="Kommentartext"/>
    <w:link w:val="KommentarthemaZeichen"/>
    <w:uiPriority w:val="99"/>
    <w:semiHidden/>
    <w:unhideWhenUsed/>
    <w:rsid w:val="00914CC5"/>
    <w:rPr>
      <w:b/>
      <w:bCs/>
      <w:sz w:val="20"/>
      <w:szCs w:val="20"/>
    </w:rPr>
  </w:style>
  <w:style w:type="character" w:customStyle="1" w:styleId="KommentarthemaZeichen">
    <w:name w:val="Kommentarthema Zeichen"/>
    <w:basedOn w:val="KommentartextZeichen"/>
    <w:link w:val="Kommentarthema"/>
    <w:uiPriority w:val="99"/>
    <w:semiHidden/>
    <w:rsid w:val="00914CC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184A"/>
    <w:rPr>
      <w:sz w:val="22"/>
    </w:rPr>
  </w:style>
  <w:style w:type="paragraph" w:styleId="berschrift1">
    <w:name w:val="heading 1"/>
    <w:basedOn w:val="Standard"/>
    <w:next w:val="Standard"/>
    <w:link w:val="berschrift1Zeichen"/>
    <w:uiPriority w:val="9"/>
    <w:qFormat/>
    <w:rsid w:val="006412B0"/>
    <w:pPr>
      <w:keepNext/>
      <w:keepLines/>
      <w:numPr>
        <w:numId w:val="11"/>
      </w:numPr>
      <w:spacing w:before="480"/>
      <w:outlineLvl w:val="0"/>
    </w:pPr>
    <w:rPr>
      <w:rFonts w:eastAsiaTheme="majorEastAsia" w:cstheme="majorBidi"/>
      <w:b/>
      <w:bCs/>
      <w:sz w:val="24"/>
      <w:szCs w:val="32"/>
    </w:rPr>
  </w:style>
  <w:style w:type="paragraph" w:styleId="berschrift2">
    <w:name w:val="heading 2"/>
    <w:basedOn w:val="Standard"/>
    <w:next w:val="Standard"/>
    <w:link w:val="berschrift2Zeichen"/>
    <w:uiPriority w:val="9"/>
    <w:unhideWhenUsed/>
    <w:qFormat/>
    <w:rsid w:val="006412B0"/>
    <w:pPr>
      <w:keepNext/>
      <w:keepLines/>
      <w:numPr>
        <w:ilvl w:val="1"/>
        <w:numId w:val="11"/>
      </w:numPr>
      <w:spacing w:before="200"/>
      <w:outlineLvl w:val="1"/>
    </w:pPr>
    <w:rPr>
      <w:rFonts w:eastAsiaTheme="majorEastAsia" w:cstheme="majorBidi"/>
      <w:b/>
      <w:bCs/>
      <w:szCs w:val="26"/>
    </w:rPr>
  </w:style>
  <w:style w:type="paragraph" w:styleId="berschrift3">
    <w:name w:val="heading 3"/>
    <w:basedOn w:val="Standard"/>
    <w:next w:val="Standard"/>
    <w:link w:val="berschrift3Zeichen"/>
    <w:uiPriority w:val="9"/>
    <w:unhideWhenUsed/>
    <w:qFormat/>
    <w:rsid w:val="006412B0"/>
    <w:pPr>
      <w:keepNext/>
      <w:keepLines/>
      <w:numPr>
        <w:ilvl w:val="2"/>
        <w:numId w:val="11"/>
      </w:numPr>
      <w:spacing w:before="200"/>
      <w:outlineLvl w:val="2"/>
    </w:pPr>
    <w:rPr>
      <w:rFonts w:asciiTheme="majorHAnsi" w:eastAsiaTheme="majorEastAsia" w:hAnsiTheme="majorHAnsi" w:cstheme="majorBidi"/>
      <w:b/>
      <w:bCs/>
    </w:rPr>
  </w:style>
  <w:style w:type="paragraph" w:styleId="berschrift4">
    <w:name w:val="heading 4"/>
    <w:basedOn w:val="Standard"/>
    <w:next w:val="Standard"/>
    <w:link w:val="berschrift4Zeichen"/>
    <w:uiPriority w:val="9"/>
    <w:semiHidden/>
    <w:unhideWhenUsed/>
    <w:qFormat/>
    <w:rsid w:val="006412B0"/>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semiHidden/>
    <w:unhideWhenUsed/>
    <w:qFormat/>
    <w:rsid w:val="006412B0"/>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6412B0"/>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6412B0"/>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6412B0"/>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6412B0"/>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221BC0"/>
    <w:rPr>
      <w:color w:val="0000FF" w:themeColor="hyperlink"/>
      <w:u w:val="single"/>
    </w:rPr>
  </w:style>
  <w:style w:type="paragraph" w:styleId="Sprechblasentext">
    <w:name w:val="Balloon Text"/>
    <w:basedOn w:val="Standard"/>
    <w:link w:val="SprechblasentextZeichen"/>
    <w:uiPriority w:val="99"/>
    <w:semiHidden/>
    <w:unhideWhenUsed/>
    <w:rsid w:val="001150A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150A6"/>
    <w:rPr>
      <w:rFonts w:ascii="Lucida Grande" w:hAnsi="Lucida Grande" w:cs="Lucida Grande"/>
      <w:sz w:val="18"/>
      <w:szCs w:val="18"/>
    </w:rPr>
  </w:style>
  <w:style w:type="character" w:styleId="GesichteterLink">
    <w:name w:val="FollowedHyperlink"/>
    <w:basedOn w:val="Absatzstandardschriftart"/>
    <w:uiPriority w:val="99"/>
    <w:semiHidden/>
    <w:unhideWhenUsed/>
    <w:rsid w:val="00F16F6D"/>
    <w:rPr>
      <w:color w:val="800080" w:themeColor="followedHyperlink"/>
      <w:u w:val="single"/>
    </w:rPr>
  </w:style>
  <w:style w:type="paragraph" w:styleId="StandardWeb">
    <w:name w:val="Normal (Web)"/>
    <w:basedOn w:val="Standard"/>
    <w:uiPriority w:val="99"/>
    <w:unhideWhenUsed/>
    <w:rsid w:val="009A1450"/>
    <w:pPr>
      <w:spacing w:before="100" w:beforeAutospacing="1" w:after="100" w:afterAutospacing="1"/>
    </w:pPr>
    <w:rPr>
      <w:rFonts w:ascii="Times" w:hAnsi="Times" w:cs="Times New Roman"/>
      <w:sz w:val="20"/>
      <w:szCs w:val="20"/>
    </w:rPr>
  </w:style>
  <w:style w:type="paragraph" w:styleId="Listenabsatz">
    <w:name w:val="List Paragraph"/>
    <w:basedOn w:val="Standard"/>
    <w:uiPriority w:val="34"/>
    <w:qFormat/>
    <w:rsid w:val="007106E6"/>
    <w:pPr>
      <w:ind w:left="720"/>
      <w:contextualSpacing/>
    </w:pPr>
  </w:style>
  <w:style w:type="paragraph" w:styleId="KeinLeerraum">
    <w:name w:val="No Spacing"/>
    <w:uiPriority w:val="1"/>
    <w:qFormat/>
    <w:rsid w:val="000B7CCD"/>
    <w:rPr>
      <w:sz w:val="22"/>
    </w:rPr>
  </w:style>
  <w:style w:type="paragraph" w:styleId="Funotentext">
    <w:name w:val="footnote text"/>
    <w:basedOn w:val="Standard"/>
    <w:link w:val="FunotentextZeichen"/>
    <w:uiPriority w:val="99"/>
    <w:unhideWhenUsed/>
    <w:rsid w:val="00F15239"/>
  </w:style>
  <w:style w:type="character" w:customStyle="1" w:styleId="FunotentextZeichen">
    <w:name w:val="Fußnotentext Zeichen"/>
    <w:basedOn w:val="Absatzstandardschriftart"/>
    <w:link w:val="Funotentext"/>
    <w:uiPriority w:val="99"/>
    <w:rsid w:val="00F15239"/>
  </w:style>
  <w:style w:type="character" w:styleId="Funotenzeichen">
    <w:name w:val="footnote reference"/>
    <w:basedOn w:val="Absatzstandardschriftart"/>
    <w:uiPriority w:val="99"/>
    <w:unhideWhenUsed/>
    <w:rsid w:val="00F15239"/>
    <w:rPr>
      <w:vertAlign w:val="superscript"/>
    </w:rPr>
  </w:style>
  <w:style w:type="character" w:customStyle="1" w:styleId="berschrift1Zeichen">
    <w:name w:val="Überschrift 1 Zeichen"/>
    <w:basedOn w:val="Absatzstandardschriftart"/>
    <w:link w:val="berschrift1"/>
    <w:uiPriority w:val="9"/>
    <w:rsid w:val="006412B0"/>
    <w:rPr>
      <w:rFonts w:eastAsiaTheme="majorEastAsia" w:cstheme="majorBidi"/>
      <w:b/>
      <w:bCs/>
      <w:szCs w:val="32"/>
    </w:rPr>
  </w:style>
  <w:style w:type="character" w:customStyle="1" w:styleId="berschrift2Zeichen">
    <w:name w:val="Überschrift 2 Zeichen"/>
    <w:basedOn w:val="Absatzstandardschriftart"/>
    <w:link w:val="berschrift2"/>
    <w:uiPriority w:val="9"/>
    <w:rsid w:val="006412B0"/>
    <w:rPr>
      <w:rFonts w:eastAsiaTheme="majorEastAsia" w:cstheme="majorBidi"/>
      <w:b/>
      <w:bCs/>
      <w:sz w:val="22"/>
      <w:szCs w:val="26"/>
    </w:rPr>
  </w:style>
  <w:style w:type="paragraph" w:styleId="Beschriftung">
    <w:name w:val="caption"/>
    <w:basedOn w:val="Standard"/>
    <w:next w:val="Standard"/>
    <w:uiPriority w:val="35"/>
    <w:unhideWhenUsed/>
    <w:qFormat/>
    <w:rsid w:val="005859C7"/>
    <w:pPr>
      <w:spacing w:after="200"/>
    </w:pPr>
    <w:rPr>
      <w:b/>
      <w:bCs/>
      <w:sz w:val="18"/>
      <w:szCs w:val="18"/>
    </w:rPr>
  </w:style>
  <w:style w:type="paragraph" w:styleId="Fuzeile">
    <w:name w:val="footer"/>
    <w:basedOn w:val="Standard"/>
    <w:link w:val="FuzeileZeichen"/>
    <w:uiPriority w:val="99"/>
    <w:unhideWhenUsed/>
    <w:rsid w:val="00995317"/>
    <w:pPr>
      <w:tabs>
        <w:tab w:val="center" w:pos="4536"/>
        <w:tab w:val="right" w:pos="9072"/>
      </w:tabs>
    </w:pPr>
  </w:style>
  <w:style w:type="character" w:customStyle="1" w:styleId="FuzeileZeichen">
    <w:name w:val="Fußzeile Zeichen"/>
    <w:basedOn w:val="Absatzstandardschriftart"/>
    <w:link w:val="Fuzeile"/>
    <w:uiPriority w:val="99"/>
    <w:rsid w:val="00995317"/>
    <w:rPr>
      <w:sz w:val="22"/>
    </w:rPr>
  </w:style>
  <w:style w:type="character" w:styleId="Seitenzahl">
    <w:name w:val="page number"/>
    <w:basedOn w:val="Absatzstandardschriftart"/>
    <w:uiPriority w:val="99"/>
    <w:semiHidden/>
    <w:unhideWhenUsed/>
    <w:rsid w:val="00995317"/>
  </w:style>
  <w:style w:type="paragraph" w:styleId="Verzeichnis1">
    <w:name w:val="toc 1"/>
    <w:basedOn w:val="Standard"/>
    <w:next w:val="Standard"/>
    <w:autoRedefine/>
    <w:uiPriority w:val="39"/>
    <w:unhideWhenUsed/>
    <w:rsid w:val="0059452E"/>
    <w:pPr>
      <w:tabs>
        <w:tab w:val="left" w:pos="362"/>
        <w:tab w:val="right" w:leader="dot" w:pos="9056"/>
      </w:tabs>
    </w:pPr>
  </w:style>
  <w:style w:type="paragraph" w:styleId="Verzeichnis2">
    <w:name w:val="toc 2"/>
    <w:basedOn w:val="Standard"/>
    <w:next w:val="Standard"/>
    <w:autoRedefine/>
    <w:uiPriority w:val="39"/>
    <w:unhideWhenUsed/>
    <w:rsid w:val="0097654D"/>
    <w:pPr>
      <w:ind w:left="220"/>
    </w:pPr>
  </w:style>
  <w:style w:type="paragraph" w:styleId="Verzeichnis3">
    <w:name w:val="toc 3"/>
    <w:basedOn w:val="Standard"/>
    <w:next w:val="Standard"/>
    <w:autoRedefine/>
    <w:uiPriority w:val="39"/>
    <w:unhideWhenUsed/>
    <w:rsid w:val="0097654D"/>
    <w:pPr>
      <w:ind w:left="440"/>
    </w:pPr>
  </w:style>
  <w:style w:type="paragraph" w:styleId="Verzeichnis4">
    <w:name w:val="toc 4"/>
    <w:basedOn w:val="Standard"/>
    <w:next w:val="Standard"/>
    <w:autoRedefine/>
    <w:uiPriority w:val="39"/>
    <w:unhideWhenUsed/>
    <w:rsid w:val="0097654D"/>
    <w:pPr>
      <w:ind w:left="660"/>
    </w:pPr>
  </w:style>
  <w:style w:type="paragraph" w:styleId="Verzeichnis5">
    <w:name w:val="toc 5"/>
    <w:basedOn w:val="Standard"/>
    <w:next w:val="Standard"/>
    <w:autoRedefine/>
    <w:uiPriority w:val="39"/>
    <w:unhideWhenUsed/>
    <w:rsid w:val="0097654D"/>
    <w:pPr>
      <w:ind w:left="880"/>
    </w:pPr>
  </w:style>
  <w:style w:type="paragraph" w:styleId="Verzeichnis6">
    <w:name w:val="toc 6"/>
    <w:basedOn w:val="Standard"/>
    <w:next w:val="Standard"/>
    <w:autoRedefine/>
    <w:uiPriority w:val="39"/>
    <w:unhideWhenUsed/>
    <w:rsid w:val="0097654D"/>
    <w:pPr>
      <w:ind w:left="1100"/>
    </w:pPr>
  </w:style>
  <w:style w:type="paragraph" w:styleId="Verzeichnis7">
    <w:name w:val="toc 7"/>
    <w:basedOn w:val="Standard"/>
    <w:next w:val="Standard"/>
    <w:autoRedefine/>
    <w:uiPriority w:val="39"/>
    <w:unhideWhenUsed/>
    <w:rsid w:val="0097654D"/>
    <w:pPr>
      <w:ind w:left="1320"/>
    </w:pPr>
  </w:style>
  <w:style w:type="paragraph" w:styleId="Verzeichnis8">
    <w:name w:val="toc 8"/>
    <w:basedOn w:val="Standard"/>
    <w:next w:val="Standard"/>
    <w:autoRedefine/>
    <w:uiPriority w:val="39"/>
    <w:unhideWhenUsed/>
    <w:rsid w:val="0097654D"/>
    <w:pPr>
      <w:ind w:left="1540"/>
    </w:pPr>
  </w:style>
  <w:style w:type="paragraph" w:styleId="Verzeichnis9">
    <w:name w:val="toc 9"/>
    <w:basedOn w:val="Standard"/>
    <w:next w:val="Standard"/>
    <w:autoRedefine/>
    <w:uiPriority w:val="39"/>
    <w:unhideWhenUsed/>
    <w:rsid w:val="0097654D"/>
    <w:pPr>
      <w:ind w:left="1760"/>
    </w:pPr>
  </w:style>
  <w:style w:type="character" w:customStyle="1" w:styleId="berschrift3Zeichen">
    <w:name w:val="Überschrift 3 Zeichen"/>
    <w:basedOn w:val="Absatzstandardschriftart"/>
    <w:link w:val="berschrift3"/>
    <w:uiPriority w:val="9"/>
    <w:rsid w:val="006412B0"/>
    <w:rPr>
      <w:rFonts w:asciiTheme="majorHAnsi" w:eastAsiaTheme="majorEastAsia" w:hAnsiTheme="majorHAnsi" w:cstheme="majorBidi"/>
      <w:b/>
      <w:bCs/>
      <w:sz w:val="22"/>
    </w:rPr>
  </w:style>
  <w:style w:type="paragraph" w:styleId="Kopfzeile">
    <w:name w:val="header"/>
    <w:basedOn w:val="Standard"/>
    <w:link w:val="KopfzeileZeichen"/>
    <w:uiPriority w:val="99"/>
    <w:unhideWhenUsed/>
    <w:rsid w:val="00ED7E30"/>
    <w:pPr>
      <w:tabs>
        <w:tab w:val="center" w:pos="4536"/>
        <w:tab w:val="right" w:pos="9072"/>
      </w:tabs>
    </w:pPr>
  </w:style>
  <w:style w:type="character" w:customStyle="1" w:styleId="KopfzeileZeichen">
    <w:name w:val="Kopfzeile Zeichen"/>
    <w:basedOn w:val="Absatzstandardschriftart"/>
    <w:link w:val="Kopfzeile"/>
    <w:uiPriority w:val="99"/>
    <w:rsid w:val="00ED7E30"/>
    <w:rPr>
      <w:sz w:val="22"/>
    </w:rPr>
  </w:style>
  <w:style w:type="character" w:customStyle="1" w:styleId="berschrift4Zeichen">
    <w:name w:val="Überschrift 4 Zeichen"/>
    <w:basedOn w:val="Absatzstandardschriftart"/>
    <w:link w:val="berschrift4"/>
    <w:uiPriority w:val="9"/>
    <w:semiHidden/>
    <w:rsid w:val="006412B0"/>
    <w:rPr>
      <w:rFonts w:asciiTheme="majorHAnsi" w:eastAsiaTheme="majorEastAsia" w:hAnsiTheme="majorHAnsi" w:cstheme="majorBidi"/>
      <w:b/>
      <w:bCs/>
      <w:i/>
      <w:iCs/>
      <w:color w:val="4F81BD" w:themeColor="accent1"/>
      <w:sz w:val="22"/>
    </w:rPr>
  </w:style>
  <w:style w:type="character" w:customStyle="1" w:styleId="berschrift5Zeichen">
    <w:name w:val="Überschrift 5 Zeichen"/>
    <w:basedOn w:val="Absatzstandardschriftart"/>
    <w:link w:val="berschrift5"/>
    <w:uiPriority w:val="9"/>
    <w:semiHidden/>
    <w:rsid w:val="006412B0"/>
    <w:rPr>
      <w:rFonts w:asciiTheme="majorHAnsi" w:eastAsiaTheme="majorEastAsia" w:hAnsiTheme="majorHAnsi" w:cstheme="majorBidi"/>
      <w:color w:val="243F60" w:themeColor="accent1" w:themeShade="7F"/>
      <w:sz w:val="22"/>
    </w:rPr>
  </w:style>
  <w:style w:type="character" w:customStyle="1" w:styleId="berschrift6Zeichen">
    <w:name w:val="Überschrift 6 Zeichen"/>
    <w:basedOn w:val="Absatzstandardschriftart"/>
    <w:link w:val="berschrift6"/>
    <w:uiPriority w:val="9"/>
    <w:semiHidden/>
    <w:rsid w:val="006412B0"/>
    <w:rPr>
      <w:rFonts w:asciiTheme="majorHAnsi" w:eastAsiaTheme="majorEastAsia" w:hAnsiTheme="majorHAnsi" w:cstheme="majorBidi"/>
      <w:i/>
      <w:iCs/>
      <w:color w:val="243F60" w:themeColor="accent1" w:themeShade="7F"/>
      <w:sz w:val="22"/>
    </w:rPr>
  </w:style>
  <w:style w:type="character" w:customStyle="1" w:styleId="berschrift7Zeichen">
    <w:name w:val="Überschrift 7 Zeichen"/>
    <w:basedOn w:val="Absatzstandardschriftart"/>
    <w:link w:val="berschrift7"/>
    <w:uiPriority w:val="9"/>
    <w:semiHidden/>
    <w:rsid w:val="006412B0"/>
    <w:rPr>
      <w:rFonts w:asciiTheme="majorHAnsi" w:eastAsiaTheme="majorEastAsia" w:hAnsiTheme="majorHAnsi" w:cstheme="majorBidi"/>
      <w:i/>
      <w:iCs/>
      <w:color w:val="404040" w:themeColor="text1" w:themeTint="BF"/>
      <w:sz w:val="22"/>
    </w:rPr>
  </w:style>
  <w:style w:type="character" w:customStyle="1" w:styleId="berschrift8Zeichen">
    <w:name w:val="Überschrift 8 Zeichen"/>
    <w:basedOn w:val="Absatzstandardschriftart"/>
    <w:link w:val="berschrift8"/>
    <w:uiPriority w:val="9"/>
    <w:semiHidden/>
    <w:rsid w:val="006412B0"/>
    <w:rPr>
      <w:rFonts w:asciiTheme="majorHAnsi" w:eastAsiaTheme="majorEastAsia" w:hAnsiTheme="majorHAnsi" w:cstheme="majorBidi"/>
      <w:color w:val="404040" w:themeColor="text1" w:themeTint="BF"/>
      <w:sz w:val="20"/>
      <w:szCs w:val="20"/>
    </w:rPr>
  </w:style>
  <w:style w:type="character" w:customStyle="1" w:styleId="berschrift9Zeichen">
    <w:name w:val="Überschrift 9 Zeichen"/>
    <w:basedOn w:val="Absatzstandardschriftart"/>
    <w:link w:val="berschrift9"/>
    <w:uiPriority w:val="9"/>
    <w:semiHidden/>
    <w:rsid w:val="006412B0"/>
    <w:rPr>
      <w:rFonts w:asciiTheme="majorHAnsi" w:eastAsiaTheme="majorEastAsia" w:hAnsiTheme="majorHAnsi" w:cstheme="majorBidi"/>
      <w:i/>
      <w:iCs/>
      <w:color w:val="404040" w:themeColor="text1" w:themeTint="BF"/>
      <w:sz w:val="20"/>
      <w:szCs w:val="20"/>
    </w:rPr>
  </w:style>
  <w:style w:type="character" w:styleId="Kommentarzeichen">
    <w:name w:val="annotation reference"/>
    <w:basedOn w:val="Absatzstandardschriftart"/>
    <w:uiPriority w:val="99"/>
    <w:semiHidden/>
    <w:unhideWhenUsed/>
    <w:rsid w:val="00914CC5"/>
    <w:rPr>
      <w:sz w:val="18"/>
      <w:szCs w:val="18"/>
    </w:rPr>
  </w:style>
  <w:style w:type="paragraph" w:styleId="Kommentartext">
    <w:name w:val="annotation text"/>
    <w:basedOn w:val="Standard"/>
    <w:link w:val="KommentartextZeichen"/>
    <w:uiPriority w:val="99"/>
    <w:semiHidden/>
    <w:unhideWhenUsed/>
    <w:rsid w:val="00914CC5"/>
    <w:rPr>
      <w:sz w:val="24"/>
    </w:rPr>
  </w:style>
  <w:style w:type="character" w:customStyle="1" w:styleId="KommentartextZeichen">
    <w:name w:val="Kommentartext Zeichen"/>
    <w:basedOn w:val="Absatzstandardschriftart"/>
    <w:link w:val="Kommentartext"/>
    <w:uiPriority w:val="99"/>
    <w:semiHidden/>
    <w:rsid w:val="00914CC5"/>
  </w:style>
  <w:style w:type="paragraph" w:styleId="Kommentarthema">
    <w:name w:val="annotation subject"/>
    <w:basedOn w:val="Kommentartext"/>
    <w:next w:val="Kommentartext"/>
    <w:link w:val="KommentarthemaZeichen"/>
    <w:uiPriority w:val="99"/>
    <w:semiHidden/>
    <w:unhideWhenUsed/>
    <w:rsid w:val="00914CC5"/>
    <w:rPr>
      <w:b/>
      <w:bCs/>
      <w:sz w:val="20"/>
      <w:szCs w:val="20"/>
    </w:rPr>
  </w:style>
  <w:style w:type="character" w:customStyle="1" w:styleId="KommentarthemaZeichen">
    <w:name w:val="Kommentarthema Zeichen"/>
    <w:basedOn w:val="KommentartextZeichen"/>
    <w:link w:val="Kommentarthema"/>
    <w:uiPriority w:val="99"/>
    <w:semiHidden/>
    <w:rsid w:val="00914C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939">
      <w:bodyDiv w:val="1"/>
      <w:marLeft w:val="0"/>
      <w:marRight w:val="0"/>
      <w:marTop w:val="0"/>
      <w:marBottom w:val="0"/>
      <w:divBdr>
        <w:top w:val="none" w:sz="0" w:space="0" w:color="auto"/>
        <w:left w:val="none" w:sz="0" w:space="0" w:color="auto"/>
        <w:bottom w:val="none" w:sz="0" w:space="0" w:color="auto"/>
        <w:right w:val="none" w:sz="0" w:space="0" w:color="auto"/>
      </w:divBdr>
      <w:divsChild>
        <w:div w:id="380135024">
          <w:marLeft w:val="0"/>
          <w:marRight w:val="0"/>
          <w:marTop w:val="0"/>
          <w:marBottom w:val="0"/>
          <w:divBdr>
            <w:top w:val="none" w:sz="0" w:space="0" w:color="auto"/>
            <w:left w:val="none" w:sz="0" w:space="0" w:color="auto"/>
            <w:bottom w:val="none" w:sz="0" w:space="0" w:color="auto"/>
            <w:right w:val="none" w:sz="0" w:space="0" w:color="auto"/>
          </w:divBdr>
          <w:divsChild>
            <w:div w:id="516622264">
              <w:marLeft w:val="0"/>
              <w:marRight w:val="0"/>
              <w:marTop w:val="0"/>
              <w:marBottom w:val="0"/>
              <w:divBdr>
                <w:top w:val="none" w:sz="0" w:space="0" w:color="auto"/>
                <w:left w:val="none" w:sz="0" w:space="0" w:color="auto"/>
                <w:bottom w:val="none" w:sz="0" w:space="0" w:color="auto"/>
                <w:right w:val="none" w:sz="0" w:space="0" w:color="auto"/>
              </w:divBdr>
              <w:divsChild>
                <w:div w:id="1736854631">
                  <w:marLeft w:val="0"/>
                  <w:marRight w:val="0"/>
                  <w:marTop w:val="0"/>
                  <w:marBottom w:val="0"/>
                  <w:divBdr>
                    <w:top w:val="none" w:sz="0" w:space="0" w:color="auto"/>
                    <w:left w:val="none" w:sz="0" w:space="0" w:color="auto"/>
                    <w:bottom w:val="none" w:sz="0" w:space="0" w:color="auto"/>
                    <w:right w:val="none" w:sz="0" w:space="0" w:color="auto"/>
                  </w:divBdr>
                  <w:divsChild>
                    <w:div w:id="14953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5651">
      <w:bodyDiv w:val="1"/>
      <w:marLeft w:val="0"/>
      <w:marRight w:val="0"/>
      <w:marTop w:val="0"/>
      <w:marBottom w:val="0"/>
      <w:divBdr>
        <w:top w:val="none" w:sz="0" w:space="0" w:color="auto"/>
        <w:left w:val="none" w:sz="0" w:space="0" w:color="auto"/>
        <w:bottom w:val="none" w:sz="0" w:space="0" w:color="auto"/>
        <w:right w:val="none" w:sz="0" w:space="0" w:color="auto"/>
      </w:divBdr>
      <w:divsChild>
        <w:div w:id="1088188360">
          <w:marLeft w:val="0"/>
          <w:marRight w:val="0"/>
          <w:marTop w:val="0"/>
          <w:marBottom w:val="0"/>
          <w:divBdr>
            <w:top w:val="none" w:sz="0" w:space="0" w:color="auto"/>
            <w:left w:val="none" w:sz="0" w:space="0" w:color="auto"/>
            <w:bottom w:val="none" w:sz="0" w:space="0" w:color="auto"/>
            <w:right w:val="none" w:sz="0" w:space="0" w:color="auto"/>
          </w:divBdr>
          <w:divsChild>
            <w:div w:id="434638293">
              <w:marLeft w:val="0"/>
              <w:marRight w:val="0"/>
              <w:marTop w:val="0"/>
              <w:marBottom w:val="0"/>
              <w:divBdr>
                <w:top w:val="none" w:sz="0" w:space="0" w:color="auto"/>
                <w:left w:val="none" w:sz="0" w:space="0" w:color="auto"/>
                <w:bottom w:val="none" w:sz="0" w:space="0" w:color="auto"/>
                <w:right w:val="none" w:sz="0" w:space="0" w:color="auto"/>
              </w:divBdr>
              <w:divsChild>
                <w:div w:id="1328436577">
                  <w:marLeft w:val="0"/>
                  <w:marRight w:val="0"/>
                  <w:marTop w:val="0"/>
                  <w:marBottom w:val="0"/>
                  <w:divBdr>
                    <w:top w:val="none" w:sz="0" w:space="0" w:color="auto"/>
                    <w:left w:val="none" w:sz="0" w:space="0" w:color="auto"/>
                    <w:bottom w:val="none" w:sz="0" w:space="0" w:color="auto"/>
                    <w:right w:val="none" w:sz="0" w:space="0" w:color="auto"/>
                  </w:divBdr>
                  <w:divsChild>
                    <w:div w:id="52856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0413">
      <w:bodyDiv w:val="1"/>
      <w:marLeft w:val="0"/>
      <w:marRight w:val="0"/>
      <w:marTop w:val="0"/>
      <w:marBottom w:val="0"/>
      <w:divBdr>
        <w:top w:val="none" w:sz="0" w:space="0" w:color="auto"/>
        <w:left w:val="none" w:sz="0" w:space="0" w:color="auto"/>
        <w:bottom w:val="none" w:sz="0" w:space="0" w:color="auto"/>
        <w:right w:val="none" w:sz="0" w:space="0" w:color="auto"/>
      </w:divBdr>
      <w:divsChild>
        <w:div w:id="581183798">
          <w:marLeft w:val="0"/>
          <w:marRight w:val="0"/>
          <w:marTop w:val="0"/>
          <w:marBottom w:val="0"/>
          <w:divBdr>
            <w:top w:val="none" w:sz="0" w:space="0" w:color="auto"/>
            <w:left w:val="none" w:sz="0" w:space="0" w:color="auto"/>
            <w:bottom w:val="none" w:sz="0" w:space="0" w:color="auto"/>
            <w:right w:val="none" w:sz="0" w:space="0" w:color="auto"/>
          </w:divBdr>
          <w:divsChild>
            <w:div w:id="78793494">
              <w:marLeft w:val="0"/>
              <w:marRight w:val="0"/>
              <w:marTop w:val="0"/>
              <w:marBottom w:val="0"/>
              <w:divBdr>
                <w:top w:val="none" w:sz="0" w:space="0" w:color="auto"/>
                <w:left w:val="none" w:sz="0" w:space="0" w:color="auto"/>
                <w:bottom w:val="none" w:sz="0" w:space="0" w:color="auto"/>
                <w:right w:val="none" w:sz="0" w:space="0" w:color="auto"/>
              </w:divBdr>
              <w:divsChild>
                <w:div w:id="709380628">
                  <w:marLeft w:val="0"/>
                  <w:marRight w:val="0"/>
                  <w:marTop w:val="0"/>
                  <w:marBottom w:val="0"/>
                  <w:divBdr>
                    <w:top w:val="none" w:sz="0" w:space="0" w:color="auto"/>
                    <w:left w:val="none" w:sz="0" w:space="0" w:color="auto"/>
                    <w:bottom w:val="none" w:sz="0" w:space="0" w:color="auto"/>
                    <w:right w:val="none" w:sz="0" w:space="0" w:color="auto"/>
                  </w:divBdr>
                  <w:divsChild>
                    <w:div w:id="2751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4300">
      <w:bodyDiv w:val="1"/>
      <w:marLeft w:val="0"/>
      <w:marRight w:val="0"/>
      <w:marTop w:val="0"/>
      <w:marBottom w:val="0"/>
      <w:divBdr>
        <w:top w:val="none" w:sz="0" w:space="0" w:color="auto"/>
        <w:left w:val="none" w:sz="0" w:space="0" w:color="auto"/>
        <w:bottom w:val="none" w:sz="0" w:space="0" w:color="auto"/>
        <w:right w:val="none" w:sz="0" w:space="0" w:color="auto"/>
      </w:divBdr>
      <w:divsChild>
        <w:div w:id="1370492629">
          <w:marLeft w:val="0"/>
          <w:marRight w:val="0"/>
          <w:marTop w:val="0"/>
          <w:marBottom w:val="0"/>
          <w:divBdr>
            <w:top w:val="none" w:sz="0" w:space="0" w:color="auto"/>
            <w:left w:val="none" w:sz="0" w:space="0" w:color="auto"/>
            <w:bottom w:val="none" w:sz="0" w:space="0" w:color="auto"/>
            <w:right w:val="none" w:sz="0" w:space="0" w:color="auto"/>
          </w:divBdr>
          <w:divsChild>
            <w:div w:id="1117410008">
              <w:marLeft w:val="0"/>
              <w:marRight w:val="0"/>
              <w:marTop w:val="0"/>
              <w:marBottom w:val="0"/>
              <w:divBdr>
                <w:top w:val="none" w:sz="0" w:space="0" w:color="auto"/>
                <w:left w:val="none" w:sz="0" w:space="0" w:color="auto"/>
                <w:bottom w:val="none" w:sz="0" w:space="0" w:color="auto"/>
                <w:right w:val="none" w:sz="0" w:space="0" w:color="auto"/>
              </w:divBdr>
              <w:divsChild>
                <w:div w:id="59868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561">
      <w:bodyDiv w:val="1"/>
      <w:marLeft w:val="0"/>
      <w:marRight w:val="0"/>
      <w:marTop w:val="0"/>
      <w:marBottom w:val="0"/>
      <w:divBdr>
        <w:top w:val="none" w:sz="0" w:space="0" w:color="auto"/>
        <w:left w:val="none" w:sz="0" w:space="0" w:color="auto"/>
        <w:bottom w:val="none" w:sz="0" w:space="0" w:color="auto"/>
        <w:right w:val="none" w:sz="0" w:space="0" w:color="auto"/>
      </w:divBdr>
      <w:divsChild>
        <w:div w:id="867909199">
          <w:marLeft w:val="0"/>
          <w:marRight w:val="0"/>
          <w:marTop w:val="0"/>
          <w:marBottom w:val="0"/>
          <w:divBdr>
            <w:top w:val="none" w:sz="0" w:space="0" w:color="auto"/>
            <w:left w:val="none" w:sz="0" w:space="0" w:color="auto"/>
            <w:bottom w:val="none" w:sz="0" w:space="0" w:color="auto"/>
            <w:right w:val="none" w:sz="0" w:space="0" w:color="auto"/>
          </w:divBdr>
          <w:divsChild>
            <w:div w:id="1824349916">
              <w:marLeft w:val="0"/>
              <w:marRight w:val="0"/>
              <w:marTop w:val="0"/>
              <w:marBottom w:val="0"/>
              <w:divBdr>
                <w:top w:val="none" w:sz="0" w:space="0" w:color="auto"/>
                <w:left w:val="none" w:sz="0" w:space="0" w:color="auto"/>
                <w:bottom w:val="none" w:sz="0" w:space="0" w:color="auto"/>
                <w:right w:val="none" w:sz="0" w:space="0" w:color="auto"/>
              </w:divBdr>
              <w:divsChild>
                <w:div w:id="14840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1872">
      <w:bodyDiv w:val="1"/>
      <w:marLeft w:val="0"/>
      <w:marRight w:val="0"/>
      <w:marTop w:val="0"/>
      <w:marBottom w:val="0"/>
      <w:divBdr>
        <w:top w:val="none" w:sz="0" w:space="0" w:color="auto"/>
        <w:left w:val="none" w:sz="0" w:space="0" w:color="auto"/>
        <w:bottom w:val="none" w:sz="0" w:space="0" w:color="auto"/>
        <w:right w:val="none" w:sz="0" w:space="0" w:color="auto"/>
      </w:divBdr>
      <w:divsChild>
        <w:div w:id="684668091">
          <w:marLeft w:val="0"/>
          <w:marRight w:val="0"/>
          <w:marTop w:val="0"/>
          <w:marBottom w:val="0"/>
          <w:divBdr>
            <w:top w:val="none" w:sz="0" w:space="0" w:color="auto"/>
            <w:left w:val="none" w:sz="0" w:space="0" w:color="auto"/>
            <w:bottom w:val="none" w:sz="0" w:space="0" w:color="auto"/>
            <w:right w:val="none" w:sz="0" w:space="0" w:color="auto"/>
          </w:divBdr>
          <w:divsChild>
            <w:div w:id="222523501">
              <w:marLeft w:val="0"/>
              <w:marRight w:val="0"/>
              <w:marTop w:val="0"/>
              <w:marBottom w:val="0"/>
              <w:divBdr>
                <w:top w:val="none" w:sz="0" w:space="0" w:color="auto"/>
                <w:left w:val="none" w:sz="0" w:space="0" w:color="auto"/>
                <w:bottom w:val="none" w:sz="0" w:space="0" w:color="auto"/>
                <w:right w:val="none" w:sz="0" w:space="0" w:color="auto"/>
              </w:divBdr>
              <w:divsChild>
                <w:div w:id="14445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3086">
      <w:bodyDiv w:val="1"/>
      <w:marLeft w:val="0"/>
      <w:marRight w:val="0"/>
      <w:marTop w:val="0"/>
      <w:marBottom w:val="0"/>
      <w:divBdr>
        <w:top w:val="none" w:sz="0" w:space="0" w:color="auto"/>
        <w:left w:val="none" w:sz="0" w:space="0" w:color="auto"/>
        <w:bottom w:val="none" w:sz="0" w:space="0" w:color="auto"/>
        <w:right w:val="none" w:sz="0" w:space="0" w:color="auto"/>
      </w:divBdr>
      <w:divsChild>
        <w:div w:id="596255129">
          <w:marLeft w:val="0"/>
          <w:marRight w:val="0"/>
          <w:marTop w:val="0"/>
          <w:marBottom w:val="0"/>
          <w:divBdr>
            <w:top w:val="none" w:sz="0" w:space="0" w:color="auto"/>
            <w:left w:val="none" w:sz="0" w:space="0" w:color="auto"/>
            <w:bottom w:val="none" w:sz="0" w:space="0" w:color="auto"/>
            <w:right w:val="none" w:sz="0" w:space="0" w:color="auto"/>
          </w:divBdr>
          <w:divsChild>
            <w:div w:id="1497726519">
              <w:marLeft w:val="0"/>
              <w:marRight w:val="0"/>
              <w:marTop w:val="0"/>
              <w:marBottom w:val="0"/>
              <w:divBdr>
                <w:top w:val="none" w:sz="0" w:space="0" w:color="auto"/>
                <w:left w:val="none" w:sz="0" w:space="0" w:color="auto"/>
                <w:bottom w:val="none" w:sz="0" w:space="0" w:color="auto"/>
                <w:right w:val="none" w:sz="0" w:space="0" w:color="auto"/>
              </w:divBdr>
              <w:divsChild>
                <w:div w:id="169360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9109">
      <w:bodyDiv w:val="1"/>
      <w:marLeft w:val="0"/>
      <w:marRight w:val="0"/>
      <w:marTop w:val="0"/>
      <w:marBottom w:val="0"/>
      <w:divBdr>
        <w:top w:val="none" w:sz="0" w:space="0" w:color="auto"/>
        <w:left w:val="none" w:sz="0" w:space="0" w:color="auto"/>
        <w:bottom w:val="none" w:sz="0" w:space="0" w:color="auto"/>
        <w:right w:val="none" w:sz="0" w:space="0" w:color="auto"/>
      </w:divBdr>
      <w:divsChild>
        <w:div w:id="1330669836">
          <w:marLeft w:val="0"/>
          <w:marRight w:val="0"/>
          <w:marTop w:val="0"/>
          <w:marBottom w:val="0"/>
          <w:divBdr>
            <w:top w:val="none" w:sz="0" w:space="0" w:color="auto"/>
            <w:left w:val="none" w:sz="0" w:space="0" w:color="auto"/>
            <w:bottom w:val="none" w:sz="0" w:space="0" w:color="auto"/>
            <w:right w:val="none" w:sz="0" w:space="0" w:color="auto"/>
          </w:divBdr>
          <w:divsChild>
            <w:div w:id="1655640130">
              <w:marLeft w:val="0"/>
              <w:marRight w:val="0"/>
              <w:marTop w:val="0"/>
              <w:marBottom w:val="0"/>
              <w:divBdr>
                <w:top w:val="none" w:sz="0" w:space="0" w:color="auto"/>
                <w:left w:val="none" w:sz="0" w:space="0" w:color="auto"/>
                <w:bottom w:val="none" w:sz="0" w:space="0" w:color="auto"/>
                <w:right w:val="none" w:sz="0" w:space="0" w:color="auto"/>
              </w:divBdr>
              <w:divsChild>
                <w:div w:id="8470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6345">
      <w:bodyDiv w:val="1"/>
      <w:marLeft w:val="0"/>
      <w:marRight w:val="0"/>
      <w:marTop w:val="0"/>
      <w:marBottom w:val="0"/>
      <w:divBdr>
        <w:top w:val="none" w:sz="0" w:space="0" w:color="auto"/>
        <w:left w:val="none" w:sz="0" w:space="0" w:color="auto"/>
        <w:bottom w:val="none" w:sz="0" w:space="0" w:color="auto"/>
        <w:right w:val="none" w:sz="0" w:space="0" w:color="auto"/>
      </w:divBdr>
      <w:divsChild>
        <w:div w:id="1661351960">
          <w:marLeft w:val="0"/>
          <w:marRight w:val="0"/>
          <w:marTop w:val="0"/>
          <w:marBottom w:val="0"/>
          <w:divBdr>
            <w:top w:val="none" w:sz="0" w:space="0" w:color="auto"/>
            <w:left w:val="none" w:sz="0" w:space="0" w:color="auto"/>
            <w:bottom w:val="none" w:sz="0" w:space="0" w:color="auto"/>
            <w:right w:val="none" w:sz="0" w:space="0" w:color="auto"/>
          </w:divBdr>
          <w:divsChild>
            <w:div w:id="2118670758">
              <w:marLeft w:val="0"/>
              <w:marRight w:val="0"/>
              <w:marTop w:val="0"/>
              <w:marBottom w:val="0"/>
              <w:divBdr>
                <w:top w:val="none" w:sz="0" w:space="0" w:color="auto"/>
                <w:left w:val="none" w:sz="0" w:space="0" w:color="auto"/>
                <w:bottom w:val="none" w:sz="0" w:space="0" w:color="auto"/>
                <w:right w:val="none" w:sz="0" w:space="0" w:color="auto"/>
              </w:divBdr>
              <w:divsChild>
                <w:div w:id="3267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8292">
      <w:bodyDiv w:val="1"/>
      <w:marLeft w:val="0"/>
      <w:marRight w:val="0"/>
      <w:marTop w:val="0"/>
      <w:marBottom w:val="0"/>
      <w:divBdr>
        <w:top w:val="none" w:sz="0" w:space="0" w:color="auto"/>
        <w:left w:val="none" w:sz="0" w:space="0" w:color="auto"/>
        <w:bottom w:val="none" w:sz="0" w:space="0" w:color="auto"/>
        <w:right w:val="none" w:sz="0" w:space="0" w:color="auto"/>
      </w:divBdr>
      <w:divsChild>
        <w:div w:id="1600217896">
          <w:marLeft w:val="0"/>
          <w:marRight w:val="0"/>
          <w:marTop w:val="0"/>
          <w:marBottom w:val="0"/>
          <w:divBdr>
            <w:top w:val="none" w:sz="0" w:space="0" w:color="auto"/>
            <w:left w:val="none" w:sz="0" w:space="0" w:color="auto"/>
            <w:bottom w:val="none" w:sz="0" w:space="0" w:color="auto"/>
            <w:right w:val="none" w:sz="0" w:space="0" w:color="auto"/>
          </w:divBdr>
          <w:divsChild>
            <w:div w:id="67387249">
              <w:marLeft w:val="0"/>
              <w:marRight w:val="0"/>
              <w:marTop w:val="0"/>
              <w:marBottom w:val="0"/>
              <w:divBdr>
                <w:top w:val="none" w:sz="0" w:space="0" w:color="auto"/>
                <w:left w:val="none" w:sz="0" w:space="0" w:color="auto"/>
                <w:bottom w:val="none" w:sz="0" w:space="0" w:color="auto"/>
                <w:right w:val="none" w:sz="0" w:space="0" w:color="auto"/>
              </w:divBdr>
              <w:divsChild>
                <w:div w:id="7892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1514">
      <w:bodyDiv w:val="1"/>
      <w:marLeft w:val="0"/>
      <w:marRight w:val="0"/>
      <w:marTop w:val="0"/>
      <w:marBottom w:val="0"/>
      <w:divBdr>
        <w:top w:val="none" w:sz="0" w:space="0" w:color="auto"/>
        <w:left w:val="none" w:sz="0" w:space="0" w:color="auto"/>
        <w:bottom w:val="none" w:sz="0" w:space="0" w:color="auto"/>
        <w:right w:val="none" w:sz="0" w:space="0" w:color="auto"/>
      </w:divBdr>
      <w:divsChild>
        <w:div w:id="1491291178">
          <w:marLeft w:val="0"/>
          <w:marRight w:val="0"/>
          <w:marTop w:val="0"/>
          <w:marBottom w:val="0"/>
          <w:divBdr>
            <w:top w:val="none" w:sz="0" w:space="0" w:color="auto"/>
            <w:left w:val="none" w:sz="0" w:space="0" w:color="auto"/>
            <w:bottom w:val="none" w:sz="0" w:space="0" w:color="auto"/>
            <w:right w:val="none" w:sz="0" w:space="0" w:color="auto"/>
          </w:divBdr>
          <w:divsChild>
            <w:div w:id="1303579407">
              <w:marLeft w:val="0"/>
              <w:marRight w:val="0"/>
              <w:marTop w:val="0"/>
              <w:marBottom w:val="0"/>
              <w:divBdr>
                <w:top w:val="none" w:sz="0" w:space="0" w:color="auto"/>
                <w:left w:val="none" w:sz="0" w:space="0" w:color="auto"/>
                <w:bottom w:val="none" w:sz="0" w:space="0" w:color="auto"/>
                <w:right w:val="none" w:sz="0" w:space="0" w:color="auto"/>
              </w:divBdr>
              <w:divsChild>
                <w:div w:id="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9215">
      <w:bodyDiv w:val="1"/>
      <w:marLeft w:val="0"/>
      <w:marRight w:val="0"/>
      <w:marTop w:val="0"/>
      <w:marBottom w:val="0"/>
      <w:divBdr>
        <w:top w:val="none" w:sz="0" w:space="0" w:color="auto"/>
        <w:left w:val="none" w:sz="0" w:space="0" w:color="auto"/>
        <w:bottom w:val="none" w:sz="0" w:space="0" w:color="auto"/>
        <w:right w:val="none" w:sz="0" w:space="0" w:color="auto"/>
      </w:divBdr>
      <w:divsChild>
        <w:div w:id="1631739721">
          <w:marLeft w:val="0"/>
          <w:marRight w:val="0"/>
          <w:marTop w:val="0"/>
          <w:marBottom w:val="0"/>
          <w:divBdr>
            <w:top w:val="none" w:sz="0" w:space="0" w:color="auto"/>
            <w:left w:val="none" w:sz="0" w:space="0" w:color="auto"/>
            <w:bottom w:val="none" w:sz="0" w:space="0" w:color="auto"/>
            <w:right w:val="none" w:sz="0" w:space="0" w:color="auto"/>
          </w:divBdr>
          <w:divsChild>
            <w:div w:id="430318510">
              <w:marLeft w:val="0"/>
              <w:marRight w:val="0"/>
              <w:marTop w:val="0"/>
              <w:marBottom w:val="0"/>
              <w:divBdr>
                <w:top w:val="none" w:sz="0" w:space="0" w:color="auto"/>
                <w:left w:val="none" w:sz="0" w:space="0" w:color="auto"/>
                <w:bottom w:val="none" w:sz="0" w:space="0" w:color="auto"/>
                <w:right w:val="none" w:sz="0" w:space="0" w:color="auto"/>
              </w:divBdr>
              <w:divsChild>
                <w:div w:id="21399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5249">
      <w:bodyDiv w:val="1"/>
      <w:marLeft w:val="0"/>
      <w:marRight w:val="0"/>
      <w:marTop w:val="0"/>
      <w:marBottom w:val="0"/>
      <w:divBdr>
        <w:top w:val="none" w:sz="0" w:space="0" w:color="auto"/>
        <w:left w:val="none" w:sz="0" w:space="0" w:color="auto"/>
        <w:bottom w:val="none" w:sz="0" w:space="0" w:color="auto"/>
        <w:right w:val="none" w:sz="0" w:space="0" w:color="auto"/>
      </w:divBdr>
      <w:divsChild>
        <w:div w:id="1985426362">
          <w:marLeft w:val="0"/>
          <w:marRight w:val="0"/>
          <w:marTop w:val="0"/>
          <w:marBottom w:val="0"/>
          <w:divBdr>
            <w:top w:val="none" w:sz="0" w:space="0" w:color="auto"/>
            <w:left w:val="none" w:sz="0" w:space="0" w:color="auto"/>
            <w:bottom w:val="none" w:sz="0" w:space="0" w:color="auto"/>
            <w:right w:val="none" w:sz="0" w:space="0" w:color="auto"/>
          </w:divBdr>
          <w:divsChild>
            <w:div w:id="1043943109">
              <w:marLeft w:val="0"/>
              <w:marRight w:val="0"/>
              <w:marTop w:val="0"/>
              <w:marBottom w:val="0"/>
              <w:divBdr>
                <w:top w:val="none" w:sz="0" w:space="0" w:color="auto"/>
                <w:left w:val="none" w:sz="0" w:space="0" w:color="auto"/>
                <w:bottom w:val="none" w:sz="0" w:space="0" w:color="auto"/>
                <w:right w:val="none" w:sz="0" w:space="0" w:color="auto"/>
              </w:divBdr>
              <w:divsChild>
                <w:div w:id="48000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4589">
      <w:bodyDiv w:val="1"/>
      <w:marLeft w:val="0"/>
      <w:marRight w:val="0"/>
      <w:marTop w:val="0"/>
      <w:marBottom w:val="0"/>
      <w:divBdr>
        <w:top w:val="none" w:sz="0" w:space="0" w:color="auto"/>
        <w:left w:val="none" w:sz="0" w:space="0" w:color="auto"/>
        <w:bottom w:val="none" w:sz="0" w:space="0" w:color="auto"/>
        <w:right w:val="none" w:sz="0" w:space="0" w:color="auto"/>
      </w:divBdr>
      <w:divsChild>
        <w:div w:id="2114746330">
          <w:marLeft w:val="0"/>
          <w:marRight w:val="0"/>
          <w:marTop w:val="0"/>
          <w:marBottom w:val="0"/>
          <w:divBdr>
            <w:top w:val="none" w:sz="0" w:space="0" w:color="auto"/>
            <w:left w:val="none" w:sz="0" w:space="0" w:color="auto"/>
            <w:bottom w:val="none" w:sz="0" w:space="0" w:color="auto"/>
            <w:right w:val="none" w:sz="0" w:space="0" w:color="auto"/>
          </w:divBdr>
          <w:divsChild>
            <w:div w:id="23017539">
              <w:marLeft w:val="0"/>
              <w:marRight w:val="0"/>
              <w:marTop w:val="0"/>
              <w:marBottom w:val="0"/>
              <w:divBdr>
                <w:top w:val="none" w:sz="0" w:space="0" w:color="auto"/>
                <w:left w:val="none" w:sz="0" w:space="0" w:color="auto"/>
                <w:bottom w:val="none" w:sz="0" w:space="0" w:color="auto"/>
                <w:right w:val="none" w:sz="0" w:space="0" w:color="auto"/>
              </w:divBdr>
              <w:divsChild>
                <w:div w:id="7650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506">
      <w:bodyDiv w:val="1"/>
      <w:marLeft w:val="0"/>
      <w:marRight w:val="0"/>
      <w:marTop w:val="0"/>
      <w:marBottom w:val="0"/>
      <w:divBdr>
        <w:top w:val="none" w:sz="0" w:space="0" w:color="auto"/>
        <w:left w:val="none" w:sz="0" w:space="0" w:color="auto"/>
        <w:bottom w:val="none" w:sz="0" w:space="0" w:color="auto"/>
        <w:right w:val="none" w:sz="0" w:space="0" w:color="auto"/>
      </w:divBdr>
      <w:divsChild>
        <w:div w:id="1564834892">
          <w:marLeft w:val="0"/>
          <w:marRight w:val="0"/>
          <w:marTop w:val="0"/>
          <w:marBottom w:val="0"/>
          <w:divBdr>
            <w:top w:val="none" w:sz="0" w:space="0" w:color="auto"/>
            <w:left w:val="none" w:sz="0" w:space="0" w:color="auto"/>
            <w:bottom w:val="none" w:sz="0" w:space="0" w:color="auto"/>
            <w:right w:val="none" w:sz="0" w:space="0" w:color="auto"/>
          </w:divBdr>
          <w:divsChild>
            <w:div w:id="1089040030">
              <w:marLeft w:val="0"/>
              <w:marRight w:val="0"/>
              <w:marTop w:val="0"/>
              <w:marBottom w:val="0"/>
              <w:divBdr>
                <w:top w:val="none" w:sz="0" w:space="0" w:color="auto"/>
                <w:left w:val="none" w:sz="0" w:space="0" w:color="auto"/>
                <w:bottom w:val="none" w:sz="0" w:space="0" w:color="auto"/>
                <w:right w:val="none" w:sz="0" w:space="0" w:color="auto"/>
              </w:divBdr>
              <w:divsChild>
                <w:div w:id="15530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91205">
      <w:bodyDiv w:val="1"/>
      <w:marLeft w:val="0"/>
      <w:marRight w:val="0"/>
      <w:marTop w:val="0"/>
      <w:marBottom w:val="0"/>
      <w:divBdr>
        <w:top w:val="none" w:sz="0" w:space="0" w:color="auto"/>
        <w:left w:val="none" w:sz="0" w:space="0" w:color="auto"/>
        <w:bottom w:val="none" w:sz="0" w:space="0" w:color="auto"/>
        <w:right w:val="none" w:sz="0" w:space="0" w:color="auto"/>
      </w:divBdr>
      <w:divsChild>
        <w:div w:id="582371851">
          <w:marLeft w:val="0"/>
          <w:marRight w:val="0"/>
          <w:marTop w:val="0"/>
          <w:marBottom w:val="0"/>
          <w:divBdr>
            <w:top w:val="none" w:sz="0" w:space="0" w:color="auto"/>
            <w:left w:val="none" w:sz="0" w:space="0" w:color="auto"/>
            <w:bottom w:val="none" w:sz="0" w:space="0" w:color="auto"/>
            <w:right w:val="none" w:sz="0" w:space="0" w:color="auto"/>
          </w:divBdr>
          <w:divsChild>
            <w:div w:id="113712985">
              <w:marLeft w:val="0"/>
              <w:marRight w:val="0"/>
              <w:marTop w:val="0"/>
              <w:marBottom w:val="0"/>
              <w:divBdr>
                <w:top w:val="none" w:sz="0" w:space="0" w:color="auto"/>
                <w:left w:val="none" w:sz="0" w:space="0" w:color="auto"/>
                <w:bottom w:val="none" w:sz="0" w:space="0" w:color="auto"/>
                <w:right w:val="none" w:sz="0" w:space="0" w:color="auto"/>
              </w:divBdr>
              <w:divsChild>
                <w:div w:id="20845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65296">
      <w:bodyDiv w:val="1"/>
      <w:marLeft w:val="0"/>
      <w:marRight w:val="0"/>
      <w:marTop w:val="0"/>
      <w:marBottom w:val="0"/>
      <w:divBdr>
        <w:top w:val="none" w:sz="0" w:space="0" w:color="auto"/>
        <w:left w:val="none" w:sz="0" w:space="0" w:color="auto"/>
        <w:bottom w:val="none" w:sz="0" w:space="0" w:color="auto"/>
        <w:right w:val="none" w:sz="0" w:space="0" w:color="auto"/>
      </w:divBdr>
      <w:divsChild>
        <w:div w:id="1433087670">
          <w:marLeft w:val="0"/>
          <w:marRight w:val="0"/>
          <w:marTop w:val="0"/>
          <w:marBottom w:val="0"/>
          <w:divBdr>
            <w:top w:val="none" w:sz="0" w:space="0" w:color="auto"/>
            <w:left w:val="none" w:sz="0" w:space="0" w:color="auto"/>
            <w:bottom w:val="none" w:sz="0" w:space="0" w:color="auto"/>
            <w:right w:val="none" w:sz="0" w:space="0" w:color="auto"/>
          </w:divBdr>
          <w:divsChild>
            <w:div w:id="844829289">
              <w:marLeft w:val="0"/>
              <w:marRight w:val="0"/>
              <w:marTop w:val="0"/>
              <w:marBottom w:val="0"/>
              <w:divBdr>
                <w:top w:val="none" w:sz="0" w:space="0" w:color="auto"/>
                <w:left w:val="none" w:sz="0" w:space="0" w:color="auto"/>
                <w:bottom w:val="none" w:sz="0" w:space="0" w:color="auto"/>
                <w:right w:val="none" w:sz="0" w:space="0" w:color="auto"/>
              </w:divBdr>
              <w:divsChild>
                <w:div w:id="9563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55931">
      <w:bodyDiv w:val="1"/>
      <w:marLeft w:val="0"/>
      <w:marRight w:val="0"/>
      <w:marTop w:val="0"/>
      <w:marBottom w:val="0"/>
      <w:divBdr>
        <w:top w:val="none" w:sz="0" w:space="0" w:color="auto"/>
        <w:left w:val="none" w:sz="0" w:space="0" w:color="auto"/>
        <w:bottom w:val="none" w:sz="0" w:space="0" w:color="auto"/>
        <w:right w:val="none" w:sz="0" w:space="0" w:color="auto"/>
      </w:divBdr>
      <w:divsChild>
        <w:div w:id="163013703">
          <w:marLeft w:val="0"/>
          <w:marRight w:val="0"/>
          <w:marTop w:val="0"/>
          <w:marBottom w:val="0"/>
          <w:divBdr>
            <w:top w:val="none" w:sz="0" w:space="0" w:color="auto"/>
            <w:left w:val="none" w:sz="0" w:space="0" w:color="auto"/>
            <w:bottom w:val="none" w:sz="0" w:space="0" w:color="auto"/>
            <w:right w:val="none" w:sz="0" w:space="0" w:color="auto"/>
          </w:divBdr>
          <w:divsChild>
            <w:div w:id="832063410">
              <w:marLeft w:val="0"/>
              <w:marRight w:val="0"/>
              <w:marTop w:val="0"/>
              <w:marBottom w:val="0"/>
              <w:divBdr>
                <w:top w:val="none" w:sz="0" w:space="0" w:color="auto"/>
                <w:left w:val="none" w:sz="0" w:space="0" w:color="auto"/>
                <w:bottom w:val="none" w:sz="0" w:space="0" w:color="auto"/>
                <w:right w:val="none" w:sz="0" w:space="0" w:color="auto"/>
              </w:divBdr>
              <w:divsChild>
                <w:div w:id="12182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62522">
      <w:bodyDiv w:val="1"/>
      <w:marLeft w:val="0"/>
      <w:marRight w:val="0"/>
      <w:marTop w:val="0"/>
      <w:marBottom w:val="0"/>
      <w:divBdr>
        <w:top w:val="none" w:sz="0" w:space="0" w:color="auto"/>
        <w:left w:val="none" w:sz="0" w:space="0" w:color="auto"/>
        <w:bottom w:val="none" w:sz="0" w:space="0" w:color="auto"/>
        <w:right w:val="none" w:sz="0" w:space="0" w:color="auto"/>
      </w:divBdr>
      <w:divsChild>
        <w:div w:id="1354957521">
          <w:marLeft w:val="0"/>
          <w:marRight w:val="0"/>
          <w:marTop w:val="0"/>
          <w:marBottom w:val="0"/>
          <w:divBdr>
            <w:top w:val="none" w:sz="0" w:space="0" w:color="auto"/>
            <w:left w:val="none" w:sz="0" w:space="0" w:color="auto"/>
            <w:bottom w:val="none" w:sz="0" w:space="0" w:color="auto"/>
            <w:right w:val="none" w:sz="0" w:space="0" w:color="auto"/>
          </w:divBdr>
          <w:divsChild>
            <w:div w:id="1388458536">
              <w:marLeft w:val="0"/>
              <w:marRight w:val="0"/>
              <w:marTop w:val="0"/>
              <w:marBottom w:val="0"/>
              <w:divBdr>
                <w:top w:val="none" w:sz="0" w:space="0" w:color="auto"/>
                <w:left w:val="none" w:sz="0" w:space="0" w:color="auto"/>
                <w:bottom w:val="none" w:sz="0" w:space="0" w:color="auto"/>
                <w:right w:val="none" w:sz="0" w:space="0" w:color="auto"/>
              </w:divBdr>
              <w:divsChild>
                <w:div w:id="498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76041">
      <w:bodyDiv w:val="1"/>
      <w:marLeft w:val="0"/>
      <w:marRight w:val="0"/>
      <w:marTop w:val="0"/>
      <w:marBottom w:val="0"/>
      <w:divBdr>
        <w:top w:val="none" w:sz="0" w:space="0" w:color="auto"/>
        <w:left w:val="none" w:sz="0" w:space="0" w:color="auto"/>
        <w:bottom w:val="none" w:sz="0" w:space="0" w:color="auto"/>
        <w:right w:val="none" w:sz="0" w:space="0" w:color="auto"/>
      </w:divBdr>
      <w:divsChild>
        <w:div w:id="2084521759">
          <w:marLeft w:val="0"/>
          <w:marRight w:val="0"/>
          <w:marTop w:val="0"/>
          <w:marBottom w:val="0"/>
          <w:divBdr>
            <w:top w:val="none" w:sz="0" w:space="0" w:color="auto"/>
            <w:left w:val="none" w:sz="0" w:space="0" w:color="auto"/>
            <w:bottom w:val="none" w:sz="0" w:space="0" w:color="auto"/>
            <w:right w:val="none" w:sz="0" w:space="0" w:color="auto"/>
          </w:divBdr>
          <w:divsChild>
            <w:div w:id="182206665">
              <w:marLeft w:val="0"/>
              <w:marRight w:val="0"/>
              <w:marTop w:val="0"/>
              <w:marBottom w:val="0"/>
              <w:divBdr>
                <w:top w:val="none" w:sz="0" w:space="0" w:color="auto"/>
                <w:left w:val="none" w:sz="0" w:space="0" w:color="auto"/>
                <w:bottom w:val="none" w:sz="0" w:space="0" w:color="auto"/>
                <w:right w:val="none" w:sz="0" w:space="0" w:color="auto"/>
              </w:divBdr>
              <w:divsChild>
                <w:div w:id="1326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5152">
      <w:bodyDiv w:val="1"/>
      <w:marLeft w:val="0"/>
      <w:marRight w:val="0"/>
      <w:marTop w:val="0"/>
      <w:marBottom w:val="0"/>
      <w:divBdr>
        <w:top w:val="none" w:sz="0" w:space="0" w:color="auto"/>
        <w:left w:val="none" w:sz="0" w:space="0" w:color="auto"/>
        <w:bottom w:val="none" w:sz="0" w:space="0" w:color="auto"/>
        <w:right w:val="none" w:sz="0" w:space="0" w:color="auto"/>
      </w:divBdr>
      <w:divsChild>
        <w:div w:id="1841505550">
          <w:marLeft w:val="0"/>
          <w:marRight w:val="0"/>
          <w:marTop w:val="0"/>
          <w:marBottom w:val="0"/>
          <w:divBdr>
            <w:top w:val="none" w:sz="0" w:space="0" w:color="auto"/>
            <w:left w:val="none" w:sz="0" w:space="0" w:color="auto"/>
            <w:bottom w:val="none" w:sz="0" w:space="0" w:color="auto"/>
            <w:right w:val="none" w:sz="0" w:space="0" w:color="auto"/>
          </w:divBdr>
          <w:divsChild>
            <w:div w:id="46297903">
              <w:marLeft w:val="0"/>
              <w:marRight w:val="0"/>
              <w:marTop w:val="0"/>
              <w:marBottom w:val="0"/>
              <w:divBdr>
                <w:top w:val="none" w:sz="0" w:space="0" w:color="auto"/>
                <w:left w:val="none" w:sz="0" w:space="0" w:color="auto"/>
                <w:bottom w:val="none" w:sz="0" w:space="0" w:color="auto"/>
                <w:right w:val="none" w:sz="0" w:space="0" w:color="auto"/>
              </w:divBdr>
              <w:divsChild>
                <w:div w:id="1422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56932">
      <w:bodyDiv w:val="1"/>
      <w:marLeft w:val="0"/>
      <w:marRight w:val="0"/>
      <w:marTop w:val="0"/>
      <w:marBottom w:val="0"/>
      <w:divBdr>
        <w:top w:val="none" w:sz="0" w:space="0" w:color="auto"/>
        <w:left w:val="none" w:sz="0" w:space="0" w:color="auto"/>
        <w:bottom w:val="none" w:sz="0" w:space="0" w:color="auto"/>
        <w:right w:val="none" w:sz="0" w:space="0" w:color="auto"/>
      </w:divBdr>
      <w:divsChild>
        <w:div w:id="427434167">
          <w:marLeft w:val="0"/>
          <w:marRight w:val="0"/>
          <w:marTop w:val="0"/>
          <w:marBottom w:val="0"/>
          <w:divBdr>
            <w:top w:val="none" w:sz="0" w:space="0" w:color="auto"/>
            <w:left w:val="none" w:sz="0" w:space="0" w:color="auto"/>
            <w:bottom w:val="none" w:sz="0" w:space="0" w:color="auto"/>
            <w:right w:val="none" w:sz="0" w:space="0" w:color="auto"/>
          </w:divBdr>
          <w:divsChild>
            <w:div w:id="1031078275">
              <w:marLeft w:val="0"/>
              <w:marRight w:val="0"/>
              <w:marTop w:val="0"/>
              <w:marBottom w:val="0"/>
              <w:divBdr>
                <w:top w:val="none" w:sz="0" w:space="0" w:color="auto"/>
                <w:left w:val="none" w:sz="0" w:space="0" w:color="auto"/>
                <w:bottom w:val="none" w:sz="0" w:space="0" w:color="auto"/>
                <w:right w:val="none" w:sz="0" w:space="0" w:color="auto"/>
              </w:divBdr>
              <w:divsChild>
                <w:div w:id="17462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86513">
      <w:bodyDiv w:val="1"/>
      <w:marLeft w:val="0"/>
      <w:marRight w:val="0"/>
      <w:marTop w:val="0"/>
      <w:marBottom w:val="0"/>
      <w:divBdr>
        <w:top w:val="none" w:sz="0" w:space="0" w:color="auto"/>
        <w:left w:val="none" w:sz="0" w:space="0" w:color="auto"/>
        <w:bottom w:val="none" w:sz="0" w:space="0" w:color="auto"/>
        <w:right w:val="none" w:sz="0" w:space="0" w:color="auto"/>
      </w:divBdr>
      <w:divsChild>
        <w:div w:id="1728457778">
          <w:marLeft w:val="0"/>
          <w:marRight w:val="0"/>
          <w:marTop w:val="0"/>
          <w:marBottom w:val="0"/>
          <w:divBdr>
            <w:top w:val="none" w:sz="0" w:space="0" w:color="auto"/>
            <w:left w:val="none" w:sz="0" w:space="0" w:color="auto"/>
            <w:bottom w:val="none" w:sz="0" w:space="0" w:color="auto"/>
            <w:right w:val="none" w:sz="0" w:space="0" w:color="auto"/>
          </w:divBdr>
          <w:divsChild>
            <w:div w:id="1358315934">
              <w:marLeft w:val="0"/>
              <w:marRight w:val="0"/>
              <w:marTop w:val="0"/>
              <w:marBottom w:val="0"/>
              <w:divBdr>
                <w:top w:val="none" w:sz="0" w:space="0" w:color="auto"/>
                <w:left w:val="none" w:sz="0" w:space="0" w:color="auto"/>
                <w:bottom w:val="none" w:sz="0" w:space="0" w:color="auto"/>
                <w:right w:val="none" w:sz="0" w:space="0" w:color="auto"/>
              </w:divBdr>
              <w:divsChild>
                <w:div w:id="11661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6174">
      <w:bodyDiv w:val="1"/>
      <w:marLeft w:val="0"/>
      <w:marRight w:val="0"/>
      <w:marTop w:val="0"/>
      <w:marBottom w:val="0"/>
      <w:divBdr>
        <w:top w:val="none" w:sz="0" w:space="0" w:color="auto"/>
        <w:left w:val="none" w:sz="0" w:space="0" w:color="auto"/>
        <w:bottom w:val="none" w:sz="0" w:space="0" w:color="auto"/>
        <w:right w:val="none" w:sz="0" w:space="0" w:color="auto"/>
      </w:divBdr>
      <w:divsChild>
        <w:div w:id="1094978365">
          <w:marLeft w:val="0"/>
          <w:marRight w:val="0"/>
          <w:marTop w:val="0"/>
          <w:marBottom w:val="0"/>
          <w:divBdr>
            <w:top w:val="none" w:sz="0" w:space="0" w:color="auto"/>
            <w:left w:val="none" w:sz="0" w:space="0" w:color="auto"/>
            <w:bottom w:val="none" w:sz="0" w:space="0" w:color="auto"/>
            <w:right w:val="none" w:sz="0" w:space="0" w:color="auto"/>
          </w:divBdr>
          <w:divsChild>
            <w:div w:id="450707402">
              <w:marLeft w:val="0"/>
              <w:marRight w:val="0"/>
              <w:marTop w:val="0"/>
              <w:marBottom w:val="0"/>
              <w:divBdr>
                <w:top w:val="none" w:sz="0" w:space="0" w:color="auto"/>
                <w:left w:val="none" w:sz="0" w:space="0" w:color="auto"/>
                <w:bottom w:val="none" w:sz="0" w:space="0" w:color="auto"/>
                <w:right w:val="none" w:sz="0" w:space="0" w:color="auto"/>
              </w:divBdr>
              <w:divsChild>
                <w:div w:id="17742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46276">
      <w:bodyDiv w:val="1"/>
      <w:marLeft w:val="0"/>
      <w:marRight w:val="0"/>
      <w:marTop w:val="0"/>
      <w:marBottom w:val="0"/>
      <w:divBdr>
        <w:top w:val="none" w:sz="0" w:space="0" w:color="auto"/>
        <w:left w:val="none" w:sz="0" w:space="0" w:color="auto"/>
        <w:bottom w:val="none" w:sz="0" w:space="0" w:color="auto"/>
        <w:right w:val="none" w:sz="0" w:space="0" w:color="auto"/>
      </w:divBdr>
      <w:divsChild>
        <w:div w:id="475488010">
          <w:marLeft w:val="0"/>
          <w:marRight w:val="0"/>
          <w:marTop w:val="0"/>
          <w:marBottom w:val="0"/>
          <w:divBdr>
            <w:top w:val="none" w:sz="0" w:space="0" w:color="auto"/>
            <w:left w:val="none" w:sz="0" w:space="0" w:color="auto"/>
            <w:bottom w:val="none" w:sz="0" w:space="0" w:color="auto"/>
            <w:right w:val="none" w:sz="0" w:space="0" w:color="auto"/>
          </w:divBdr>
          <w:divsChild>
            <w:div w:id="1083336799">
              <w:marLeft w:val="0"/>
              <w:marRight w:val="0"/>
              <w:marTop w:val="0"/>
              <w:marBottom w:val="0"/>
              <w:divBdr>
                <w:top w:val="none" w:sz="0" w:space="0" w:color="auto"/>
                <w:left w:val="none" w:sz="0" w:space="0" w:color="auto"/>
                <w:bottom w:val="none" w:sz="0" w:space="0" w:color="auto"/>
                <w:right w:val="none" w:sz="0" w:space="0" w:color="auto"/>
              </w:divBdr>
              <w:divsChild>
                <w:div w:id="1764449465">
                  <w:marLeft w:val="0"/>
                  <w:marRight w:val="0"/>
                  <w:marTop w:val="0"/>
                  <w:marBottom w:val="0"/>
                  <w:divBdr>
                    <w:top w:val="none" w:sz="0" w:space="0" w:color="auto"/>
                    <w:left w:val="none" w:sz="0" w:space="0" w:color="auto"/>
                    <w:bottom w:val="none" w:sz="0" w:space="0" w:color="auto"/>
                    <w:right w:val="none" w:sz="0" w:space="0" w:color="auto"/>
                  </w:divBdr>
                  <w:divsChild>
                    <w:div w:id="14591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95682">
      <w:bodyDiv w:val="1"/>
      <w:marLeft w:val="0"/>
      <w:marRight w:val="0"/>
      <w:marTop w:val="0"/>
      <w:marBottom w:val="0"/>
      <w:divBdr>
        <w:top w:val="none" w:sz="0" w:space="0" w:color="auto"/>
        <w:left w:val="none" w:sz="0" w:space="0" w:color="auto"/>
        <w:bottom w:val="none" w:sz="0" w:space="0" w:color="auto"/>
        <w:right w:val="none" w:sz="0" w:space="0" w:color="auto"/>
      </w:divBdr>
      <w:divsChild>
        <w:div w:id="1671103392">
          <w:marLeft w:val="0"/>
          <w:marRight w:val="0"/>
          <w:marTop w:val="0"/>
          <w:marBottom w:val="0"/>
          <w:divBdr>
            <w:top w:val="none" w:sz="0" w:space="0" w:color="auto"/>
            <w:left w:val="none" w:sz="0" w:space="0" w:color="auto"/>
            <w:bottom w:val="none" w:sz="0" w:space="0" w:color="auto"/>
            <w:right w:val="none" w:sz="0" w:space="0" w:color="auto"/>
          </w:divBdr>
          <w:divsChild>
            <w:div w:id="1832715677">
              <w:marLeft w:val="0"/>
              <w:marRight w:val="0"/>
              <w:marTop w:val="0"/>
              <w:marBottom w:val="0"/>
              <w:divBdr>
                <w:top w:val="none" w:sz="0" w:space="0" w:color="auto"/>
                <w:left w:val="none" w:sz="0" w:space="0" w:color="auto"/>
                <w:bottom w:val="none" w:sz="0" w:space="0" w:color="auto"/>
                <w:right w:val="none" w:sz="0" w:space="0" w:color="auto"/>
              </w:divBdr>
              <w:divsChild>
                <w:div w:id="5502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6577">
      <w:bodyDiv w:val="1"/>
      <w:marLeft w:val="0"/>
      <w:marRight w:val="0"/>
      <w:marTop w:val="0"/>
      <w:marBottom w:val="0"/>
      <w:divBdr>
        <w:top w:val="none" w:sz="0" w:space="0" w:color="auto"/>
        <w:left w:val="none" w:sz="0" w:space="0" w:color="auto"/>
        <w:bottom w:val="none" w:sz="0" w:space="0" w:color="auto"/>
        <w:right w:val="none" w:sz="0" w:space="0" w:color="auto"/>
      </w:divBdr>
      <w:divsChild>
        <w:div w:id="383604796">
          <w:marLeft w:val="0"/>
          <w:marRight w:val="0"/>
          <w:marTop w:val="0"/>
          <w:marBottom w:val="0"/>
          <w:divBdr>
            <w:top w:val="none" w:sz="0" w:space="0" w:color="auto"/>
            <w:left w:val="none" w:sz="0" w:space="0" w:color="auto"/>
            <w:bottom w:val="none" w:sz="0" w:space="0" w:color="auto"/>
            <w:right w:val="none" w:sz="0" w:space="0" w:color="auto"/>
          </w:divBdr>
          <w:divsChild>
            <w:div w:id="521936645">
              <w:marLeft w:val="0"/>
              <w:marRight w:val="0"/>
              <w:marTop w:val="0"/>
              <w:marBottom w:val="0"/>
              <w:divBdr>
                <w:top w:val="none" w:sz="0" w:space="0" w:color="auto"/>
                <w:left w:val="none" w:sz="0" w:space="0" w:color="auto"/>
                <w:bottom w:val="none" w:sz="0" w:space="0" w:color="auto"/>
                <w:right w:val="none" w:sz="0" w:space="0" w:color="auto"/>
              </w:divBdr>
              <w:divsChild>
                <w:div w:id="15405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78787">
      <w:bodyDiv w:val="1"/>
      <w:marLeft w:val="0"/>
      <w:marRight w:val="0"/>
      <w:marTop w:val="0"/>
      <w:marBottom w:val="0"/>
      <w:divBdr>
        <w:top w:val="none" w:sz="0" w:space="0" w:color="auto"/>
        <w:left w:val="none" w:sz="0" w:space="0" w:color="auto"/>
        <w:bottom w:val="none" w:sz="0" w:space="0" w:color="auto"/>
        <w:right w:val="none" w:sz="0" w:space="0" w:color="auto"/>
      </w:divBdr>
      <w:divsChild>
        <w:div w:id="2039424747">
          <w:marLeft w:val="0"/>
          <w:marRight w:val="0"/>
          <w:marTop w:val="0"/>
          <w:marBottom w:val="0"/>
          <w:divBdr>
            <w:top w:val="none" w:sz="0" w:space="0" w:color="auto"/>
            <w:left w:val="none" w:sz="0" w:space="0" w:color="auto"/>
            <w:bottom w:val="none" w:sz="0" w:space="0" w:color="auto"/>
            <w:right w:val="none" w:sz="0" w:space="0" w:color="auto"/>
          </w:divBdr>
          <w:divsChild>
            <w:div w:id="247732949">
              <w:marLeft w:val="0"/>
              <w:marRight w:val="0"/>
              <w:marTop w:val="0"/>
              <w:marBottom w:val="0"/>
              <w:divBdr>
                <w:top w:val="none" w:sz="0" w:space="0" w:color="auto"/>
                <w:left w:val="none" w:sz="0" w:space="0" w:color="auto"/>
                <w:bottom w:val="none" w:sz="0" w:space="0" w:color="auto"/>
                <w:right w:val="none" w:sz="0" w:space="0" w:color="auto"/>
              </w:divBdr>
              <w:divsChild>
                <w:div w:id="1776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74075">
      <w:bodyDiv w:val="1"/>
      <w:marLeft w:val="0"/>
      <w:marRight w:val="0"/>
      <w:marTop w:val="0"/>
      <w:marBottom w:val="0"/>
      <w:divBdr>
        <w:top w:val="none" w:sz="0" w:space="0" w:color="auto"/>
        <w:left w:val="none" w:sz="0" w:space="0" w:color="auto"/>
        <w:bottom w:val="none" w:sz="0" w:space="0" w:color="auto"/>
        <w:right w:val="none" w:sz="0" w:space="0" w:color="auto"/>
      </w:divBdr>
      <w:divsChild>
        <w:div w:id="537011086">
          <w:marLeft w:val="0"/>
          <w:marRight w:val="0"/>
          <w:marTop w:val="0"/>
          <w:marBottom w:val="0"/>
          <w:divBdr>
            <w:top w:val="none" w:sz="0" w:space="0" w:color="auto"/>
            <w:left w:val="none" w:sz="0" w:space="0" w:color="auto"/>
            <w:bottom w:val="none" w:sz="0" w:space="0" w:color="auto"/>
            <w:right w:val="none" w:sz="0" w:space="0" w:color="auto"/>
          </w:divBdr>
          <w:divsChild>
            <w:div w:id="1828982365">
              <w:marLeft w:val="0"/>
              <w:marRight w:val="0"/>
              <w:marTop w:val="0"/>
              <w:marBottom w:val="0"/>
              <w:divBdr>
                <w:top w:val="none" w:sz="0" w:space="0" w:color="auto"/>
                <w:left w:val="none" w:sz="0" w:space="0" w:color="auto"/>
                <w:bottom w:val="none" w:sz="0" w:space="0" w:color="auto"/>
                <w:right w:val="none" w:sz="0" w:space="0" w:color="auto"/>
              </w:divBdr>
              <w:divsChild>
                <w:div w:id="9470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67631">
      <w:bodyDiv w:val="1"/>
      <w:marLeft w:val="0"/>
      <w:marRight w:val="0"/>
      <w:marTop w:val="0"/>
      <w:marBottom w:val="0"/>
      <w:divBdr>
        <w:top w:val="none" w:sz="0" w:space="0" w:color="auto"/>
        <w:left w:val="none" w:sz="0" w:space="0" w:color="auto"/>
        <w:bottom w:val="none" w:sz="0" w:space="0" w:color="auto"/>
        <w:right w:val="none" w:sz="0" w:space="0" w:color="auto"/>
      </w:divBdr>
      <w:divsChild>
        <w:div w:id="820074223">
          <w:marLeft w:val="0"/>
          <w:marRight w:val="0"/>
          <w:marTop w:val="0"/>
          <w:marBottom w:val="0"/>
          <w:divBdr>
            <w:top w:val="none" w:sz="0" w:space="0" w:color="auto"/>
            <w:left w:val="none" w:sz="0" w:space="0" w:color="auto"/>
            <w:bottom w:val="none" w:sz="0" w:space="0" w:color="auto"/>
            <w:right w:val="none" w:sz="0" w:space="0" w:color="auto"/>
          </w:divBdr>
          <w:divsChild>
            <w:div w:id="1251741995">
              <w:marLeft w:val="0"/>
              <w:marRight w:val="0"/>
              <w:marTop w:val="0"/>
              <w:marBottom w:val="0"/>
              <w:divBdr>
                <w:top w:val="none" w:sz="0" w:space="0" w:color="auto"/>
                <w:left w:val="none" w:sz="0" w:space="0" w:color="auto"/>
                <w:bottom w:val="none" w:sz="0" w:space="0" w:color="auto"/>
                <w:right w:val="none" w:sz="0" w:space="0" w:color="auto"/>
              </w:divBdr>
              <w:divsChild>
                <w:div w:id="12346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61124">
      <w:bodyDiv w:val="1"/>
      <w:marLeft w:val="0"/>
      <w:marRight w:val="0"/>
      <w:marTop w:val="0"/>
      <w:marBottom w:val="0"/>
      <w:divBdr>
        <w:top w:val="none" w:sz="0" w:space="0" w:color="auto"/>
        <w:left w:val="none" w:sz="0" w:space="0" w:color="auto"/>
        <w:bottom w:val="none" w:sz="0" w:space="0" w:color="auto"/>
        <w:right w:val="none" w:sz="0" w:space="0" w:color="auto"/>
      </w:divBdr>
      <w:divsChild>
        <w:div w:id="2010251605">
          <w:marLeft w:val="0"/>
          <w:marRight w:val="0"/>
          <w:marTop w:val="0"/>
          <w:marBottom w:val="0"/>
          <w:divBdr>
            <w:top w:val="none" w:sz="0" w:space="0" w:color="auto"/>
            <w:left w:val="none" w:sz="0" w:space="0" w:color="auto"/>
            <w:bottom w:val="none" w:sz="0" w:space="0" w:color="auto"/>
            <w:right w:val="none" w:sz="0" w:space="0" w:color="auto"/>
          </w:divBdr>
          <w:divsChild>
            <w:div w:id="564730491">
              <w:marLeft w:val="0"/>
              <w:marRight w:val="0"/>
              <w:marTop w:val="0"/>
              <w:marBottom w:val="0"/>
              <w:divBdr>
                <w:top w:val="none" w:sz="0" w:space="0" w:color="auto"/>
                <w:left w:val="none" w:sz="0" w:space="0" w:color="auto"/>
                <w:bottom w:val="none" w:sz="0" w:space="0" w:color="auto"/>
                <w:right w:val="none" w:sz="0" w:space="0" w:color="auto"/>
              </w:divBdr>
              <w:divsChild>
                <w:div w:id="1880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7697">
      <w:bodyDiv w:val="1"/>
      <w:marLeft w:val="0"/>
      <w:marRight w:val="0"/>
      <w:marTop w:val="0"/>
      <w:marBottom w:val="0"/>
      <w:divBdr>
        <w:top w:val="none" w:sz="0" w:space="0" w:color="auto"/>
        <w:left w:val="none" w:sz="0" w:space="0" w:color="auto"/>
        <w:bottom w:val="none" w:sz="0" w:space="0" w:color="auto"/>
        <w:right w:val="none" w:sz="0" w:space="0" w:color="auto"/>
      </w:divBdr>
      <w:divsChild>
        <w:div w:id="424040432">
          <w:marLeft w:val="0"/>
          <w:marRight w:val="0"/>
          <w:marTop w:val="0"/>
          <w:marBottom w:val="0"/>
          <w:divBdr>
            <w:top w:val="none" w:sz="0" w:space="0" w:color="auto"/>
            <w:left w:val="none" w:sz="0" w:space="0" w:color="auto"/>
            <w:bottom w:val="none" w:sz="0" w:space="0" w:color="auto"/>
            <w:right w:val="none" w:sz="0" w:space="0" w:color="auto"/>
          </w:divBdr>
          <w:divsChild>
            <w:div w:id="1854566392">
              <w:marLeft w:val="0"/>
              <w:marRight w:val="0"/>
              <w:marTop w:val="0"/>
              <w:marBottom w:val="0"/>
              <w:divBdr>
                <w:top w:val="none" w:sz="0" w:space="0" w:color="auto"/>
                <w:left w:val="none" w:sz="0" w:space="0" w:color="auto"/>
                <w:bottom w:val="none" w:sz="0" w:space="0" w:color="auto"/>
                <w:right w:val="none" w:sz="0" w:space="0" w:color="auto"/>
              </w:divBdr>
              <w:divsChild>
                <w:div w:id="17804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6252">
      <w:bodyDiv w:val="1"/>
      <w:marLeft w:val="0"/>
      <w:marRight w:val="0"/>
      <w:marTop w:val="0"/>
      <w:marBottom w:val="0"/>
      <w:divBdr>
        <w:top w:val="none" w:sz="0" w:space="0" w:color="auto"/>
        <w:left w:val="none" w:sz="0" w:space="0" w:color="auto"/>
        <w:bottom w:val="none" w:sz="0" w:space="0" w:color="auto"/>
        <w:right w:val="none" w:sz="0" w:space="0" w:color="auto"/>
      </w:divBdr>
      <w:divsChild>
        <w:div w:id="337510991">
          <w:marLeft w:val="0"/>
          <w:marRight w:val="0"/>
          <w:marTop w:val="0"/>
          <w:marBottom w:val="0"/>
          <w:divBdr>
            <w:top w:val="none" w:sz="0" w:space="0" w:color="auto"/>
            <w:left w:val="none" w:sz="0" w:space="0" w:color="auto"/>
            <w:bottom w:val="none" w:sz="0" w:space="0" w:color="auto"/>
            <w:right w:val="none" w:sz="0" w:space="0" w:color="auto"/>
          </w:divBdr>
          <w:divsChild>
            <w:div w:id="583613588">
              <w:marLeft w:val="0"/>
              <w:marRight w:val="0"/>
              <w:marTop w:val="0"/>
              <w:marBottom w:val="0"/>
              <w:divBdr>
                <w:top w:val="none" w:sz="0" w:space="0" w:color="auto"/>
                <w:left w:val="none" w:sz="0" w:space="0" w:color="auto"/>
                <w:bottom w:val="none" w:sz="0" w:space="0" w:color="auto"/>
                <w:right w:val="none" w:sz="0" w:space="0" w:color="auto"/>
              </w:divBdr>
              <w:divsChild>
                <w:div w:id="269554483">
                  <w:marLeft w:val="0"/>
                  <w:marRight w:val="0"/>
                  <w:marTop w:val="0"/>
                  <w:marBottom w:val="0"/>
                  <w:divBdr>
                    <w:top w:val="none" w:sz="0" w:space="0" w:color="auto"/>
                    <w:left w:val="none" w:sz="0" w:space="0" w:color="auto"/>
                    <w:bottom w:val="none" w:sz="0" w:space="0" w:color="auto"/>
                    <w:right w:val="none" w:sz="0" w:space="0" w:color="auto"/>
                  </w:divBdr>
                  <w:divsChild>
                    <w:div w:id="12708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72058">
      <w:bodyDiv w:val="1"/>
      <w:marLeft w:val="0"/>
      <w:marRight w:val="0"/>
      <w:marTop w:val="0"/>
      <w:marBottom w:val="0"/>
      <w:divBdr>
        <w:top w:val="none" w:sz="0" w:space="0" w:color="auto"/>
        <w:left w:val="none" w:sz="0" w:space="0" w:color="auto"/>
        <w:bottom w:val="none" w:sz="0" w:space="0" w:color="auto"/>
        <w:right w:val="none" w:sz="0" w:space="0" w:color="auto"/>
      </w:divBdr>
      <w:divsChild>
        <w:div w:id="99374444">
          <w:marLeft w:val="0"/>
          <w:marRight w:val="0"/>
          <w:marTop w:val="0"/>
          <w:marBottom w:val="0"/>
          <w:divBdr>
            <w:top w:val="none" w:sz="0" w:space="0" w:color="auto"/>
            <w:left w:val="none" w:sz="0" w:space="0" w:color="auto"/>
            <w:bottom w:val="none" w:sz="0" w:space="0" w:color="auto"/>
            <w:right w:val="none" w:sz="0" w:space="0" w:color="auto"/>
          </w:divBdr>
          <w:divsChild>
            <w:div w:id="2044404905">
              <w:marLeft w:val="0"/>
              <w:marRight w:val="0"/>
              <w:marTop w:val="0"/>
              <w:marBottom w:val="0"/>
              <w:divBdr>
                <w:top w:val="none" w:sz="0" w:space="0" w:color="auto"/>
                <w:left w:val="none" w:sz="0" w:space="0" w:color="auto"/>
                <w:bottom w:val="none" w:sz="0" w:space="0" w:color="auto"/>
                <w:right w:val="none" w:sz="0" w:space="0" w:color="auto"/>
              </w:divBdr>
              <w:divsChild>
                <w:div w:id="17642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79863">
      <w:bodyDiv w:val="1"/>
      <w:marLeft w:val="0"/>
      <w:marRight w:val="0"/>
      <w:marTop w:val="0"/>
      <w:marBottom w:val="0"/>
      <w:divBdr>
        <w:top w:val="none" w:sz="0" w:space="0" w:color="auto"/>
        <w:left w:val="none" w:sz="0" w:space="0" w:color="auto"/>
        <w:bottom w:val="none" w:sz="0" w:space="0" w:color="auto"/>
        <w:right w:val="none" w:sz="0" w:space="0" w:color="auto"/>
      </w:divBdr>
      <w:divsChild>
        <w:div w:id="303044324">
          <w:marLeft w:val="0"/>
          <w:marRight w:val="0"/>
          <w:marTop w:val="0"/>
          <w:marBottom w:val="0"/>
          <w:divBdr>
            <w:top w:val="none" w:sz="0" w:space="0" w:color="auto"/>
            <w:left w:val="none" w:sz="0" w:space="0" w:color="auto"/>
            <w:bottom w:val="none" w:sz="0" w:space="0" w:color="auto"/>
            <w:right w:val="none" w:sz="0" w:space="0" w:color="auto"/>
          </w:divBdr>
          <w:divsChild>
            <w:div w:id="74594712">
              <w:marLeft w:val="0"/>
              <w:marRight w:val="0"/>
              <w:marTop w:val="0"/>
              <w:marBottom w:val="0"/>
              <w:divBdr>
                <w:top w:val="none" w:sz="0" w:space="0" w:color="auto"/>
                <w:left w:val="none" w:sz="0" w:space="0" w:color="auto"/>
                <w:bottom w:val="none" w:sz="0" w:space="0" w:color="auto"/>
                <w:right w:val="none" w:sz="0" w:space="0" w:color="auto"/>
              </w:divBdr>
              <w:divsChild>
                <w:div w:id="9776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49516">
      <w:bodyDiv w:val="1"/>
      <w:marLeft w:val="0"/>
      <w:marRight w:val="0"/>
      <w:marTop w:val="0"/>
      <w:marBottom w:val="0"/>
      <w:divBdr>
        <w:top w:val="none" w:sz="0" w:space="0" w:color="auto"/>
        <w:left w:val="none" w:sz="0" w:space="0" w:color="auto"/>
        <w:bottom w:val="none" w:sz="0" w:space="0" w:color="auto"/>
        <w:right w:val="none" w:sz="0" w:space="0" w:color="auto"/>
      </w:divBdr>
      <w:divsChild>
        <w:div w:id="467937667">
          <w:marLeft w:val="0"/>
          <w:marRight w:val="0"/>
          <w:marTop w:val="0"/>
          <w:marBottom w:val="0"/>
          <w:divBdr>
            <w:top w:val="none" w:sz="0" w:space="0" w:color="auto"/>
            <w:left w:val="none" w:sz="0" w:space="0" w:color="auto"/>
            <w:bottom w:val="none" w:sz="0" w:space="0" w:color="auto"/>
            <w:right w:val="none" w:sz="0" w:space="0" w:color="auto"/>
          </w:divBdr>
          <w:divsChild>
            <w:div w:id="1373994520">
              <w:marLeft w:val="0"/>
              <w:marRight w:val="0"/>
              <w:marTop w:val="0"/>
              <w:marBottom w:val="0"/>
              <w:divBdr>
                <w:top w:val="none" w:sz="0" w:space="0" w:color="auto"/>
                <w:left w:val="none" w:sz="0" w:space="0" w:color="auto"/>
                <w:bottom w:val="none" w:sz="0" w:space="0" w:color="auto"/>
                <w:right w:val="none" w:sz="0" w:space="0" w:color="auto"/>
              </w:divBdr>
              <w:divsChild>
                <w:div w:id="19523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7922">
      <w:bodyDiv w:val="1"/>
      <w:marLeft w:val="0"/>
      <w:marRight w:val="0"/>
      <w:marTop w:val="0"/>
      <w:marBottom w:val="0"/>
      <w:divBdr>
        <w:top w:val="none" w:sz="0" w:space="0" w:color="auto"/>
        <w:left w:val="none" w:sz="0" w:space="0" w:color="auto"/>
        <w:bottom w:val="none" w:sz="0" w:space="0" w:color="auto"/>
        <w:right w:val="none" w:sz="0" w:space="0" w:color="auto"/>
      </w:divBdr>
      <w:divsChild>
        <w:div w:id="1227230504">
          <w:marLeft w:val="0"/>
          <w:marRight w:val="0"/>
          <w:marTop w:val="0"/>
          <w:marBottom w:val="0"/>
          <w:divBdr>
            <w:top w:val="none" w:sz="0" w:space="0" w:color="auto"/>
            <w:left w:val="none" w:sz="0" w:space="0" w:color="auto"/>
            <w:bottom w:val="none" w:sz="0" w:space="0" w:color="auto"/>
            <w:right w:val="none" w:sz="0" w:space="0" w:color="auto"/>
          </w:divBdr>
          <w:divsChild>
            <w:div w:id="58096577">
              <w:marLeft w:val="0"/>
              <w:marRight w:val="0"/>
              <w:marTop w:val="0"/>
              <w:marBottom w:val="0"/>
              <w:divBdr>
                <w:top w:val="none" w:sz="0" w:space="0" w:color="auto"/>
                <w:left w:val="none" w:sz="0" w:space="0" w:color="auto"/>
                <w:bottom w:val="none" w:sz="0" w:space="0" w:color="auto"/>
                <w:right w:val="none" w:sz="0" w:space="0" w:color="auto"/>
              </w:divBdr>
              <w:divsChild>
                <w:div w:id="13030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37153">
      <w:bodyDiv w:val="1"/>
      <w:marLeft w:val="0"/>
      <w:marRight w:val="0"/>
      <w:marTop w:val="0"/>
      <w:marBottom w:val="0"/>
      <w:divBdr>
        <w:top w:val="none" w:sz="0" w:space="0" w:color="auto"/>
        <w:left w:val="none" w:sz="0" w:space="0" w:color="auto"/>
        <w:bottom w:val="none" w:sz="0" w:space="0" w:color="auto"/>
        <w:right w:val="none" w:sz="0" w:space="0" w:color="auto"/>
      </w:divBdr>
      <w:divsChild>
        <w:div w:id="742333927">
          <w:marLeft w:val="0"/>
          <w:marRight w:val="0"/>
          <w:marTop w:val="0"/>
          <w:marBottom w:val="0"/>
          <w:divBdr>
            <w:top w:val="none" w:sz="0" w:space="0" w:color="auto"/>
            <w:left w:val="none" w:sz="0" w:space="0" w:color="auto"/>
            <w:bottom w:val="none" w:sz="0" w:space="0" w:color="auto"/>
            <w:right w:val="none" w:sz="0" w:space="0" w:color="auto"/>
          </w:divBdr>
          <w:divsChild>
            <w:div w:id="1155298620">
              <w:marLeft w:val="0"/>
              <w:marRight w:val="0"/>
              <w:marTop w:val="0"/>
              <w:marBottom w:val="0"/>
              <w:divBdr>
                <w:top w:val="none" w:sz="0" w:space="0" w:color="auto"/>
                <w:left w:val="none" w:sz="0" w:space="0" w:color="auto"/>
                <w:bottom w:val="none" w:sz="0" w:space="0" w:color="auto"/>
                <w:right w:val="none" w:sz="0" w:space="0" w:color="auto"/>
              </w:divBdr>
              <w:divsChild>
                <w:div w:id="9493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595732">
      <w:bodyDiv w:val="1"/>
      <w:marLeft w:val="0"/>
      <w:marRight w:val="0"/>
      <w:marTop w:val="0"/>
      <w:marBottom w:val="0"/>
      <w:divBdr>
        <w:top w:val="none" w:sz="0" w:space="0" w:color="auto"/>
        <w:left w:val="none" w:sz="0" w:space="0" w:color="auto"/>
        <w:bottom w:val="none" w:sz="0" w:space="0" w:color="auto"/>
        <w:right w:val="none" w:sz="0" w:space="0" w:color="auto"/>
      </w:divBdr>
      <w:divsChild>
        <w:div w:id="270164720">
          <w:marLeft w:val="0"/>
          <w:marRight w:val="0"/>
          <w:marTop w:val="0"/>
          <w:marBottom w:val="0"/>
          <w:divBdr>
            <w:top w:val="none" w:sz="0" w:space="0" w:color="auto"/>
            <w:left w:val="none" w:sz="0" w:space="0" w:color="auto"/>
            <w:bottom w:val="none" w:sz="0" w:space="0" w:color="auto"/>
            <w:right w:val="none" w:sz="0" w:space="0" w:color="auto"/>
          </w:divBdr>
          <w:divsChild>
            <w:div w:id="2083067105">
              <w:marLeft w:val="0"/>
              <w:marRight w:val="0"/>
              <w:marTop w:val="0"/>
              <w:marBottom w:val="0"/>
              <w:divBdr>
                <w:top w:val="none" w:sz="0" w:space="0" w:color="auto"/>
                <w:left w:val="none" w:sz="0" w:space="0" w:color="auto"/>
                <w:bottom w:val="none" w:sz="0" w:space="0" w:color="auto"/>
                <w:right w:val="none" w:sz="0" w:space="0" w:color="auto"/>
              </w:divBdr>
              <w:divsChild>
                <w:div w:id="29001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77293">
      <w:bodyDiv w:val="1"/>
      <w:marLeft w:val="0"/>
      <w:marRight w:val="0"/>
      <w:marTop w:val="0"/>
      <w:marBottom w:val="0"/>
      <w:divBdr>
        <w:top w:val="none" w:sz="0" w:space="0" w:color="auto"/>
        <w:left w:val="none" w:sz="0" w:space="0" w:color="auto"/>
        <w:bottom w:val="none" w:sz="0" w:space="0" w:color="auto"/>
        <w:right w:val="none" w:sz="0" w:space="0" w:color="auto"/>
      </w:divBdr>
      <w:divsChild>
        <w:div w:id="1517887555">
          <w:marLeft w:val="0"/>
          <w:marRight w:val="0"/>
          <w:marTop w:val="0"/>
          <w:marBottom w:val="0"/>
          <w:divBdr>
            <w:top w:val="none" w:sz="0" w:space="0" w:color="auto"/>
            <w:left w:val="none" w:sz="0" w:space="0" w:color="auto"/>
            <w:bottom w:val="none" w:sz="0" w:space="0" w:color="auto"/>
            <w:right w:val="none" w:sz="0" w:space="0" w:color="auto"/>
          </w:divBdr>
          <w:divsChild>
            <w:div w:id="1431925734">
              <w:marLeft w:val="0"/>
              <w:marRight w:val="0"/>
              <w:marTop w:val="0"/>
              <w:marBottom w:val="0"/>
              <w:divBdr>
                <w:top w:val="none" w:sz="0" w:space="0" w:color="auto"/>
                <w:left w:val="none" w:sz="0" w:space="0" w:color="auto"/>
                <w:bottom w:val="none" w:sz="0" w:space="0" w:color="auto"/>
                <w:right w:val="none" w:sz="0" w:space="0" w:color="auto"/>
              </w:divBdr>
              <w:divsChild>
                <w:div w:id="770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48795">
      <w:bodyDiv w:val="1"/>
      <w:marLeft w:val="0"/>
      <w:marRight w:val="0"/>
      <w:marTop w:val="0"/>
      <w:marBottom w:val="0"/>
      <w:divBdr>
        <w:top w:val="none" w:sz="0" w:space="0" w:color="auto"/>
        <w:left w:val="none" w:sz="0" w:space="0" w:color="auto"/>
        <w:bottom w:val="none" w:sz="0" w:space="0" w:color="auto"/>
        <w:right w:val="none" w:sz="0" w:space="0" w:color="auto"/>
      </w:divBdr>
      <w:divsChild>
        <w:div w:id="199827049">
          <w:marLeft w:val="0"/>
          <w:marRight w:val="0"/>
          <w:marTop w:val="0"/>
          <w:marBottom w:val="0"/>
          <w:divBdr>
            <w:top w:val="none" w:sz="0" w:space="0" w:color="auto"/>
            <w:left w:val="none" w:sz="0" w:space="0" w:color="auto"/>
            <w:bottom w:val="none" w:sz="0" w:space="0" w:color="auto"/>
            <w:right w:val="none" w:sz="0" w:space="0" w:color="auto"/>
          </w:divBdr>
          <w:divsChild>
            <w:div w:id="2078744472">
              <w:marLeft w:val="0"/>
              <w:marRight w:val="0"/>
              <w:marTop w:val="0"/>
              <w:marBottom w:val="0"/>
              <w:divBdr>
                <w:top w:val="none" w:sz="0" w:space="0" w:color="auto"/>
                <w:left w:val="none" w:sz="0" w:space="0" w:color="auto"/>
                <w:bottom w:val="none" w:sz="0" w:space="0" w:color="auto"/>
                <w:right w:val="none" w:sz="0" w:space="0" w:color="auto"/>
              </w:divBdr>
              <w:divsChild>
                <w:div w:id="792789666">
                  <w:marLeft w:val="0"/>
                  <w:marRight w:val="0"/>
                  <w:marTop w:val="0"/>
                  <w:marBottom w:val="0"/>
                  <w:divBdr>
                    <w:top w:val="none" w:sz="0" w:space="0" w:color="auto"/>
                    <w:left w:val="none" w:sz="0" w:space="0" w:color="auto"/>
                    <w:bottom w:val="none" w:sz="0" w:space="0" w:color="auto"/>
                    <w:right w:val="none" w:sz="0" w:space="0" w:color="auto"/>
                  </w:divBdr>
                  <w:divsChild>
                    <w:div w:id="10564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570455">
      <w:bodyDiv w:val="1"/>
      <w:marLeft w:val="0"/>
      <w:marRight w:val="0"/>
      <w:marTop w:val="0"/>
      <w:marBottom w:val="0"/>
      <w:divBdr>
        <w:top w:val="none" w:sz="0" w:space="0" w:color="auto"/>
        <w:left w:val="none" w:sz="0" w:space="0" w:color="auto"/>
        <w:bottom w:val="none" w:sz="0" w:space="0" w:color="auto"/>
        <w:right w:val="none" w:sz="0" w:space="0" w:color="auto"/>
      </w:divBdr>
      <w:divsChild>
        <w:div w:id="2121223969">
          <w:marLeft w:val="0"/>
          <w:marRight w:val="0"/>
          <w:marTop w:val="0"/>
          <w:marBottom w:val="0"/>
          <w:divBdr>
            <w:top w:val="none" w:sz="0" w:space="0" w:color="auto"/>
            <w:left w:val="none" w:sz="0" w:space="0" w:color="auto"/>
            <w:bottom w:val="none" w:sz="0" w:space="0" w:color="auto"/>
            <w:right w:val="none" w:sz="0" w:space="0" w:color="auto"/>
          </w:divBdr>
          <w:divsChild>
            <w:div w:id="245652676">
              <w:marLeft w:val="0"/>
              <w:marRight w:val="0"/>
              <w:marTop w:val="0"/>
              <w:marBottom w:val="0"/>
              <w:divBdr>
                <w:top w:val="none" w:sz="0" w:space="0" w:color="auto"/>
                <w:left w:val="none" w:sz="0" w:space="0" w:color="auto"/>
                <w:bottom w:val="none" w:sz="0" w:space="0" w:color="auto"/>
                <w:right w:val="none" w:sz="0" w:space="0" w:color="auto"/>
              </w:divBdr>
              <w:divsChild>
                <w:div w:id="693768033">
                  <w:marLeft w:val="0"/>
                  <w:marRight w:val="0"/>
                  <w:marTop w:val="0"/>
                  <w:marBottom w:val="0"/>
                  <w:divBdr>
                    <w:top w:val="none" w:sz="0" w:space="0" w:color="auto"/>
                    <w:left w:val="none" w:sz="0" w:space="0" w:color="auto"/>
                    <w:bottom w:val="none" w:sz="0" w:space="0" w:color="auto"/>
                    <w:right w:val="none" w:sz="0" w:space="0" w:color="auto"/>
                  </w:divBdr>
                  <w:divsChild>
                    <w:div w:id="19897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80416">
      <w:bodyDiv w:val="1"/>
      <w:marLeft w:val="0"/>
      <w:marRight w:val="0"/>
      <w:marTop w:val="0"/>
      <w:marBottom w:val="0"/>
      <w:divBdr>
        <w:top w:val="none" w:sz="0" w:space="0" w:color="auto"/>
        <w:left w:val="none" w:sz="0" w:space="0" w:color="auto"/>
        <w:bottom w:val="none" w:sz="0" w:space="0" w:color="auto"/>
        <w:right w:val="none" w:sz="0" w:space="0" w:color="auto"/>
      </w:divBdr>
      <w:divsChild>
        <w:div w:id="79638716">
          <w:marLeft w:val="0"/>
          <w:marRight w:val="0"/>
          <w:marTop w:val="0"/>
          <w:marBottom w:val="0"/>
          <w:divBdr>
            <w:top w:val="none" w:sz="0" w:space="0" w:color="auto"/>
            <w:left w:val="none" w:sz="0" w:space="0" w:color="auto"/>
            <w:bottom w:val="none" w:sz="0" w:space="0" w:color="auto"/>
            <w:right w:val="none" w:sz="0" w:space="0" w:color="auto"/>
          </w:divBdr>
          <w:divsChild>
            <w:div w:id="392196004">
              <w:marLeft w:val="0"/>
              <w:marRight w:val="0"/>
              <w:marTop w:val="0"/>
              <w:marBottom w:val="0"/>
              <w:divBdr>
                <w:top w:val="none" w:sz="0" w:space="0" w:color="auto"/>
                <w:left w:val="none" w:sz="0" w:space="0" w:color="auto"/>
                <w:bottom w:val="none" w:sz="0" w:space="0" w:color="auto"/>
                <w:right w:val="none" w:sz="0" w:space="0" w:color="auto"/>
              </w:divBdr>
              <w:divsChild>
                <w:div w:id="8080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868394">
      <w:bodyDiv w:val="1"/>
      <w:marLeft w:val="0"/>
      <w:marRight w:val="0"/>
      <w:marTop w:val="0"/>
      <w:marBottom w:val="0"/>
      <w:divBdr>
        <w:top w:val="none" w:sz="0" w:space="0" w:color="auto"/>
        <w:left w:val="none" w:sz="0" w:space="0" w:color="auto"/>
        <w:bottom w:val="none" w:sz="0" w:space="0" w:color="auto"/>
        <w:right w:val="none" w:sz="0" w:space="0" w:color="auto"/>
      </w:divBdr>
      <w:divsChild>
        <w:div w:id="1431853314">
          <w:marLeft w:val="0"/>
          <w:marRight w:val="0"/>
          <w:marTop w:val="0"/>
          <w:marBottom w:val="0"/>
          <w:divBdr>
            <w:top w:val="none" w:sz="0" w:space="0" w:color="auto"/>
            <w:left w:val="none" w:sz="0" w:space="0" w:color="auto"/>
            <w:bottom w:val="none" w:sz="0" w:space="0" w:color="auto"/>
            <w:right w:val="none" w:sz="0" w:space="0" w:color="auto"/>
          </w:divBdr>
          <w:divsChild>
            <w:div w:id="707877273">
              <w:marLeft w:val="0"/>
              <w:marRight w:val="0"/>
              <w:marTop w:val="0"/>
              <w:marBottom w:val="0"/>
              <w:divBdr>
                <w:top w:val="none" w:sz="0" w:space="0" w:color="auto"/>
                <w:left w:val="none" w:sz="0" w:space="0" w:color="auto"/>
                <w:bottom w:val="none" w:sz="0" w:space="0" w:color="auto"/>
                <w:right w:val="none" w:sz="0" w:space="0" w:color="auto"/>
              </w:divBdr>
              <w:divsChild>
                <w:div w:id="2140297533">
                  <w:marLeft w:val="0"/>
                  <w:marRight w:val="0"/>
                  <w:marTop w:val="0"/>
                  <w:marBottom w:val="0"/>
                  <w:divBdr>
                    <w:top w:val="none" w:sz="0" w:space="0" w:color="auto"/>
                    <w:left w:val="none" w:sz="0" w:space="0" w:color="auto"/>
                    <w:bottom w:val="none" w:sz="0" w:space="0" w:color="auto"/>
                    <w:right w:val="none" w:sz="0" w:space="0" w:color="auto"/>
                  </w:divBdr>
                  <w:divsChild>
                    <w:div w:id="13921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13049">
      <w:bodyDiv w:val="1"/>
      <w:marLeft w:val="0"/>
      <w:marRight w:val="0"/>
      <w:marTop w:val="0"/>
      <w:marBottom w:val="0"/>
      <w:divBdr>
        <w:top w:val="none" w:sz="0" w:space="0" w:color="auto"/>
        <w:left w:val="none" w:sz="0" w:space="0" w:color="auto"/>
        <w:bottom w:val="none" w:sz="0" w:space="0" w:color="auto"/>
        <w:right w:val="none" w:sz="0" w:space="0" w:color="auto"/>
      </w:divBdr>
      <w:divsChild>
        <w:div w:id="2018268728">
          <w:marLeft w:val="0"/>
          <w:marRight w:val="0"/>
          <w:marTop w:val="0"/>
          <w:marBottom w:val="0"/>
          <w:divBdr>
            <w:top w:val="none" w:sz="0" w:space="0" w:color="auto"/>
            <w:left w:val="none" w:sz="0" w:space="0" w:color="auto"/>
            <w:bottom w:val="none" w:sz="0" w:space="0" w:color="auto"/>
            <w:right w:val="none" w:sz="0" w:space="0" w:color="auto"/>
          </w:divBdr>
          <w:divsChild>
            <w:div w:id="647132511">
              <w:marLeft w:val="0"/>
              <w:marRight w:val="0"/>
              <w:marTop w:val="0"/>
              <w:marBottom w:val="0"/>
              <w:divBdr>
                <w:top w:val="none" w:sz="0" w:space="0" w:color="auto"/>
                <w:left w:val="none" w:sz="0" w:space="0" w:color="auto"/>
                <w:bottom w:val="none" w:sz="0" w:space="0" w:color="auto"/>
                <w:right w:val="none" w:sz="0" w:space="0" w:color="auto"/>
              </w:divBdr>
              <w:divsChild>
                <w:div w:id="9162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635">
      <w:bodyDiv w:val="1"/>
      <w:marLeft w:val="0"/>
      <w:marRight w:val="0"/>
      <w:marTop w:val="0"/>
      <w:marBottom w:val="0"/>
      <w:divBdr>
        <w:top w:val="none" w:sz="0" w:space="0" w:color="auto"/>
        <w:left w:val="none" w:sz="0" w:space="0" w:color="auto"/>
        <w:bottom w:val="none" w:sz="0" w:space="0" w:color="auto"/>
        <w:right w:val="none" w:sz="0" w:space="0" w:color="auto"/>
      </w:divBdr>
      <w:divsChild>
        <w:div w:id="1783961156">
          <w:marLeft w:val="0"/>
          <w:marRight w:val="0"/>
          <w:marTop w:val="0"/>
          <w:marBottom w:val="0"/>
          <w:divBdr>
            <w:top w:val="none" w:sz="0" w:space="0" w:color="auto"/>
            <w:left w:val="none" w:sz="0" w:space="0" w:color="auto"/>
            <w:bottom w:val="none" w:sz="0" w:space="0" w:color="auto"/>
            <w:right w:val="none" w:sz="0" w:space="0" w:color="auto"/>
          </w:divBdr>
          <w:divsChild>
            <w:div w:id="348340728">
              <w:marLeft w:val="0"/>
              <w:marRight w:val="0"/>
              <w:marTop w:val="0"/>
              <w:marBottom w:val="0"/>
              <w:divBdr>
                <w:top w:val="none" w:sz="0" w:space="0" w:color="auto"/>
                <w:left w:val="none" w:sz="0" w:space="0" w:color="auto"/>
                <w:bottom w:val="none" w:sz="0" w:space="0" w:color="auto"/>
                <w:right w:val="none" w:sz="0" w:space="0" w:color="auto"/>
              </w:divBdr>
              <w:divsChild>
                <w:div w:id="14037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53724">
      <w:bodyDiv w:val="1"/>
      <w:marLeft w:val="0"/>
      <w:marRight w:val="0"/>
      <w:marTop w:val="0"/>
      <w:marBottom w:val="0"/>
      <w:divBdr>
        <w:top w:val="none" w:sz="0" w:space="0" w:color="auto"/>
        <w:left w:val="none" w:sz="0" w:space="0" w:color="auto"/>
        <w:bottom w:val="none" w:sz="0" w:space="0" w:color="auto"/>
        <w:right w:val="none" w:sz="0" w:space="0" w:color="auto"/>
      </w:divBdr>
      <w:divsChild>
        <w:div w:id="487136042">
          <w:marLeft w:val="0"/>
          <w:marRight w:val="0"/>
          <w:marTop w:val="0"/>
          <w:marBottom w:val="0"/>
          <w:divBdr>
            <w:top w:val="none" w:sz="0" w:space="0" w:color="auto"/>
            <w:left w:val="none" w:sz="0" w:space="0" w:color="auto"/>
            <w:bottom w:val="none" w:sz="0" w:space="0" w:color="auto"/>
            <w:right w:val="none" w:sz="0" w:space="0" w:color="auto"/>
          </w:divBdr>
          <w:divsChild>
            <w:div w:id="816990631">
              <w:marLeft w:val="0"/>
              <w:marRight w:val="0"/>
              <w:marTop w:val="0"/>
              <w:marBottom w:val="0"/>
              <w:divBdr>
                <w:top w:val="none" w:sz="0" w:space="0" w:color="auto"/>
                <w:left w:val="none" w:sz="0" w:space="0" w:color="auto"/>
                <w:bottom w:val="none" w:sz="0" w:space="0" w:color="auto"/>
                <w:right w:val="none" w:sz="0" w:space="0" w:color="auto"/>
              </w:divBdr>
              <w:divsChild>
                <w:div w:id="5316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3205">
      <w:bodyDiv w:val="1"/>
      <w:marLeft w:val="0"/>
      <w:marRight w:val="0"/>
      <w:marTop w:val="0"/>
      <w:marBottom w:val="0"/>
      <w:divBdr>
        <w:top w:val="none" w:sz="0" w:space="0" w:color="auto"/>
        <w:left w:val="none" w:sz="0" w:space="0" w:color="auto"/>
        <w:bottom w:val="none" w:sz="0" w:space="0" w:color="auto"/>
        <w:right w:val="none" w:sz="0" w:space="0" w:color="auto"/>
      </w:divBdr>
      <w:divsChild>
        <w:div w:id="455562454">
          <w:marLeft w:val="0"/>
          <w:marRight w:val="0"/>
          <w:marTop w:val="0"/>
          <w:marBottom w:val="0"/>
          <w:divBdr>
            <w:top w:val="none" w:sz="0" w:space="0" w:color="auto"/>
            <w:left w:val="none" w:sz="0" w:space="0" w:color="auto"/>
            <w:bottom w:val="none" w:sz="0" w:space="0" w:color="auto"/>
            <w:right w:val="none" w:sz="0" w:space="0" w:color="auto"/>
          </w:divBdr>
          <w:divsChild>
            <w:div w:id="1952081374">
              <w:marLeft w:val="0"/>
              <w:marRight w:val="0"/>
              <w:marTop w:val="0"/>
              <w:marBottom w:val="0"/>
              <w:divBdr>
                <w:top w:val="none" w:sz="0" w:space="0" w:color="auto"/>
                <w:left w:val="none" w:sz="0" w:space="0" w:color="auto"/>
                <w:bottom w:val="none" w:sz="0" w:space="0" w:color="auto"/>
                <w:right w:val="none" w:sz="0" w:space="0" w:color="auto"/>
              </w:divBdr>
              <w:divsChild>
                <w:div w:id="153315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59545">
      <w:bodyDiv w:val="1"/>
      <w:marLeft w:val="0"/>
      <w:marRight w:val="0"/>
      <w:marTop w:val="0"/>
      <w:marBottom w:val="0"/>
      <w:divBdr>
        <w:top w:val="none" w:sz="0" w:space="0" w:color="auto"/>
        <w:left w:val="none" w:sz="0" w:space="0" w:color="auto"/>
        <w:bottom w:val="none" w:sz="0" w:space="0" w:color="auto"/>
        <w:right w:val="none" w:sz="0" w:space="0" w:color="auto"/>
      </w:divBdr>
      <w:divsChild>
        <w:div w:id="1081293770">
          <w:marLeft w:val="0"/>
          <w:marRight w:val="0"/>
          <w:marTop w:val="0"/>
          <w:marBottom w:val="0"/>
          <w:divBdr>
            <w:top w:val="none" w:sz="0" w:space="0" w:color="auto"/>
            <w:left w:val="none" w:sz="0" w:space="0" w:color="auto"/>
            <w:bottom w:val="none" w:sz="0" w:space="0" w:color="auto"/>
            <w:right w:val="none" w:sz="0" w:space="0" w:color="auto"/>
          </w:divBdr>
          <w:divsChild>
            <w:div w:id="1426732708">
              <w:marLeft w:val="0"/>
              <w:marRight w:val="0"/>
              <w:marTop w:val="0"/>
              <w:marBottom w:val="0"/>
              <w:divBdr>
                <w:top w:val="none" w:sz="0" w:space="0" w:color="auto"/>
                <w:left w:val="none" w:sz="0" w:space="0" w:color="auto"/>
                <w:bottom w:val="none" w:sz="0" w:space="0" w:color="auto"/>
                <w:right w:val="none" w:sz="0" w:space="0" w:color="auto"/>
              </w:divBdr>
              <w:divsChild>
                <w:div w:id="1035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7945">
      <w:bodyDiv w:val="1"/>
      <w:marLeft w:val="0"/>
      <w:marRight w:val="0"/>
      <w:marTop w:val="0"/>
      <w:marBottom w:val="0"/>
      <w:divBdr>
        <w:top w:val="none" w:sz="0" w:space="0" w:color="auto"/>
        <w:left w:val="none" w:sz="0" w:space="0" w:color="auto"/>
        <w:bottom w:val="none" w:sz="0" w:space="0" w:color="auto"/>
        <w:right w:val="none" w:sz="0" w:space="0" w:color="auto"/>
      </w:divBdr>
      <w:divsChild>
        <w:div w:id="370692770">
          <w:marLeft w:val="0"/>
          <w:marRight w:val="0"/>
          <w:marTop w:val="0"/>
          <w:marBottom w:val="0"/>
          <w:divBdr>
            <w:top w:val="none" w:sz="0" w:space="0" w:color="auto"/>
            <w:left w:val="none" w:sz="0" w:space="0" w:color="auto"/>
            <w:bottom w:val="none" w:sz="0" w:space="0" w:color="auto"/>
            <w:right w:val="none" w:sz="0" w:space="0" w:color="auto"/>
          </w:divBdr>
          <w:divsChild>
            <w:div w:id="2001539270">
              <w:marLeft w:val="0"/>
              <w:marRight w:val="0"/>
              <w:marTop w:val="0"/>
              <w:marBottom w:val="0"/>
              <w:divBdr>
                <w:top w:val="none" w:sz="0" w:space="0" w:color="auto"/>
                <w:left w:val="none" w:sz="0" w:space="0" w:color="auto"/>
                <w:bottom w:val="none" w:sz="0" w:space="0" w:color="auto"/>
                <w:right w:val="none" w:sz="0" w:space="0" w:color="auto"/>
              </w:divBdr>
              <w:divsChild>
                <w:div w:id="1052003943">
                  <w:marLeft w:val="0"/>
                  <w:marRight w:val="0"/>
                  <w:marTop w:val="0"/>
                  <w:marBottom w:val="0"/>
                  <w:divBdr>
                    <w:top w:val="none" w:sz="0" w:space="0" w:color="auto"/>
                    <w:left w:val="none" w:sz="0" w:space="0" w:color="auto"/>
                    <w:bottom w:val="none" w:sz="0" w:space="0" w:color="auto"/>
                    <w:right w:val="none" w:sz="0" w:space="0" w:color="auto"/>
                  </w:divBdr>
                  <w:divsChild>
                    <w:div w:id="613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92855">
      <w:bodyDiv w:val="1"/>
      <w:marLeft w:val="0"/>
      <w:marRight w:val="0"/>
      <w:marTop w:val="0"/>
      <w:marBottom w:val="0"/>
      <w:divBdr>
        <w:top w:val="none" w:sz="0" w:space="0" w:color="auto"/>
        <w:left w:val="none" w:sz="0" w:space="0" w:color="auto"/>
        <w:bottom w:val="none" w:sz="0" w:space="0" w:color="auto"/>
        <w:right w:val="none" w:sz="0" w:space="0" w:color="auto"/>
      </w:divBdr>
      <w:divsChild>
        <w:div w:id="1411582678">
          <w:marLeft w:val="0"/>
          <w:marRight w:val="0"/>
          <w:marTop w:val="0"/>
          <w:marBottom w:val="0"/>
          <w:divBdr>
            <w:top w:val="none" w:sz="0" w:space="0" w:color="auto"/>
            <w:left w:val="none" w:sz="0" w:space="0" w:color="auto"/>
            <w:bottom w:val="none" w:sz="0" w:space="0" w:color="auto"/>
            <w:right w:val="none" w:sz="0" w:space="0" w:color="auto"/>
          </w:divBdr>
          <w:divsChild>
            <w:div w:id="257103132">
              <w:marLeft w:val="0"/>
              <w:marRight w:val="0"/>
              <w:marTop w:val="0"/>
              <w:marBottom w:val="0"/>
              <w:divBdr>
                <w:top w:val="none" w:sz="0" w:space="0" w:color="auto"/>
                <w:left w:val="none" w:sz="0" w:space="0" w:color="auto"/>
                <w:bottom w:val="none" w:sz="0" w:space="0" w:color="auto"/>
                <w:right w:val="none" w:sz="0" w:space="0" w:color="auto"/>
              </w:divBdr>
              <w:divsChild>
                <w:div w:id="2005471128">
                  <w:marLeft w:val="0"/>
                  <w:marRight w:val="0"/>
                  <w:marTop w:val="0"/>
                  <w:marBottom w:val="0"/>
                  <w:divBdr>
                    <w:top w:val="none" w:sz="0" w:space="0" w:color="auto"/>
                    <w:left w:val="none" w:sz="0" w:space="0" w:color="auto"/>
                    <w:bottom w:val="none" w:sz="0" w:space="0" w:color="auto"/>
                    <w:right w:val="none" w:sz="0" w:space="0" w:color="auto"/>
                  </w:divBdr>
                  <w:divsChild>
                    <w:div w:id="667099037">
                      <w:marLeft w:val="0"/>
                      <w:marRight w:val="0"/>
                      <w:marTop w:val="0"/>
                      <w:marBottom w:val="0"/>
                      <w:divBdr>
                        <w:top w:val="none" w:sz="0" w:space="0" w:color="auto"/>
                        <w:left w:val="none" w:sz="0" w:space="0" w:color="auto"/>
                        <w:bottom w:val="none" w:sz="0" w:space="0" w:color="auto"/>
                        <w:right w:val="none" w:sz="0" w:space="0" w:color="auto"/>
                      </w:divBdr>
                    </w:div>
                    <w:div w:id="1304315552">
                      <w:marLeft w:val="0"/>
                      <w:marRight w:val="0"/>
                      <w:marTop w:val="0"/>
                      <w:marBottom w:val="0"/>
                      <w:divBdr>
                        <w:top w:val="none" w:sz="0" w:space="0" w:color="auto"/>
                        <w:left w:val="none" w:sz="0" w:space="0" w:color="auto"/>
                        <w:bottom w:val="none" w:sz="0" w:space="0" w:color="auto"/>
                        <w:right w:val="none" w:sz="0" w:space="0" w:color="auto"/>
                      </w:divBdr>
                    </w:div>
                  </w:divsChild>
                </w:div>
                <w:div w:id="2047632635">
                  <w:marLeft w:val="0"/>
                  <w:marRight w:val="0"/>
                  <w:marTop w:val="0"/>
                  <w:marBottom w:val="0"/>
                  <w:divBdr>
                    <w:top w:val="none" w:sz="0" w:space="0" w:color="auto"/>
                    <w:left w:val="none" w:sz="0" w:space="0" w:color="auto"/>
                    <w:bottom w:val="none" w:sz="0" w:space="0" w:color="auto"/>
                    <w:right w:val="none" w:sz="0" w:space="0" w:color="auto"/>
                  </w:divBdr>
                  <w:divsChild>
                    <w:div w:id="12468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26586">
      <w:bodyDiv w:val="1"/>
      <w:marLeft w:val="0"/>
      <w:marRight w:val="0"/>
      <w:marTop w:val="0"/>
      <w:marBottom w:val="0"/>
      <w:divBdr>
        <w:top w:val="none" w:sz="0" w:space="0" w:color="auto"/>
        <w:left w:val="none" w:sz="0" w:space="0" w:color="auto"/>
        <w:bottom w:val="none" w:sz="0" w:space="0" w:color="auto"/>
        <w:right w:val="none" w:sz="0" w:space="0" w:color="auto"/>
      </w:divBdr>
      <w:divsChild>
        <w:div w:id="423648674">
          <w:marLeft w:val="0"/>
          <w:marRight w:val="0"/>
          <w:marTop w:val="0"/>
          <w:marBottom w:val="0"/>
          <w:divBdr>
            <w:top w:val="none" w:sz="0" w:space="0" w:color="auto"/>
            <w:left w:val="none" w:sz="0" w:space="0" w:color="auto"/>
            <w:bottom w:val="none" w:sz="0" w:space="0" w:color="auto"/>
            <w:right w:val="none" w:sz="0" w:space="0" w:color="auto"/>
          </w:divBdr>
          <w:divsChild>
            <w:div w:id="28334864">
              <w:marLeft w:val="0"/>
              <w:marRight w:val="0"/>
              <w:marTop w:val="0"/>
              <w:marBottom w:val="0"/>
              <w:divBdr>
                <w:top w:val="none" w:sz="0" w:space="0" w:color="auto"/>
                <w:left w:val="none" w:sz="0" w:space="0" w:color="auto"/>
                <w:bottom w:val="none" w:sz="0" w:space="0" w:color="auto"/>
                <w:right w:val="none" w:sz="0" w:space="0" w:color="auto"/>
              </w:divBdr>
              <w:divsChild>
                <w:div w:id="535965205">
                  <w:marLeft w:val="0"/>
                  <w:marRight w:val="0"/>
                  <w:marTop w:val="0"/>
                  <w:marBottom w:val="0"/>
                  <w:divBdr>
                    <w:top w:val="none" w:sz="0" w:space="0" w:color="auto"/>
                    <w:left w:val="none" w:sz="0" w:space="0" w:color="auto"/>
                    <w:bottom w:val="none" w:sz="0" w:space="0" w:color="auto"/>
                    <w:right w:val="none" w:sz="0" w:space="0" w:color="auto"/>
                  </w:divBdr>
                  <w:divsChild>
                    <w:div w:id="16578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486504">
      <w:bodyDiv w:val="1"/>
      <w:marLeft w:val="0"/>
      <w:marRight w:val="0"/>
      <w:marTop w:val="0"/>
      <w:marBottom w:val="0"/>
      <w:divBdr>
        <w:top w:val="none" w:sz="0" w:space="0" w:color="auto"/>
        <w:left w:val="none" w:sz="0" w:space="0" w:color="auto"/>
        <w:bottom w:val="none" w:sz="0" w:space="0" w:color="auto"/>
        <w:right w:val="none" w:sz="0" w:space="0" w:color="auto"/>
      </w:divBdr>
      <w:divsChild>
        <w:div w:id="1311205024">
          <w:marLeft w:val="0"/>
          <w:marRight w:val="0"/>
          <w:marTop w:val="0"/>
          <w:marBottom w:val="0"/>
          <w:divBdr>
            <w:top w:val="none" w:sz="0" w:space="0" w:color="auto"/>
            <w:left w:val="none" w:sz="0" w:space="0" w:color="auto"/>
            <w:bottom w:val="none" w:sz="0" w:space="0" w:color="auto"/>
            <w:right w:val="none" w:sz="0" w:space="0" w:color="auto"/>
          </w:divBdr>
          <w:divsChild>
            <w:div w:id="1325551033">
              <w:marLeft w:val="0"/>
              <w:marRight w:val="0"/>
              <w:marTop w:val="0"/>
              <w:marBottom w:val="0"/>
              <w:divBdr>
                <w:top w:val="none" w:sz="0" w:space="0" w:color="auto"/>
                <w:left w:val="none" w:sz="0" w:space="0" w:color="auto"/>
                <w:bottom w:val="none" w:sz="0" w:space="0" w:color="auto"/>
                <w:right w:val="none" w:sz="0" w:space="0" w:color="auto"/>
              </w:divBdr>
              <w:divsChild>
                <w:div w:id="329600361">
                  <w:marLeft w:val="0"/>
                  <w:marRight w:val="0"/>
                  <w:marTop w:val="0"/>
                  <w:marBottom w:val="0"/>
                  <w:divBdr>
                    <w:top w:val="none" w:sz="0" w:space="0" w:color="auto"/>
                    <w:left w:val="none" w:sz="0" w:space="0" w:color="auto"/>
                    <w:bottom w:val="none" w:sz="0" w:space="0" w:color="auto"/>
                    <w:right w:val="none" w:sz="0" w:space="0" w:color="auto"/>
                  </w:divBdr>
                  <w:divsChild>
                    <w:div w:id="19997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628752">
      <w:bodyDiv w:val="1"/>
      <w:marLeft w:val="0"/>
      <w:marRight w:val="0"/>
      <w:marTop w:val="0"/>
      <w:marBottom w:val="0"/>
      <w:divBdr>
        <w:top w:val="none" w:sz="0" w:space="0" w:color="auto"/>
        <w:left w:val="none" w:sz="0" w:space="0" w:color="auto"/>
        <w:bottom w:val="none" w:sz="0" w:space="0" w:color="auto"/>
        <w:right w:val="none" w:sz="0" w:space="0" w:color="auto"/>
      </w:divBdr>
      <w:divsChild>
        <w:div w:id="1003435660">
          <w:marLeft w:val="0"/>
          <w:marRight w:val="0"/>
          <w:marTop w:val="0"/>
          <w:marBottom w:val="0"/>
          <w:divBdr>
            <w:top w:val="none" w:sz="0" w:space="0" w:color="auto"/>
            <w:left w:val="none" w:sz="0" w:space="0" w:color="auto"/>
            <w:bottom w:val="none" w:sz="0" w:space="0" w:color="auto"/>
            <w:right w:val="none" w:sz="0" w:space="0" w:color="auto"/>
          </w:divBdr>
          <w:divsChild>
            <w:div w:id="1480228801">
              <w:marLeft w:val="0"/>
              <w:marRight w:val="0"/>
              <w:marTop w:val="0"/>
              <w:marBottom w:val="0"/>
              <w:divBdr>
                <w:top w:val="none" w:sz="0" w:space="0" w:color="auto"/>
                <w:left w:val="none" w:sz="0" w:space="0" w:color="auto"/>
                <w:bottom w:val="none" w:sz="0" w:space="0" w:color="auto"/>
                <w:right w:val="none" w:sz="0" w:space="0" w:color="auto"/>
              </w:divBdr>
              <w:divsChild>
                <w:div w:id="17241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84710">
      <w:bodyDiv w:val="1"/>
      <w:marLeft w:val="0"/>
      <w:marRight w:val="0"/>
      <w:marTop w:val="0"/>
      <w:marBottom w:val="0"/>
      <w:divBdr>
        <w:top w:val="none" w:sz="0" w:space="0" w:color="auto"/>
        <w:left w:val="none" w:sz="0" w:space="0" w:color="auto"/>
        <w:bottom w:val="none" w:sz="0" w:space="0" w:color="auto"/>
        <w:right w:val="none" w:sz="0" w:space="0" w:color="auto"/>
      </w:divBdr>
      <w:divsChild>
        <w:div w:id="638338405">
          <w:marLeft w:val="0"/>
          <w:marRight w:val="0"/>
          <w:marTop w:val="0"/>
          <w:marBottom w:val="0"/>
          <w:divBdr>
            <w:top w:val="none" w:sz="0" w:space="0" w:color="auto"/>
            <w:left w:val="none" w:sz="0" w:space="0" w:color="auto"/>
            <w:bottom w:val="none" w:sz="0" w:space="0" w:color="auto"/>
            <w:right w:val="none" w:sz="0" w:space="0" w:color="auto"/>
          </w:divBdr>
          <w:divsChild>
            <w:div w:id="1805388812">
              <w:marLeft w:val="0"/>
              <w:marRight w:val="0"/>
              <w:marTop w:val="0"/>
              <w:marBottom w:val="0"/>
              <w:divBdr>
                <w:top w:val="none" w:sz="0" w:space="0" w:color="auto"/>
                <w:left w:val="none" w:sz="0" w:space="0" w:color="auto"/>
                <w:bottom w:val="none" w:sz="0" w:space="0" w:color="auto"/>
                <w:right w:val="none" w:sz="0" w:space="0" w:color="auto"/>
              </w:divBdr>
              <w:divsChild>
                <w:div w:id="16035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16816">
      <w:bodyDiv w:val="1"/>
      <w:marLeft w:val="0"/>
      <w:marRight w:val="0"/>
      <w:marTop w:val="0"/>
      <w:marBottom w:val="0"/>
      <w:divBdr>
        <w:top w:val="none" w:sz="0" w:space="0" w:color="auto"/>
        <w:left w:val="none" w:sz="0" w:space="0" w:color="auto"/>
        <w:bottom w:val="none" w:sz="0" w:space="0" w:color="auto"/>
        <w:right w:val="none" w:sz="0" w:space="0" w:color="auto"/>
      </w:divBdr>
      <w:divsChild>
        <w:div w:id="1210262659">
          <w:marLeft w:val="0"/>
          <w:marRight w:val="0"/>
          <w:marTop w:val="0"/>
          <w:marBottom w:val="0"/>
          <w:divBdr>
            <w:top w:val="none" w:sz="0" w:space="0" w:color="auto"/>
            <w:left w:val="none" w:sz="0" w:space="0" w:color="auto"/>
            <w:bottom w:val="none" w:sz="0" w:space="0" w:color="auto"/>
            <w:right w:val="none" w:sz="0" w:space="0" w:color="auto"/>
          </w:divBdr>
          <w:divsChild>
            <w:div w:id="1649357406">
              <w:marLeft w:val="0"/>
              <w:marRight w:val="0"/>
              <w:marTop w:val="0"/>
              <w:marBottom w:val="0"/>
              <w:divBdr>
                <w:top w:val="none" w:sz="0" w:space="0" w:color="auto"/>
                <w:left w:val="none" w:sz="0" w:space="0" w:color="auto"/>
                <w:bottom w:val="none" w:sz="0" w:space="0" w:color="auto"/>
                <w:right w:val="none" w:sz="0" w:space="0" w:color="auto"/>
              </w:divBdr>
              <w:divsChild>
                <w:div w:id="494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78168">
      <w:bodyDiv w:val="1"/>
      <w:marLeft w:val="0"/>
      <w:marRight w:val="0"/>
      <w:marTop w:val="0"/>
      <w:marBottom w:val="0"/>
      <w:divBdr>
        <w:top w:val="none" w:sz="0" w:space="0" w:color="auto"/>
        <w:left w:val="none" w:sz="0" w:space="0" w:color="auto"/>
        <w:bottom w:val="none" w:sz="0" w:space="0" w:color="auto"/>
        <w:right w:val="none" w:sz="0" w:space="0" w:color="auto"/>
      </w:divBdr>
      <w:divsChild>
        <w:div w:id="1371418409">
          <w:marLeft w:val="0"/>
          <w:marRight w:val="0"/>
          <w:marTop w:val="0"/>
          <w:marBottom w:val="0"/>
          <w:divBdr>
            <w:top w:val="none" w:sz="0" w:space="0" w:color="auto"/>
            <w:left w:val="none" w:sz="0" w:space="0" w:color="auto"/>
            <w:bottom w:val="none" w:sz="0" w:space="0" w:color="auto"/>
            <w:right w:val="none" w:sz="0" w:space="0" w:color="auto"/>
          </w:divBdr>
          <w:divsChild>
            <w:div w:id="1205100706">
              <w:marLeft w:val="0"/>
              <w:marRight w:val="0"/>
              <w:marTop w:val="0"/>
              <w:marBottom w:val="0"/>
              <w:divBdr>
                <w:top w:val="none" w:sz="0" w:space="0" w:color="auto"/>
                <w:left w:val="none" w:sz="0" w:space="0" w:color="auto"/>
                <w:bottom w:val="none" w:sz="0" w:space="0" w:color="auto"/>
                <w:right w:val="none" w:sz="0" w:space="0" w:color="auto"/>
              </w:divBdr>
              <w:divsChild>
                <w:div w:id="197428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627619">
      <w:bodyDiv w:val="1"/>
      <w:marLeft w:val="0"/>
      <w:marRight w:val="0"/>
      <w:marTop w:val="0"/>
      <w:marBottom w:val="0"/>
      <w:divBdr>
        <w:top w:val="none" w:sz="0" w:space="0" w:color="auto"/>
        <w:left w:val="none" w:sz="0" w:space="0" w:color="auto"/>
        <w:bottom w:val="none" w:sz="0" w:space="0" w:color="auto"/>
        <w:right w:val="none" w:sz="0" w:space="0" w:color="auto"/>
      </w:divBdr>
      <w:divsChild>
        <w:div w:id="2030641576">
          <w:marLeft w:val="0"/>
          <w:marRight w:val="0"/>
          <w:marTop w:val="0"/>
          <w:marBottom w:val="0"/>
          <w:divBdr>
            <w:top w:val="none" w:sz="0" w:space="0" w:color="auto"/>
            <w:left w:val="none" w:sz="0" w:space="0" w:color="auto"/>
            <w:bottom w:val="none" w:sz="0" w:space="0" w:color="auto"/>
            <w:right w:val="none" w:sz="0" w:space="0" w:color="auto"/>
          </w:divBdr>
          <w:divsChild>
            <w:div w:id="495414906">
              <w:marLeft w:val="0"/>
              <w:marRight w:val="0"/>
              <w:marTop w:val="0"/>
              <w:marBottom w:val="0"/>
              <w:divBdr>
                <w:top w:val="none" w:sz="0" w:space="0" w:color="auto"/>
                <w:left w:val="none" w:sz="0" w:space="0" w:color="auto"/>
                <w:bottom w:val="none" w:sz="0" w:space="0" w:color="auto"/>
                <w:right w:val="none" w:sz="0" w:space="0" w:color="auto"/>
              </w:divBdr>
              <w:divsChild>
                <w:div w:id="1265259740">
                  <w:marLeft w:val="0"/>
                  <w:marRight w:val="0"/>
                  <w:marTop w:val="0"/>
                  <w:marBottom w:val="0"/>
                  <w:divBdr>
                    <w:top w:val="none" w:sz="0" w:space="0" w:color="auto"/>
                    <w:left w:val="none" w:sz="0" w:space="0" w:color="auto"/>
                    <w:bottom w:val="none" w:sz="0" w:space="0" w:color="auto"/>
                    <w:right w:val="none" w:sz="0" w:space="0" w:color="auto"/>
                  </w:divBdr>
                  <w:divsChild>
                    <w:div w:id="7234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47692">
      <w:bodyDiv w:val="1"/>
      <w:marLeft w:val="0"/>
      <w:marRight w:val="0"/>
      <w:marTop w:val="0"/>
      <w:marBottom w:val="0"/>
      <w:divBdr>
        <w:top w:val="none" w:sz="0" w:space="0" w:color="auto"/>
        <w:left w:val="none" w:sz="0" w:space="0" w:color="auto"/>
        <w:bottom w:val="none" w:sz="0" w:space="0" w:color="auto"/>
        <w:right w:val="none" w:sz="0" w:space="0" w:color="auto"/>
      </w:divBdr>
      <w:divsChild>
        <w:div w:id="1089039950">
          <w:marLeft w:val="0"/>
          <w:marRight w:val="0"/>
          <w:marTop w:val="0"/>
          <w:marBottom w:val="0"/>
          <w:divBdr>
            <w:top w:val="none" w:sz="0" w:space="0" w:color="auto"/>
            <w:left w:val="none" w:sz="0" w:space="0" w:color="auto"/>
            <w:bottom w:val="none" w:sz="0" w:space="0" w:color="auto"/>
            <w:right w:val="none" w:sz="0" w:space="0" w:color="auto"/>
          </w:divBdr>
          <w:divsChild>
            <w:div w:id="1622496307">
              <w:marLeft w:val="0"/>
              <w:marRight w:val="0"/>
              <w:marTop w:val="0"/>
              <w:marBottom w:val="0"/>
              <w:divBdr>
                <w:top w:val="none" w:sz="0" w:space="0" w:color="auto"/>
                <w:left w:val="none" w:sz="0" w:space="0" w:color="auto"/>
                <w:bottom w:val="none" w:sz="0" w:space="0" w:color="auto"/>
                <w:right w:val="none" w:sz="0" w:space="0" w:color="auto"/>
              </w:divBdr>
              <w:divsChild>
                <w:div w:id="39755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3890">
      <w:bodyDiv w:val="1"/>
      <w:marLeft w:val="0"/>
      <w:marRight w:val="0"/>
      <w:marTop w:val="0"/>
      <w:marBottom w:val="0"/>
      <w:divBdr>
        <w:top w:val="none" w:sz="0" w:space="0" w:color="auto"/>
        <w:left w:val="none" w:sz="0" w:space="0" w:color="auto"/>
        <w:bottom w:val="none" w:sz="0" w:space="0" w:color="auto"/>
        <w:right w:val="none" w:sz="0" w:space="0" w:color="auto"/>
      </w:divBdr>
      <w:divsChild>
        <w:div w:id="810638601">
          <w:marLeft w:val="0"/>
          <w:marRight w:val="0"/>
          <w:marTop w:val="0"/>
          <w:marBottom w:val="0"/>
          <w:divBdr>
            <w:top w:val="none" w:sz="0" w:space="0" w:color="auto"/>
            <w:left w:val="none" w:sz="0" w:space="0" w:color="auto"/>
            <w:bottom w:val="none" w:sz="0" w:space="0" w:color="auto"/>
            <w:right w:val="none" w:sz="0" w:space="0" w:color="auto"/>
          </w:divBdr>
          <w:divsChild>
            <w:div w:id="442573814">
              <w:marLeft w:val="0"/>
              <w:marRight w:val="0"/>
              <w:marTop w:val="0"/>
              <w:marBottom w:val="0"/>
              <w:divBdr>
                <w:top w:val="none" w:sz="0" w:space="0" w:color="auto"/>
                <w:left w:val="none" w:sz="0" w:space="0" w:color="auto"/>
                <w:bottom w:val="none" w:sz="0" w:space="0" w:color="auto"/>
                <w:right w:val="none" w:sz="0" w:space="0" w:color="auto"/>
              </w:divBdr>
              <w:divsChild>
                <w:div w:id="15660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73711">
      <w:bodyDiv w:val="1"/>
      <w:marLeft w:val="0"/>
      <w:marRight w:val="0"/>
      <w:marTop w:val="0"/>
      <w:marBottom w:val="0"/>
      <w:divBdr>
        <w:top w:val="none" w:sz="0" w:space="0" w:color="auto"/>
        <w:left w:val="none" w:sz="0" w:space="0" w:color="auto"/>
        <w:bottom w:val="none" w:sz="0" w:space="0" w:color="auto"/>
        <w:right w:val="none" w:sz="0" w:space="0" w:color="auto"/>
      </w:divBdr>
      <w:divsChild>
        <w:div w:id="177278665">
          <w:marLeft w:val="0"/>
          <w:marRight w:val="0"/>
          <w:marTop w:val="0"/>
          <w:marBottom w:val="0"/>
          <w:divBdr>
            <w:top w:val="none" w:sz="0" w:space="0" w:color="auto"/>
            <w:left w:val="none" w:sz="0" w:space="0" w:color="auto"/>
            <w:bottom w:val="none" w:sz="0" w:space="0" w:color="auto"/>
            <w:right w:val="none" w:sz="0" w:space="0" w:color="auto"/>
          </w:divBdr>
          <w:divsChild>
            <w:div w:id="575214924">
              <w:marLeft w:val="0"/>
              <w:marRight w:val="0"/>
              <w:marTop w:val="0"/>
              <w:marBottom w:val="0"/>
              <w:divBdr>
                <w:top w:val="none" w:sz="0" w:space="0" w:color="auto"/>
                <w:left w:val="none" w:sz="0" w:space="0" w:color="auto"/>
                <w:bottom w:val="none" w:sz="0" w:space="0" w:color="auto"/>
                <w:right w:val="none" w:sz="0" w:space="0" w:color="auto"/>
              </w:divBdr>
              <w:divsChild>
                <w:div w:id="16897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8605">
      <w:bodyDiv w:val="1"/>
      <w:marLeft w:val="0"/>
      <w:marRight w:val="0"/>
      <w:marTop w:val="0"/>
      <w:marBottom w:val="0"/>
      <w:divBdr>
        <w:top w:val="none" w:sz="0" w:space="0" w:color="auto"/>
        <w:left w:val="none" w:sz="0" w:space="0" w:color="auto"/>
        <w:bottom w:val="none" w:sz="0" w:space="0" w:color="auto"/>
        <w:right w:val="none" w:sz="0" w:space="0" w:color="auto"/>
      </w:divBdr>
      <w:divsChild>
        <w:div w:id="1993026678">
          <w:marLeft w:val="0"/>
          <w:marRight w:val="0"/>
          <w:marTop w:val="0"/>
          <w:marBottom w:val="0"/>
          <w:divBdr>
            <w:top w:val="none" w:sz="0" w:space="0" w:color="auto"/>
            <w:left w:val="none" w:sz="0" w:space="0" w:color="auto"/>
            <w:bottom w:val="none" w:sz="0" w:space="0" w:color="auto"/>
            <w:right w:val="none" w:sz="0" w:space="0" w:color="auto"/>
          </w:divBdr>
          <w:divsChild>
            <w:div w:id="536043720">
              <w:marLeft w:val="0"/>
              <w:marRight w:val="0"/>
              <w:marTop w:val="0"/>
              <w:marBottom w:val="0"/>
              <w:divBdr>
                <w:top w:val="none" w:sz="0" w:space="0" w:color="auto"/>
                <w:left w:val="none" w:sz="0" w:space="0" w:color="auto"/>
                <w:bottom w:val="none" w:sz="0" w:space="0" w:color="auto"/>
                <w:right w:val="none" w:sz="0" w:space="0" w:color="auto"/>
              </w:divBdr>
              <w:divsChild>
                <w:div w:id="16916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6248">
      <w:bodyDiv w:val="1"/>
      <w:marLeft w:val="0"/>
      <w:marRight w:val="0"/>
      <w:marTop w:val="0"/>
      <w:marBottom w:val="0"/>
      <w:divBdr>
        <w:top w:val="none" w:sz="0" w:space="0" w:color="auto"/>
        <w:left w:val="none" w:sz="0" w:space="0" w:color="auto"/>
        <w:bottom w:val="none" w:sz="0" w:space="0" w:color="auto"/>
        <w:right w:val="none" w:sz="0" w:space="0" w:color="auto"/>
      </w:divBdr>
      <w:divsChild>
        <w:div w:id="1400668027">
          <w:marLeft w:val="0"/>
          <w:marRight w:val="0"/>
          <w:marTop w:val="0"/>
          <w:marBottom w:val="0"/>
          <w:divBdr>
            <w:top w:val="none" w:sz="0" w:space="0" w:color="auto"/>
            <w:left w:val="none" w:sz="0" w:space="0" w:color="auto"/>
            <w:bottom w:val="none" w:sz="0" w:space="0" w:color="auto"/>
            <w:right w:val="none" w:sz="0" w:space="0" w:color="auto"/>
          </w:divBdr>
          <w:divsChild>
            <w:div w:id="2023822603">
              <w:marLeft w:val="0"/>
              <w:marRight w:val="0"/>
              <w:marTop w:val="0"/>
              <w:marBottom w:val="0"/>
              <w:divBdr>
                <w:top w:val="none" w:sz="0" w:space="0" w:color="auto"/>
                <w:left w:val="none" w:sz="0" w:space="0" w:color="auto"/>
                <w:bottom w:val="none" w:sz="0" w:space="0" w:color="auto"/>
                <w:right w:val="none" w:sz="0" w:space="0" w:color="auto"/>
              </w:divBdr>
              <w:divsChild>
                <w:div w:id="13312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86015">
      <w:bodyDiv w:val="1"/>
      <w:marLeft w:val="0"/>
      <w:marRight w:val="0"/>
      <w:marTop w:val="0"/>
      <w:marBottom w:val="0"/>
      <w:divBdr>
        <w:top w:val="none" w:sz="0" w:space="0" w:color="auto"/>
        <w:left w:val="none" w:sz="0" w:space="0" w:color="auto"/>
        <w:bottom w:val="none" w:sz="0" w:space="0" w:color="auto"/>
        <w:right w:val="none" w:sz="0" w:space="0" w:color="auto"/>
      </w:divBdr>
      <w:divsChild>
        <w:div w:id="1318727221">
          <w:marLeft w:val="0"/>
          <w:marRight w:val="0"/>
          <w:marTop w:val="0"/>
          <w:marBottom w:val="0"/>
          <w:divBdr>
            <w:top w:val="none" w:sz="0" w:space="0" w:color="auto"/>
            <w:left w:val="none" w:sz="0" w:space="0" w:color="auto"/>
            <w:bottom w:val="none" w:sz="0" w:space="0" w:color="auto"/>
            <w:right w:val="none" w:sz="0" w:space="0" w:color="auto"/>
          </w:divBdr>
          <w:divsChild>
            <w:div w:id="1377313246">
              <w:marLeft w:val="0"/>
              <w:marRight w:val="0"/>
              <w:marTop w:val="0"/>
              <w:marBottom w:val="0"/>
              <w:divBdr>
                <w:top w:val="none" w:sz="0" w:space="0" w:color="auto"/>
                <w:left w:val="none" w:sz="0" w:space="0" w:color="auto"/>
                <w:bottom w:val="none" w:sz="0" w:space="0" w:color="auto"/>
                <w:right w:val="none" w:sz="0" w:space="0" w:color="auto"/>
              </w:divBdr>
              <w:divsChild>
                <w:div w:id="12043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06656">
      <w:bodyDiv w:val="1"/>
      <w:marLeft w:val="0"/>
      <w:marRight w:val="0"/>
      <w:marTop w:val="0"/>
      <w:marBottom w:val="0"/>
      <w:divBdr>
        <w:top w:val="none" w:sz="0" w:space="0" w:color="auto"/>
        <w:left w:val="none" w:sz="0" w:space="0" w:color="auto"/>
        <w:bottom w:val="none" w:sz="0" w:space="0" w:color="auto"/>
        <w:right w:val="none" w:sz="0" w:space="0" w:color="auto"/>
      </w:divBdr>
      <w:divsChild>
        <w:div w:id="1651864753">
          <w:marLeft w:val="0"/>
          <w:marRight w:val="0"/>
          <w:marTop w:val="0"/>
          <w:marBottom w:val="0"/>
          <w:divBdr>
            <w:top w:val="none" w:sz="0" w:space="0" w:color="auto"/>
            <w:left w:val="none" w:sz="0" w:space="0" w:color="auto"/>
            <w:bottom w:val="none" w:sz="0" w:space="0" w:color="auto"/>
            <w:right w:val="none" w:sz="0" w:space="0" w:color="auto"/>
          </w:divBdr>
          <w:divsChild>
            <w:div w:id="1967465510">
              <w:marLeft w:val="0"/>
              <w:marRight w:val="0"/>
              <w:marTop w:val="0"/>
              <w:marBottom w:val="0"/>
              <w:divBdr>
                <w:top w:val="none" w:sz="0" w:space="0" w:color="auto"/>
                <w:left w:val="none" w:sz="0" w:space="0" w:color="auto"/>
                <w:bottom w:val="none" w:sz="0" w:space="0" w:color="auto"/>
                <w:right w:val="none" w:sz="0" w:space="0" w:color="auto"/>
              </w:divBdr>
              <w:divsChild>
                <w:div w:id="11596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13899">
      <w:bodyDiv w:val="1"/>
      <w:marLeft w:val="0"/>
      <w:marRight w:val="0"/>
      <w:marTop w:val="0"/>
      <w:marBottom w:val="0"/>
      <w:divBdr>
        <w:top w:val="none" w:sz="0" w:space="0" w:color="auto"/>
        <w:left w:val="none" w:sz="0" w:space="0" w:color="auto"/>
        <w:bottom w:val="none" w:sz="0" w:space="0" w:color="auto"/>
        <w:right w:val="none" w:sz="0" w:space="0" w:color="auto"/>
      </w:divBdr>
      <w:divsChild>
        <w:div w:id="1424495566">
          <w:marLeft w:val="0"/>
          <w:marRight w:val="0"/>
          <w:marTop w:val="0"/>
          <w:marBottom w:val="0"/>
          <w:divBdr>
            <w:top w:val="none" w:sz="0" w:space="0" w:color="auto"/>
            <w:left w:val="none" w:sz="0" w:space="0" w:color="auto"/>
            <w:bottom w:val="none" w:sz="0" w:space="0" w:color="auto"/>
            <w:right w:val="none" w:sz="0" w:space="0" w:color="auto"/>
          </w:divBdr>
          <w:divsChild>
            <w:div w:id="279993539">
              <w:marLeft w:val="0"/>
              <w:marRight w:val="0"/>
              <w:marTop w:val="0"/>
              <w:marBottom w:val="0"/>
              <w:divBdr>
                <w:top w:val="none" w:sz="0" w:space="0" w:color="auto"/>
                <w:left w:val="none" w:sz="0" w:space="0" w:color="auto"/>
                <w:bottom w:val="none" w:sz="0" w:space="0" w:color="auto"/>
                <w:right w:val="none" w:sz="0" w:space="0" w:color="auto"/>
              </w:divBdr>
              <w:divsChild>
                <w:div w:id="16709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47882">
      <w:bodyDiv w:val="1"/>
      <w:marLeft w:val="0"/>
      <w:marRight w:val="0"/>
      <w:marTop w:val="0"/>
      <w:marBottom w:val="0"/>
      <w:divBdr>
        <w:top w:val="none" w:sz="0" w:space="0" w:color="auto"/>
        <w:left w:val="none" w:sz="0" w:space="0" w:color="auto"/>
        <w:bottom w:val="none" w:sz="0" w:space="0" w:color="auto"/>
        <w:right w:val="none" w:sz="0" w:space="0" w:color="auto"/>
      </w:divBdr>
      <w:divsChild>
        <w:div w:id="93869448">
          <w:marLeft w:val="0"/>
          <w:marRight w:val="0"/>
          <w:marTop w:val="0"/>
          <w:marBottom w:val="0"/>
          <w:divBdr>
            <w:top w:val="none" w:sz="0" w:space="0" w:color="auto"/>
            <w:left w:val="none" w:sz="0" w:space="0" w:color="auto"/>
            <w:bottom w:val="none" w:sz="0" w:space="0" w:color="auto"/>
            <w:right w:val="none" w:sz="0" w:space="0" w:color="auto"/>
          </w:divBdr>
          <w:divsChild>
            <w:div w:id="1392920845">
              <w:marLeft w:val="0"/>
              <w:marRight w:val="0"/>
              <w:marTop w:val="0"/>
              <w:marBottom w:val="0"/>
              <w:divBdr>
                <w:top w:val="none" w:sz="0" w:space="0" w:color="auto"/>
                <w:left w:val="none" w:sz="0" w:space="0" w:color="auto"/>
                <w:bottom w:val="none" w:sz="0" w:space="0" w:color="auto"/>
                <w:right w:val="none" w:sz="0" w:space="0" w:color="auto"/>
              </w:divBdr>
              <w:divsChild>
                <w:div w:id="18815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112">
      <w:bodyDiv w:val="1"/>
      <w:marLeft w:val="0"/>
      <w:marRight w:val="0"/>
      <w:marTop w:val="0"/>
      <w:marBottom w:val="0"/>
      <w:divBdr>
        <w:top w:val="none" w:sz="0" w:space="0" w:color="auto"/>
        <w:left w:val="none" w:sz="0" w:space="0" w:color="auto"/>
        <w:bottom w:val="none" w:sz="0" w:space="0" w:color="auto"/>
        <w:right w:val="none" w:sz="0" w:space="0" w:color="auto"/>
      </w:divBdr>
      <w:divsChild>
        <w:div w:id="1836385022">
          <w:marLeft w:val="0"/>
          <w:marRight w:val="0"/>
          <w:marTop w:val="0"/>
          <w:marBottom w:val="0"/>
          <w:divBdr>
            <w:top w:val="none" w:sz="0" w:space="0" w:color="auto"/>
            <w:left w:val="none" w:sz="0" w:space="0" w:color="auto"/>
            <w:bottom w:val="none" w:sz="0" w:space="0" w:color="auto"/>
            <w:right w:val="none" w:sz="0" w:space="0" w:color="auto"/>
          </w:divBdr>
          <w:divsChild>
            <w:div w:id="368070955">
              <w:marLeft w:val="0"/>
              <w:marRight w:val="0"/>
              <w:marTop w:val="0"/>
              <w:marBottom w:val="0"/>
              <w:divBdr>
                <w:top w:val="none" w:sz="0" w:space="0" w:color="auto"/>
                <w:left w:val="none" w:sz="0" w:space="0" w:color="auto"/>
                <w:bottom w:val="none" w:sz="0" w:space="0" w:color="auto"/>
                <w:right w:val="none" w:sz="0" w:space="0" w:color="auto"/>
              </w:divBdr>
              <w:divsChild>
                <w:div w:id="1106803187">
                  <w:marLeft w:val="0"/>
                  <w:marRight w:val="0"/>
                  <w:marTop w:val="0"/>
                  <w:marBottom w:val="0"/>
                  <w:divBdr>
                    <w:top w:val="none" w:sz="0" w:space="0" w:color="auto"/>
                    <w:left w:val="none" w:sz="0" w:space="0" w:color="auto"/>
                    <w:bottom w:val="none" w:sz="0" w:space="0" w:color="auto"/>
                    <w:right w:val="none" w:sz="0" w:space="0" w:color="auto"/>
                  </w:divBdr>
                  <w:divsChild>
                    <w:div w:id="19812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011580">
      <w:bodyDiv w:val="1"/>
      <w:marLeft w:val="0"/>
      <w:marRight w:val="0"/>
      <w:marTop w:val="0"/>
      <w:marBottom w:val="0"/>
      <w:divBdr>
        <w:top w:val="none" w:sz="0" w:space="0" w:color="auto"/>
        <w:left w:val="none" w:sz="0" w:space="0" w:color="auto"/>
        <w:bottom w:val="none" w:sz="0" w:space="0" w:color="auto"/>
        <w:right w:val="none" w:sz="0" w:space="0" w:color="auto"/>
      </w:divBdr>
      <w:divsChild>
        <w:div w:id="1670134316">
          <w:marLeft w:val="0"/>
          <w:marRight w:val="0"/>
          <w:marTop w:val="0"/>
          <w:marBottom w:val="0"/>
          <w:divBdr>
            <w:top w:val="none" w:sz="0" w:space="0" w:color="auto"/>
            <w:left w:val="none" w:sz="0" w:space="0" w:color="auto"/>
            <w:bottom w:val="none" w:sz="0" w:space="0" w:color="auto"/>
            <w:right w:val="none" w:sz="0" w:space="0" w:color="auto"/>
          </w:divBdr>
          <w:divsChild>
            <w:div w:id="440495568">
              <w:marLeft w:val="0"/>
              <w:marRight w:val="0"/>
              <w:marTop w:val="0"/>
              <w:marBottom w:val="0"/>
              <w:divBdr>
                <w:top w:val="none" w:sz="0" w:space="0" w:color="auto"/>
                <w:left w:val="none" w:sz="0" w:space="0" w:color="auto"/>
                <w:bottom w:val="none" w:sz="0" w:space="0" w:color="auto"/>
                <w:right w:val="none" w:sz="0" w:space="0" w:color="auto"/>
              </w:divBdr>
              <w:divsChild>
                <w:div w:id="17778140">
                  <w:marLeft w:val="0"/>
                  <w:marRight w:val="0"/>
                  <w:marTop w:val="0"/>
                  <w:marBottom w:val="0"/>
                  <w:divBdr>
                    <w:top w:val="none" w:sz="0" w:space="0" w:color="auto"/>
                    <w:left w:val="none" w:sz="0" w:space="0" w:color="auto"/>
                    <w:bottom w:val="none" w:sz="0" w:space="0" w:color="auto"/>
                    <w:right w:val="none" w:sz="0" w:space="0" w:color="auto"/>
                  </w:divBdr>
                  <w:divsChild>
                    <w:div w:id="179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2459">
      <w:bodyDiv w:val="1"/>
      <w:marLeft w:val="0"/>
      <w:marRight w:val="0"/>
      <w:marTop w:val="0"/>
      <w:marBottom w:val="0"/>
      <w:divBdr>
        <w:top w:val="none" w:sz="0" w:space="0" w:color="auto"/>
        <w:left w:val="none" w:sz="0" w:space="0" w:color="auto"/>
        <w:bottom w:val="none" w:sz="0" w:space="0" w:color="auto"/>
        <w:right w:val="none" w:sz="0" w:space="0" w:color="auto"/>
      </w:divBdr>
      <w:divsChild>
        <w:div w:id="1078597956">
          <w:marLeft w:val="0"/>
          <w:marRight w:val="0"/>
          <w:marTop w:val="0"/>
          <w:marBottom w:val="0"/>
          <w:divBdr>
            <w:top w:val="none" w:sz="0" w:space="0" w:color="auto"/>
            <w:left w:val="none" w:sz="0" w:space="0" w:color="auto"/>
            <w:bottom w:val="none" w:sz="0" w:space="0" w:color="auto"/>
            <w:right w:val="none" w:sz="0" w:space="0" w:color="auto"/>
          </w:divBdr>
          <w:divsChild>
            <w:div w:id="1918829813">
              <w:marLeft w:val="0"/>
              <w:marRight w:val="0"/>
              <w:marTop w:val="0"/>
              <w:marBottom w:val="0"/>
              <w:divBdr>
                <w:top w:val="none" w:sz="0" w:space="0" w:color="auto"/>
                <w:left w:val="none" w:sz="0" w:space="0" w:color="auto"/>
                <w:bottom w:val="none" w:sz="0" w:space="0" w:color="auto"/>
                <w:right w:val="none" w:sz="0" w:space="0" w:color="auto"/>
              </w:divBdr>
              <w:divsChild>
                <w:div w:id="1472014268">
                  <w:marLeft w:val="0"/>
                  <w:marRight w:val="0"/>
                  <w:marTop w:val="0"/>
                  <w:marBottom w:val="0"/>
                  <w:divBdr>
                    <w:top w:val="none" w:sz="0" w:space="0" w:color="auto"/>
                    <w:left w:val="none" w:sz="0" w:space="0" w:color="auto"/>
                    <w:bottom w:val="none" w:sz="0" w:space="0" w:color="auto"/>
                    <w:right w:val="none" w:sz="0" w:space="0" w:color="auto"/>
                  </w:divBdr>
                  <w:divsChild>
                    <w:div w:id="9865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93883">
      <w:bodyDiv w:val="1"/>
      <w:marLeft w:val="0"/>
      <w:marRight w:val="0"/>
      <w:marTop w:val="0"/>
      <w:marBottom w:val="0"/>
      <w:divBdr>
        <w:top w:val="none" w:sz="0" w:space="0" w:color="auto"/>
        <w:left w:val="none" w:sz="0" w:space="0" w:color="auto"/>
        <w:bottom w:val="none" w:sz="0" w:space="0" w:color="auto"/>
        <w:right w:val="none" w:sz="0" w:space="0" w:color="auto"/>
      </w:divBdr>
      <w:divsChild>
        <w:div w:id="16081675">
          <w:marLeft w:val="0"/>
          <w:marRight w:val="0"/>
          <w:marTop w:val="0"/>
          <w:marBottom w:val="0"/>
          <w:divBdr>
            <w:top w:val="none" w:sz="0" w:space="0" w:color="auto"/>
            <w:left w:val="none" w:sz="0" w:space="0" w:color="auto"/>
            <w:bottom w:val="none" w:sz="0" w:space="0" w:color="auto"/>
            <w:right w:val="none" w:sz="0" w:space="0" w:color="auto"/>
          </w:divBdr>
          <w:divsChild>
            <w:div w:id="159542433">
              <w:marLeft w:val="0"/>
              <w:marRight w:val="0"/>
              <w:marTop w:val="0"/>
              <w:marBottom w:val="0"/>
              <w:divBdr>
                <w:top w:val="none" w:sz="0" w:space="0" w:color="auto"/>
                <w:left w:val="none" w:sz="0" w:space="0" w:color="auto"/>
                <w:bottom w:val="none" w:sz="0" w:space="0" w:color="auto"/>
                <w:right w:val="none" w:sz="0" w:space="0" w:color="auto"/>
              </w:divBdr>
              <w:divsChild>
                <w:div w:id="1828473778">
                  <w:marLeft w:val="0"/>
                  <w:marRight w:val="0"/>
                  <w:marTop w:val="0"/>
                  <w:marBottom w:val="0"/>
                  <w:divBdr>
                    <w:top w:val="none" w:sz="0" w:space="0" w:color="auto"/>
                    <w:left w:val="none" w:sz="0" w:space="0" w:color="auto"/>
                    <w:bottom w:val="none" w:sz="0" w:space="0" w:color="auto"/>
                    <w:right w:val="none" w:sz="0" w:space="0" w:color="auto"/>
                  </w:divBdr>
                  <w:divsChild>
                    <w:div w:id="3122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82626">
      <w:bodyDiv w:val="1"/>
      <w:marLeft w:val="0"/>
      <w:marRight w:val="0"/>
      <w:marTop w:val="0"/>
      <w:marBottom w:val="0"/>
      <w:divBdr>
        <w:top w:val="none" w:sz="0" w:space="0" w:color="auto"/>
        <w:left w:val="none" w:sz="0" w:space="0" w:color="auto"/>
        <w:bottom w:val="none" w:sz="0" w:space="0" w:color="auto"/>
        <w:right w:val="none" w:sz="0" w:space="0" w:color="auto"/>
      </w:divBdr>
      <w:divsChild>
        <w:div w:id="1020737502">
          <w:marLeft w:val="0"/>
          <w:marRight w:val="0"/>
          <w:marTop w:val="0"/>
          <w:marBottom w:val="0"/>
          <w:divBdr>
            <w:top w:val="none" w:sz="0" w:space="0" w:color="auto"/>
            <w:left w:val="none" w:sz="0" w:space="0" w:color="auto"/>
            <w:bottom w:val="none" w:sz="0" w:space="0" w:color="auto"/>
            <w:right w:val="none" w:sz="0" w:space="0" w:color="auto"/>
          </w:divBdr>
          <w:divsChild>
            <w:div w:id="929193105">
              <w:marLeft w:val="0"/>
              <w:marRight w:val="0"/>
              <w:marTop w:val="0"/>
              <w:marBottom w:val="0"/>
              <w:divBdr>
                <w:top w:val="none" w:sz="0" w:space="0" w:color="auto"/>
                <w:left w:val="none" w:sz="0" w:space="0" w:color="auto"/>
                <w:bottom w:val="none" w:sz="0" w:space="0" w:color="auto"/>
                <w:right w:val="none" w:sz="0" w:space="0" w:color="auto"/>
              </w:divBdr>
              <w:divsChild>
                <w:div w:id="20828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7855">
      <w:bodyDiv w:val="1"/>
      <w:marLeft w:val="0"/>
      <w:marRight w:val="0"/>
      <w:marTop w:val="0"/>
      <w:marBottom w:val="0"/>
      <w:divBdr>
        <w:top w:val="none" w:sz="0" w:space="0" w:color="auto"/>
        <w:left w:val="none" w:sz="0" w:space="0" w:color="auto"/>
        <w:bottom w:val="none" w:sz="0" w:space="0" w:color="auto"/>
        <w:right w:val="none" w:sz="0" w:space="0" w:color="auto"/>
      </w:divBdr>
      <w:divsChild>
        <w:div w:id="1210646900">
          <w:marLeft w:val="0"/>
          <w:marRight w:val="0"/>
          <w:marTop w:val="0"/>
          <w:marBottom w:val="0"/>
          <w:divBdr>
            <w:top w:val="none" w:sz="0" w:space="0" w:color="auto"/>
            <w:left w:val="none" w:sz="0" w:space="0" w:color="auto"/>
            <w:bottom w:val="none" w:sz="0" w:space="0" w:color="auto"/>
            <w:right w:val="none" w:sz="0" w:space="0" w:color="auto"/>
          </w:divBdr>
          <w:divsChild>
            <w:div w:id="640236393">
              <w:marLeft w:val="0"/>
              <w:marRight w:val="0"/>
              <w:marTop w:val="0"/>
              <w:marBottom w:val="0"/>
              <w:divBdr>
                <w:top w:val="none" w:sz="0" w:space="0" w:color="auto"/>
                <w:left w:val="none" w:sz="0" w:space="0" w:color="auto"/>
                <w:bottom w:val="none" w:sz="0" w:space="0" w:color="auto"/>
                <w:right w:val="none" w:sz="0" w:space="0" w:color="auto"/>
              </w:divBdr>
              <w:divsChild>
                <w:div w:id="14404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9261">
      <w:bodyDiv w:val="1"/>
      <w:marLeft w:val="0"/>
      <w:marRight w:val="0"/>
      <w:marTop w:val="0"/>
      <w:marBottom w:val="0"/>
      <w:divBdr>
        <w:top w:val="none" w:sz="0" w:space="0" w:color="auto"/>
        <w:left w:val="none" w:sz="0" w:space="0" w:color="auto"/>
        <w:bottom w:val="none" w:sz="0" w:space="0" w:color="auto"/>
        <w:right w:val="none" w:sz="0" w:space="0" w:color="auto"/>
      </w:divBdr>
      <w:divsChild>
        <w:div w:id="2009670657">
          <w:marLeft w:val="0"/>
          <w:marRight w:val="0"/>
          <w:marTop w:val="0"/>
          <w:marBottom w:val="0"/>
          <w:divBdr>
            <w:top w:val="none" w:sz="0" w:space="0" w:color="auto"/>
            <w:left w:val="none" w:sz="0" w:space="0" w:color="auto"/>
            <w:bottom w:val="none" w:sz="0" w:space="0" w:color="auto"/>
            <w:right w:val="none" w:sz="0" w:space="0" w:color="auto"/>
          </w:divBdr>
          <w:divsChild>
            <w:div w:id="1196231077">
              <w:marLeft w:val="0"/>
              <w:marRight w:val="0"/>
              <w:marTop w:val="0"/>
              <w:marBottom w:val="0"/>
              <w:divBdr>
                <w:top w:val="none" w:sz="0" w:space="0" w:color="auto"/>
                <w:left w:val="none" w:sz="0" w:space="0" w:color="auto"/>
                <w:bottom w:val="none" w:sz="0" w:space="0" w:color="auto"/>
                <w:right w:val="none" w:sz="0" w:space="0" w:color="auto"/>
              </w:divBdr>
              <w:divsChild>
                <w:div w:id="1771001694">
                  <w:marLeft w:val="0"/>
                  <w:marRight w:val="0"/>
                  <w:marTop w:val="0"/>
                  <w:marBottom w:val="0"/>
                  <w:divBdr>
                    <w:top w:val="none" w:sz="0" w:space="0" w:color="auto"/>
                    <w:left w:val="none" w:sz="0" w:space="0" w:color="auto"/>
                    <w:bottom w:val="none" w:sz="0" w:space="0" w:color="auto"/>
                    <w:right w:val="none" w:sz="0" w:space="0" w:color="auto"/>
                  </w:divBdr>
                  <w:divsChild>
                    <w:div w:id="3792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8814">
      <w:bodyDiv w:val="1"/>
      <w:marLeft w:val="0"/>
      <w:marRight w:val="0"/>
      <w:marTop w:val="0"/>
      <w:marBottom w:val="0"/>
      <w:divBdr>
        <w:top w:val="none" w:sz="0" w:space="0" w:color="auto"/>
        <w:left w:val="none" w:sz="0" w:space="0" w:color="auto"/>
        <w:bottom w:val="none" w:sz="0" w:space="0" w:color="auto"/>
        <w:right w:val="none" w:sz="0" w:space="0" w:color="auto"/>
      </w:divBdr>
      <w:divsChild>
        <w:div w:id="2074426798">
          <w:marLeft w:val="0"/>
          <w:marRight w:val="0"/>
          <w:marTop w:val="0"/>
          <w:marBottom w:val="0"/>
          <w:divBdr>
            <w:top w:val="none" w:sz="0" w:space="0" w:color="auto"/>
            <w:left w:val="none" w:sz="0" w:space="0" w:color="auto"/>
            <w:bottom w:val="none" w:sz="0" w:space="0" w:color="auto"/>
            <w:right w:val="none" w:sz="0" w:space="0" w:color="auto"/>
          </w:divBdr>
          <w:divsChild>
            <w:div w:id="645860880">
              <w:marLeft w:val="0"/>
              <w:marRight w:val="0"/>
              <w:marTop w:val="0"/>
              <w:marBottom w:val="0"/>
              <w:divBdr>
                <w:top w:val="none" w:sz="0" w:space="0" w:color="auto"/>
                <w:left w:val="none" w:sz="0" w:space="0" w:color="auto"/>
                <w:bottom w:val="none" w:sz="0" w:space="0" w:color="auto"/>
                <w:right w:val="none" w:sz="0" w:space="0" w:color="auto"/>
              </w:divBdr>
              <w:divsChild>
                <w:div w:id="171917915">
                  <w:marLeft w:val="0"/>
                  <w:marRight w:val="0"/>
                  <w:marTop w:val="0"/>
                  <w:marBottom w:val="0"/>
                  <w:divBdr>
                    <w:top w:val="none" w:sz="0" w:space="0" w:color="auto"/>
                    <w:left w:val="none" w:sz="0" w:space="0" w:color="auto"/>
                    <w:bottom w:val="none" w:sz="0" w:space="0" w:color="auto"/>
                    <w:right w:val="none" w:sz="0" w:space="0" w:color="auto"/>
                  </w:divBdr>
                </w:div>
              </w:divsChild>
            </w:div>
            <w:div w:id="1014840321">
              <w:marLeft w:val="0"/>
              <w:marRight w:val="0"/>
              <w:marTop w:val="0"/>
              <w:marBottom w:val="0"/>
              <w:divBdr>
                <w:top w:val="none" w:sz="0" w:space="0" w:color="auto"/>
                <w:left w:val="none" w:sz="0" w:space="0" w:color="auto"/>
                <w:bottom w:val="none" w:sz="0" w:space="0" w:color="auto"/>
                <w:right w:val="none" w:sz="0" w:space="0" w:color="auto"/>
              </w:divBdr>
              <w:divsChild>
                <w:div w:id="4328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538050">
      <w:bodyDiv w:val="1"/>
      <w:marLeft w:val="0"/>
      <w:marRight w:val="0"/>
      <w:marTop w:val="0"/>
      <w:marBottom w:val="0"/>
      <w:divBdr>
        <w:top w:val="none" w:sz="0" w:space="0" w:color="auto"/>
        <w:left w:val="none" w:sz="0" w:space="0" w:color="auto"/>
        <w:bottom w:val="none" w:sz="0" w:space="0" w:color="auto"/>
        <w:right w:val="none" w:sz="0" w:space="0" w:color="auto"/>
      </w:divBdr>
      <w:divsChild>
        <w:div w:id="491481888">
          <w:marLeft w:val="0"/>
          <w:marRight w:val="0"/>
          <w:marTop w:val="0"/>
          <w:marBottom w:val="0"/>
          <w:divBdr>
            <w:top w:val="none" w:sz="0" w:space="0" w:color="auto"/>
            <w:left w:val="none" w:sz="0" w:space="0" w:color="auto"/>
            <w:bottom w:val="none" w:sz="0" w:space="0" w:color="auto"/>
            <w:right w:val="none" w:sz="0" w:space="0" w:color="auto"/>
          </w:divBdr>
          <w:divsChild>
            <w:div w:id="359628096">
              <w:marLeft w:val="0"/>
              <w:marRight w:val="0"/>
              <w:marTop w:val="0"/>
              <w:marBottom w:val="0"/>
              <w:divBdr>
                <w:top w:val="none" w:sz="0" w:space="0" w:color="auto"/>
                <w:left w:val="none" w:sz="0" w:space="0" w:color="auto"/>
                <w:bottom w:val="none" w:sz="0" w:space="0" w:color="auto"/>
                <w:right w:val="none" w:sz="0" w:space="0" w:color="auto"/>
              </w:divBdr>
              <w:divsChild>
                <w:div w:id="12023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98553">
      <w:bodyDiv w:val="1"/>
      <w:marLeft w:val="0"/>
      <w:marRight w:val="0"/>
      <w:marTop w:val="0"/>
      <w:marBottom w:val="0"/>
      <w:divBdr>
        <w:top w:val="none" w:sz="0" w:space="0" w:color="auto"/>
        <w:left w:val="none" w:sz="0" w:space="0" w:color="auto"/>
        <w:bottom w:val="none" w:sz="0" w:space="0" w:color="auto"/>
        <w:right w:val="none" w:sz="0" w:space="0" w:color="auto"/>
      </w:divBdr>
      <w:divsChild>
        <w:div w:id="1428231021">
          <w:marLeft w:val="0"/>
          <w:marRight w:val="0"/>
          <w:marTop w:val="0"/>
          <w:marBottom w:val="0"/>
          <w:divBdr>
            <w:top w:val="none" w:sz="0" w:space="0" w:color="auto"/>
            <w:left w:val="none" w:sz="0" w:space="0" w:color="auto"/>
            <w:bottom w:val="none" w:sz="0" w:space="0" w:color="auto"/>
            <w:right w:val="none" w:sz="0" w:space="0" w:color="auto"/>
          </w:divBdr>
          <w:divsChild>
            <w:div w:id="2122256340">
              <w:marLeft w:val="0"/>
              <w:marRight w:val="0"/>
              <w:marTop w:val="0"/>
              <w:marBottom w:val="0"/>
              <w:divBdr>
                <w:top w:val="none" w:sz="0" w:space="0" w:color="auto"/>
                <w:left w:val="none" w:sz="0" w:space="0" w:color="auto"/>
                <w:bottom w:val="none" w:sz="0" w:space="0" w:color="auto"/>
                <w:right w:val="none" w:sz="0" w:space="0" w:color="auto"/>
              </w:divBdr>
              <w:divsChild>
                <w:div w:id="1738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61191">
      <w:bodyDiv w:val="1"/>
      <w:marLeft w:val="0"/>
      <w:marRight w:val="0"/>
      <w:marTop w:val="0"/>
      <w:marBottom w:val="0"/>
      <w:divBdr>
        <w:top w:val="none" w:sz="0" w:space="0" w:color="auto"/>
        <w:left w:val="none" w:sz="0" w:space="0" w:color="auto"/>
        <w:bottom w:val="none" w:sz="0" w:space="0" w:color="auto"/>
        <w:right w:val="none" w:sz="0" w:space="0" w:color="auto"/>
      </w:divBdr>
      <w:divsChild>
        <w:div w:id="404379506">
          <w:marLeft w:val="0"/>
          <w:marRight w:val="0"/>
          <w:marTop w:val="0"/>
          <w:marBottom w:val="0"/>
          <w:divBdr>
            <w:top w:val="none" w:sz="0" w:space="0" w:color="auto"/>
            <w:left w:val="none" w:sz="0" w:space="0" w:color="auto"/>
            <w:bottom w:val="none" w:sz="0" w:space="0" w:color="auto"/>
            <w:right w:val="none" w:sz="0" w:space="0" w:color="auto"/>
          </w:divBdr>
          <w:divsChild>
            <w:div w:id="1219124448">
              <w:marLeft w:val="0"/>
              <w:marRight w:val="0"/>
              <w:marTop w:val="0"/>
              <w:marBottom w:val="0"/>
              <w:divBdr>
                <w:top w:val="none" w:sz="0" w:space="0" w:color="auto"/>
                <w:left w:val="none" w:sz="0" w:space="0" w:color="auto"/>
                <w:bottom w:val="none" w:sz="0" w:space="0" w:color="auto"/>
                <w:right w:val="none" w:sz="0" w:space="0" w:color="auto"/>
              </w:divBdr>
              <w:divsChild>
                <w:div w:id="4877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3859">
      <w:bodyDiv w:val="1"/>
      <w:marLeft w:val="0"/>
      <w:marRight w:val="0"/>
      <w:marTop w:val="0"/>
      <w:marBottom w:val="0"/>
      <w:divBdr>
        <w:top w:val="none" w:sz="0" w:space="0" w:color="auto"/>
        <w:left w:val="none" w:sz="0" w:space="0" w:color="auto"/>
        <w:bottom w:val="none" w:sz="0" w:space="0" w:color="auto"/>
        <w:right w:val="none" w:sz="0" w:space="0" w:color="auto"/>
      </w:divBdr>
      <w:divsChild>
        <w:div w:id="1894536360">
          <w:marLeft w:val="0"/>
          <w:marRight w:val="0"/>
          <w:marTop w:val="0"/>
          <w:marBottom w:val="0"/>
          <w:divBdr>
            <w:top w:val="none" w:sz="0" w:space="0" w:color="auto"/>
            <w:left w:val="none" w:sz="0" w:space="0" w:color="auto"/>
            <w:bottom w:val="none" w:sz="0" w:space="0" w:color="auto"/>
            <w:right w:val="none" w:sz="0" w:space="0" w:color="auto"/>
          </w:divBdr>
          <w:divsChild>
            <w:div w:id="1717119429">
              <w:marLeft w:val="0"/>
              <w:marRight w:val="0"/>
              <w:marTop w:val="0"/>
              <w:marBottom w:val="0"/>
              <w:divBdr>
                <w:top w:val="none" w:sz="0" w:space="0" w:color="auto"/>
                <w:left w:val="none" w:sz="0" w:space="0" w:color="auto"/>
                <w:bottom w:val="none" w:sz="0" w:space="0" w:color="auto"/>
                <w:right w:val="none" w:sz="0" w:space="0" w:color="auto"/>
              </w:divBdr>
              <w:divsChild>
                <w:div w:id="13025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17020">
      <w:bodyDiv w:val="1"/>
      <w:marLeft w:val="0"/>
      <w:marRight w:val="0"/>
      <w:marTop w:val="0"/>
      <w:marBottom w:val="0"/>
      <w:divBdr>
        <w:top w:val="none" w:sz="0" w:space="0" w:color="auto"/>
        <w:left w:val="none" w:sz="0" w:space="0" w:color="auto"/>
        <w:bottom w:val="none" w:sz="0" w:space="0" w:color="auto"/>
        <w:right w:val="none" w:sz="0" w:space="0" w:color="auto"/>
      </w:divBdr>
      <w:divsChild>
        <w:div w:id="1090347184">
          <w:marLeft w:val="0"/>
          <w:marRight w:val="0"/>
          <w:marTop w:val="0"/>
          <w:marBottom w:val="0"/>
          <w:divBdr>
            <w:top w:val="none" w:sz="0" w:space="0" w:color="auto"/>
            <w:left w:val="none" w:sz="0" w:space="0" w:color="auto"/>
            <w:bottom w:val="none" w:sz="0" w:space="0" w:color="auto"/>
            <w:right w:val="none" w:sz="0" w:space="0" w:color="auto"/>
          </w:divBdr>
          <w:divsChild>
            <w:div w:id="5793938">
              <w:marLeft w:val="0"/>
              <w:marRight w:val="0"/>
              <w:marTop w:val="0"/>
              <w:marBottom w:val="0"/>
              <w:divBdr>
                <w:top w:val="none" w:sz="0" w:space="0" w:color="auto"/>
                <w:left w:val="none" w:sz="0" w:space="0" w:color="auto"/>
                <w:bottom w:val="none" w:sz="0" w:space="0" w:color="auto"/>
                <w:right w:val="none" w:sz="0" w:space="0" w:color="auto"/>
              </w:divBdr>
              <w:divsChild>
                <w:div w:id="7226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32332">
      <w:bodyDiv w:val="1"/>
      <w:marLeft w:val="0"/>
      <w:marRight w:val="0"/>
      <w:marTop w:val="0"/>
      <w:marBottom w:val="0"/>
      <w:divBdr>
        <w:top w:val="none" w:sz="0" w:space="0" w:color="auto"/>
        <w:left w:val="none" w:sz="0" w:space="0" w:color="auto"/>
        <w:bottom w:val="none" w:sz="0" w:space="0" w:color="auto"/>
        <w:right w:val="none" w:sz="0" w:space="0" w:color="auto"/>
      </w:divBdr>
      <w:divsChild>
        <w:div w:id="169149913">
          <w:marLeft w:val="0"/>
          <w:marRight w:val="0"/>
          <w:marTop w:val="0"/>
          <w:marBottom w:val="0"/>
          <w:divBdr>
            <w:top w:val="none" w:sz="0" w:space="0" w:color="auto"/>
            <w:left w:val="none" w:sz="0" w:space="0" w:color="auto"/>
            <w:bottom w:val="none" w:sz="0" w:space="0" w:color="auto"/>
            <w:right w:val="none" w:sz="0" w:space="0" w:color="auto"/>
          </w:divBdr>
          <w:divsChild>
            <w:div w:id="662271078">
              <w:marLeft w:val="0"/>
              <w:marRight w:val="0"/>
              <w:marTop w:val="0"/>
              <w:marBottom w:val="0"/>
              <w:divBdr>
                <w:top w:val="none" w:sz="0" w:space="0" w:color="auto"/>
                <w:left w:val="none" w:sz="0" w:space="0" w:color="auto"/>
                <w:bottom w:val="none" w:sz="0" w:space="0" w:color="auto"/>
                <w:right w:val="none" w:sz="0" w:space="0" w:color="auto"/>
              </w:divBdr>
              <w:divsChild>
                <w:div w:id="1617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46681">
      <w:bodyDiv w:val="1"/>
      <w:marLeft w:val="0"/>
      <w:marRight w:val="0"/>
      <w:marTop w:val="0"/>
      <w:marBottom w:val="0"/>
      <w:divBdr>
        <w:top w:val="none" w:sz="0" w:space="0" w:color="auto"/>
        <w:left w:val="none" w:sz="0" w:space="0" w:color="auto"/>
        <w:bottom w:val="none" w:sz="0" w:space="0" w:color="auto"/>
        <w:right w:val="none" w:sz="0" w:space="0" w:color="auto"/>
      </w:divBdr>
      <w:divsChild>
        <w:div w:id="1475373806">
          <w:marLeft w:val="0"/>
          <w:marRight w:val="0"/>
          <w:marTop w:val="0"/>
          <w:marBottom w:val="0"/>
          <w:divBdr>
            <w:top w:val="none" w:sz="0" w:space="0" w:color="auto"/>
            <w:left w:val="none" w:sz="0" w:space="0" w:color="auto"/>
            <w:bottom w:val="none" w:sz="0" w:space="0" w:color="auto"/>
            <w:right w:val="none" w:sz="0" w:space="0" w:color="auto"/>
          </w:divBdr>
          <w:divsChild>
            <w:div w:id="1132987241">
              <w:marLeft w:val="0"/>
              <w:marRight w:val="0"/>
              <w:marTop w:val="0"/>
              <w:marBottom w:val="0"/>
              <w:divBdr>
                <w:top w:val="none" w:sz="0" w:space="0" w:color="auto"/>
                <w:left w:val="none" w:sz="0" w:space="0" w:color="auto"/>
                <w:bottom w:val="none" w:sz="0" w:space="0" w:color="auto"/>
                <w:right w:val="none" w:sz="0" w:space="0" w:color="auto"/>
              </w:divBdr>
              <w:divsChild>
                <w:div w:id="10881750">
                  <w:marLeft w:val="0"/>
                  <w:marRight w:val="0"/>
                  <w:marTop w:val="0"/>
                  <w:marBottom w:val="0"/>
                  <w:divBdr>
                    <w:top w:val="none" w:sz="0" w:space="0" w:color="auto"/>
                    <w:left w:val="none" w:sz="0" w:space="0" w:color="auto"/>
                    <w:bottom w:val="none" w:sz="0" w:space="0" w:color="auto"/>
                    <w:right w:val="none" w:sz="0" w:space="0" w:color="auto"/>
                  </w:divBdr>
                  <w:divsChild>
                    <w:div w:id="17841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65129">
      <w:bodyDiv w:val="1"/>
      <w:marLeft w:val="0"/>
      <w:marRight w:val="0"/>
      <w:marTop w:val="0"/>
      <w:marBottom w:val="0"/>
      <w:divBdr>
        <w:top w:val="none" w:sz="0" w:space="0" w:color="auto"/>
        <w:left w:val="none" w:sz="0" w:space="0" w:color="auto"/>
        <w:bottom w:val="none" w:sz="0" w:space="0" w:color="auto"/>
        <w:right w:val="none" w:sz="0" w:space="0" w:color="auto"/>
      </w:divBdr>
      <w:divsChild>
        <w:div w:id="2062441634">
          <w:marLeft w:val="0"/>
          <w:marRight w:val="0"/>
          <w:marTop w:val="0"/>
          <w:marBottom w:val="0"/>
          <w:divBdr>
            <w:top w:val="none" w:sz="0" w:space="0" w:color="auto"/>
            <w:left w:val="none" w:sz="0" w:space="0" w:color="auto"/>
            <w:bottom w:val="none" w:sz="0" w:space="0" w:color="auto"/>
            <w:right w:val="none" w:sz="0" w:space="0" w:color="auto"/>
          </w:divBdr>
          <w:divsChild>
            <w:div w:id="2136363290">
              <w:marLeft w:val="0"/>
              <w:marRight w:val="0"/>
              <w:marTop w:val="0"/>
              <w:marBottom w:val="0"/>
              <w:divBdr>
                <w:top w:val="none" w:sz="0" w:space="0" w:color="auto"/>
                <w:left w:val="none" w:sz="0" w:space="0" w:color="auto"/>
                <w:bottom w:val="none" w:sz="0" w:space="0" w:color="auto"/>
                <w:right w:val="none" w:sz="0" w:space="0" w:color="auto"/>
              </w:divBdr>
              <w:divsChild>
                <w:div w:id="10930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50891">
      <w:bodyDiv w:val="1"/>
      <w:marLeft w:val="0"/>
      <w:marRight w:val="0"/>
      <w:marTop w:val="0"/>
      <w:marBottom w:val="0"/>
      <w:divBdr>
        <w:top w:val="none" w:sz="0" w:space="0" w:color="auto"/>
        <w:left w:val="none" w:sz="0" w:space="0" w:color="auto"/>
        <w:bottom w:val="none" w:sz="0" w:space="0" w:color="auto"/>
        <w:right w:val="none" w:sz="0" w:space="0" w:color="auto"/>
      </w:divBdr>
      <w:divsChild>
        <w:div w:id="952058740">
          <w:marLeft w:val="0"/>
          <w:marRight w:val="0"/>
          <w:marTop w:val="0"/>
          <w:marBottom w:val="0"/>
          <w:divBdr>
            <w:top w:val="none" w:sz="0" w:space="0" w:color="auto"/>
            <w:left w:val="none" w:sz="0" w:space="0" w:color="auto"/>
            <w:bottom w:val="none" w:sz="0" w:space="0" w:color="auto"/>
            <w:right w:val="none" w:sz="0" w:space="0" w:color="auto"/>
          </w:divBdr>
          <w:divsChild>
            <w:div w:id="1783725603">
              <w:marLeft w:val="0"/>
              <w:marRight w:val="0"/>
              <w:marTop w:val="0"/>
              <w:marBottom w:val="0"/>
              <w:divBdr>
                <w:top w:val="none" w:sz="0" w:space="0" w:color="auto"/>
                <w:left w:val="none" w:sz="0" w:space="0" w:color="auto"/>
                <w:bottom w:val="none" w:sz="0" w:space="0" w:color="auto"/>
                <w:right w:val="none" w:sz="0" w:space="0" w:color="auto"/>
              </w:divBdr>
              <w:divsChild>
                <w:div w:id="2030063150">
                  <w:marLeft w:val="0"/>
                  <w:marRight w:val="0"/>
                  <w:marTop w:val="0"/>
                  <w:marBottom w:val="0"/>
                  <w:divBdr>
                    <w:top w:val="none" w:sz="0" w:space="0" w:color="auto"/>
                    <w:left w:val="none" w:sz="0" w:space="0" w:color="auto"/>
                    <w:bottom w:val="none" w:sz="0" w:space="0" w:color="auto"/>
                    <w:right w:val="none" w:sz="0" w:space="0" w:color="auto"/>
                  </w:divBdr>
                  <w:divsChild>
                    <w:div w:id="19229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07503">
      <w:bodyDiv w:val="1"/>
      <w:marLeft w:val="0"/>
      <w:marRight w:val="0"/>
      <w:marTop w:val="0"/>
      <w:marBottom w:val="0"/>
      <w:divBdr>
        <w:top w:val="none" w:sz="0" w:space="0" w:color="auto"/>
        <w:left w:val="none" w:sz="0" w:space="0" w:color="auto"/>
        <w:bottom w:val="none" w:sz="0" w:space="0" w:color="auto"/>
        <w:right w:val="none" w:sz="0" w:space="0" w:color="auto"/>
      </w:divBdr>
      <w:divsChild>
        <w:div w:id="979384503">
          <w:marLeft w:val="0"/>
          <w:marRight w:val="0"/>
          <w:marTop w:val="0"/>
          <w:marBottom w:val="0"/>
          <w:divBdr>
            <w:top w:val="none" w:sz="0" w:space="0" w:color="auto"/>
            <w:left w:val="none" w:sz="0" w:space="0" w:color="auto"/>
            <w:bottom w:val="none" w:sz="0" w:space="0" w:color="auto"/>
            <w:right w:val="none" w:sz="0" w:space="0" w:color="auto"/>
          </w:divBdr>
          <w:divsChild>
            <w:div w:id="197084590">
              <w:marLeft w:val="0"/>
              <w:marRight w:val="0"/>
              <w:marTop w:val="0"/>
              <w:marBottom w:val="0"/>
              <w:divBdr>
                <w:top w:val="none" w:sz="0" w:space="0" w:color="auto"/>
                <w:left w:val="none" w:sz="0" w:space="0" w:color="auto"/>
                <w:bottom w:val="none" w:sz="0" w:space="0" w:color="auto"/>
                <w:right w:val="none" w:sz="0" w:space="0" w:color="auto"/>
              </w:divBdr>
              <w:divsChild>
                <w:div w:id="162387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5928">
      <w:bodyDiv w:val="1"/>
      <w:marLeft w:val="0"/>
      <w:marRight w:val="0"/>
      <w:marTop w:val="0"/>
      <w:marBottom w:val="0"/>
      <w:divBdr>
        <w:top w:val="none" w:sz="0" w:space="0" w:color="auto"/>
        <w:left w:val="none" w:sz="0" w:space="0" w:color="auto"/>
        <w:bottom w:val="none" w:sz="0" w:space="0" w:color="auto"/>
        <w:right w:val="none" w:sz="0" w:space="0" w:color="auto"/>
      </w:divBdr>
    </w:div>
    <w:div w:id="1728989411">
      <w:bodyDiv w:val="1"/>
      <w:marLeft w:val="0"/>
      <w:marRight w:val="0"/>
      <w:marTop w:val="0"/>
      <w:marBottom w:val="0"/>
      <w:divBdr>
        <w:top w:val="none" w:sz="0" w:space="0" w:color="auto"/>
        <w:left w:val="none" w:sz="0" w:space="0" w:color="auto"/>
        <w:bottom w:val="none" w:sz="0" w:space="0" w:color="auto"/>
        <w:right w:val="none" w:sz="0" w:space="0" w:color="auto"/>
      </w:divBdr>
      <w:divsChild>
        <w:div w:id="1454909045">
          <w:marLeft w:val="0"/>
          <w:marRight w:val="0"/>
          <w:marTop w:val="0"/>
          <w:marBottom w:val="0"/>
          <w:divBdr>
            <w:top w:val="none" w:sz="0" w:space="0" w:color="auto"/>
            <w:left w:val="none" w:sz="0" w:space="0" w:color="auto"/>
            <w:bottom w:val="none" w:sz="0" w:space="0" w:color="auto"/>
            <w:right w:val="none" w:sz="0" w:space="0" w:color="auto"/>
          </w:divBdr>
          <w:divsChild>
            <w:div w:id="1871455203">
              <w:marLeft w:val="0"/>
              <w:marRight w:val="0"/>
              <w:marTop w:val="0"/>
              <w:marBottom w:val="0"/>
              <w:divBdr>
                <w:top w:val="none" w:sz="0" w:space="0" w:color="auto"/>
                <w:left w:val="none" w:sz="0" w:space="0" w:color="auto"/>
                <w:bottom w:val="none" w:sz="0" w:space="0" w:color="auto"/>
                <w:right w:val="none" w:sz="0" w:space="0" w:color="auto"/>
              </w:divBdr>
              <w:divsChild>
                <w:div w:id="7602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26095">
      <w:bodyDiv w:val="1"/>
      <w:marLeft w:val="0"/>
      <w:marRight w:val="0"/>
      <w:marTop w:val="0"/>
      <w:marBottom w:val="0"/>
      <w:divBdr>
        <w:top w:val="none" w:sz="0" w:space="0" w:color="auto"/>
        <w:left w:val="none" w:sz="0" w:space="0" w:color="auto"/>
        <w:bottom w:val="none" w:sz="0" w:space="0" w:color="auto"/>
        <w:right w:val="none" w:sz="0" w:space="0" w:color="auto"/>
      </w:divBdr>
      <w:divsChild>
        <w:div w:id="1183520372">
          <w:marLeft w:val="0"/>
          <w:marRight w:val="0"/>
          <w:marTop w:val="0"/>
          <w:marBottom w:val="0"/>
          <w:divBdr>
            <w:top w:val="none" w:sz="0" w:space="0" w:color="auto"/>
            <w:left w:val="none" w:sz="0" w:space="0" w:color="auto"/>
            <w:bottom w:val="none" w:sz="0" w:space="0" w:color="auto"/>
            <w:right w:val="none" w:sz="0" w:space="0" w:color="auto"/>
          </w:divBdr>
          <w:divsChild>
            <w:div w:id="1130321668">
              <w:marLeft w:val="0"/>
              <w:marRight w:val="0"/>
              <w:marTop w:val="0"/>
              <w:marBottom w:val="0"/>
              <w:divBdr>
                <w:top w:val="none" w:sz="0" w:space="0" w:color="auto"/>
                <w:left w:val="none" w:sz="0" w:space="0" w:color="auto"/>
                <w:bottom w:val="none" w:sz="0" w:space="0" w:color="auto"/>
                <w:right w:val="none" w:sz="0" w:space="0" w:color="auto"/>
              </w:divBdr>
              <w:divsChild>
                <w:div w:id="9390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8346">
      <w:bodyDiv w:val="1"/>
      <w:marLeft w:val="0"/>
      <w:marRight w:val="0"/>
      <w:marTop w:val="0"/>
      <w:marBottom w:val="0"/>
      <w:divBdr>
        <w:top w:val="none" w:sz="0" w:space="0" w:color="auto"/>
        <w:left w:val="none" w:sz="0" w:space="0" w:color="auto"/>
        <w:bottom w:val="none" w:sz="0" w:space="0" w:color="auto"/>
        <w:right w:val="none" w:sz="0" w:space="0" w:color="auto"/>
      </w:divBdr>
      <w:divsChild>
        <w:div w:id="1005672634">
          <w:marLeft w:val="0"/>
          <w:marRight w:val="0"/>
          <w:marTop w:val="0"/>
          <w:marBottom w:val="0"/>
          <w:divBdr>
            <w:top w:val="none" w:sz="0" w:space="0" w:color="auto"/>
            <w:left w:val="none" w:sz="0" w:space="0" w:color="auto"/>
            <w:bottom w:val="none" w:sz="0" w:space="0" w:color="auto"/>
            <w:right w:val="none" w:sz="0" w:space="0" w:color="auto"/>
          </w:divBdr>
          <w:divsChild>
            <w:div w:id="246689904">
              <w:marLeft w:val="0"/>
              <w:marRight w:val="0"/>
              <w:marTop w:val="0"/>
              <w:marBottom w:val="0"/>
              <w:divBdr>
                <w:top w:val="none" w:sz="0" w:space="0" w:color="auto"/>
                <w:left w:val="none" w:sz="0" w:space="0" w:color="auto"/>
                <w:bottom w:val="none" w:sz="0" w:space="0" w:color="auto"/>
                <w:right w:val="none" w:sz="0" w:space="0" w:color="auto"/>
              </w:divBdr>
              <w:divsChild>
                <w:div w:id="656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2737">
      <w:bodyDiv w:val="1"/>
      <w:marLeft w:val="0"/>
      <w:marRight w:val="0"/>
      <w:marTop w:val="0"/>
      <w:marBottom w:val="0"/>
      <w:divBdr>
        <w:top w:val="none" w:sz="0" w:space="0" w:color="auto"/>
        <w:left w:val="none" w:sz="0" w:space="0" w:color="auto"/>
        <w:bottom w:val="none" w:sz="0" w:space="0" w:color="auto"/>
        <w:right w:val="none" w:sz="0" w:space="0" w:color="auto"/>
      </w:divBdr>
      <w:divsChild>
        <w:div w:id="1608274399">
          <w:marLeft w:val="0"/>
          <w:marRight w:val="0"/>
          <w:marTop w:val="0"/>
          <w:marBottom w:val="0"/>
          <w:divBdr>
            <w:top w:val="none" w:sz="0" w:space="0" w:color="auto"/>
            <w:left w:val="none" w:sz="0" w:space="0" w:color="auto"/>
            <w:bottom w:val="none" w:sz="0" w:space="0" w:color="auto"/>
            <w:right w:val="none" w:sz="0" w:space="0" w:color="auto"/>
          </w:divBdr>
          <w:divsChild>
            <w:div w:id="1629312762">
              <w:marLeft w:val="0"/>
              <w:marRight w:val="0"/>
              <w:marTop w:val="0"/>
              <w:marBottom w:val="0"/>
              <w:divBdr>
                <w:top w:val="none" w:sz="0" w:space="0" w:color="auto"/>
                <w:left w:val="none" w:sz="0" w:space="0" w:color="auto"/>
                <w:bottom w:val="none" w:sz="0" w:space="0" w:color="auto"/>
                <w:right w:val="none" w:sz="0" w:space="0" w:color="auto"/>
              </w:divBdr>
              <w:divsChild>
                <w:div w:id="36656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78187">
      <w:bodyDiv w:val="1"/>
      <w:marLeft w:val="0"/>
      <w:marRight w:val="0"/>
      <w:marTop w:val="0"/>
      <w:marBottom w:val="0"/>
      <w:divBdr>
        <w:top w:val="none" w:sz="0" w:space="0" w:color="auto"/>
        <w:left w:val="none" w:sz="0" w:space="0" w:color="auto"/>
        <w:bottom w:val="none" w:sz="0" w:space="0" w:color="auto"/>
        <w:right w:val="none" w:sz="0" w:space="0" w:color="auto"/>
      </w:divBdr>
      <w:divsChild>
        <w:div w:id="1752577047">
          <w:marLeft w:val="0"/>
          <w:marRight w:val="0"/>
          <w:marTop w:val="0"/>
          <w:marBottom w:val="0"/>
          <w:divBdr>
            <w:top w:val="none" w:sz="0" w:space="0" w:color="auto"/>
            <w:left w:val="none" w:sz="0" w:space="0" w:color="auto"/>
            <w:bottom w:val="none" w:sz="0" w:space="0" w:color="auto"/>
            <w:right w:val="none" w:sz="0" w:space="0" w:color="auto"/>
          </w:divBdr>
          <w:divsChild>
            <w:div w:id="2096701635">
              <w:marLeft w:val="0"/>
              <w:marRight w:val="0"/>
              <w:marTop w:val="0"/>
              <w:marBottom w:val="0"/>
              <w:divBdr>
                <w:top w:val="none" w:sz="0" w:space="0" w:color="auto"/>
                <w:left w:val="none" w:sz="0" w:space="0" w:color="auto"/>
                <w:bottom w:val="none" w:sz="0" w:space="0" w:color="auto"/>
                <w:right w:val="none" w:sz="0" w:space="0" w:color="auto"/>
              </w:divBdr>
              <w:divsChild>
                <w:div w:id="789009387">
                  <w:marLeft w:val="0"/>
                  <w:marRight w:val="0"/>
                  <w:marTop w:val="0"/>
                  <w:marBottom w:val="0"/>
                  <w:divBdr>
                    <w:top w:val="none" w:sz="0" w:space="0" w:color="auto"/>
                    <w:left w:val="none" w:sz="0" w:space="0" w:color="auto"/>
                    <w:bottom w:val="none" w:sz="0" w:space="0" w:color="auto"/>
                    <w:right w:val="none" w:sz="0" w:space="0" w:color="auto"/>
                  </w:divBdr>
                  <w:divsChild>
                    <w:div w:id="1948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543323">
      <w:bodyDiv w:val="1"/>
      <w:marLeft w:val="0"/>
      <w:marRight w:val="0"/>
      <w:marTop w:val="0"/>
      <w:marBottom w:val="0"/>
      <w:divBdr>
        <w:top w:val="none" w:sz="0" w:space="0" w:color="auto"/>
        <w:left w:val="none" w:sz="0" w:space="0" w:color="auto"/>
        <w:bottom w:val="none" w:sz="0" w:space="0" w:color="auto"/>
        <w:right w:val="none" w:sz="0" w:space="0" w:color="auto"/>
      </w:divBdr>
      <w:divsChild>
        <w:div w:id="1679699664">
          <w:marLeft w:val="0"/>
          <w:marRight w:val="0"/>
          <w:marTop w:val="0"/>
          <w:marBottom w:val="0"/>
          <w:divBdr>
            <w:top w:val="none" w:sz="0" w:space="0" w:color="auto"/>
            <w:left w:val="none" w:sz="0" w:space="0" w:color="auto"/>
            <w:bottom w:val="none" w:sz="0" w:space="0" w:color="auto"/>
            <w:right w:val="none" w:sz="0" w:space="0" w:color="auto"/>
          </w:divBdr>
          <w:divsChild>
            <w:div w:id="1421221836">
              <w:marLeft w:val="0"/>
              <w:marRight w:val="0"/>
              <w:marTop w:val="0"/>
              <w:marBottom w:val="0"/>
              <w:divBdr>
                <w:top w:val="none" w:sz="0" w:space="0" w:color="auto"/>
                <w:left w:val="none" w:sz="0" w:space="0" w:color="auto"/>
                <w:bottom w:val="none" w:sz="0" w:space="0" w:color="auto"/>
                <w:right w:val="none" w:sz="0" w:space="0" w:color="auto"/>
              </w:divBdr>
              <w:divsChild>
                <w:div w:id="6251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3532">
      <w:bodyDiv w:val="1"/>
      <w:marLeft w:val="0"/>
      <w:marRight w:val="0"/>
      <w:marTop w:val="0"/>
      <w:marBottom w:val="0"/>
      <w:divBdr>
        <w:top w:val="none" w:sz="0" w:space="0" w:color="auto"/>
        <w:left w:val="none" w:sz="0" w:space="0" w:color="auto"/>
        <w:bottom w:val="none" w:sz="0" w:space="0" w:color="auto"/>
        <w:right w:val="none" w:sz="0" w:space="0" w:color="auto"/>
      </w:divBdr>
      <w:divsChild>
        <w:div w:id="1281107500">
          <w:marLeft w:val="0"/>
          <w:marRight w:val="0"/>
          <w:marTop w:val="0"/>
          <w:marBottom w:val="0"/>
          <w:divBdr>
            <w:top w:val="none" w:sz="0" w:space="0" w:color="auto"/>
            <w:left w:val="none" w:sz="0" w:space="0" w:color="auto"/>
            <w:bottom w:val="none" w:sz="0" w:space="0" w:color="auto"/>
            <w:right w:val="none" w:sz="0" w:space="0" w:color="auto"/>
          </w:divBdr>
          <w:divsChild>
            <w:div w:id="1035539017">
              <w:marLeft w:val="0"/>
              <w:marRight w:val="0"/>
              <w:marTop w:val="0"/>
              <w:marBottom w:val="0"/>
              <w:divBdr>
                <w:top w:val="none" w:sz="0" w:space="0" w:color="auto"/>
                <w:left w:val="none" w:sz="0" w:space="0" w:color="auto"/>
                <w:bottom w:val="none" w:sz="0" w:space="0" w:color="auto"/>
                <w:right w:val="none" w:sz="0" w:space="0" w:color="auto"/>
              </w:divBdr>
              <w:divsChild>
                <w:div w:id="927731905">
                  <w:marLeft w:val="0"/>
                  <w:marRight w:val="0"/>
                  <w:marTop w:val="0"/>
                  <w:marBottom w:val="0"/>
                  <w:divBdr>
                    <w:top w:val="none" w:sz="0" w:space="0" w:color="auto"/>
                    <w:left w:val="none" w:sz="0" w:space="0" w:color="auto"/>
                    <w:bottom w:val="none" w:sz="0" w:space="0" w:color="auto"/>
                    <w:right w:val="none" w:sz="0" w:space="0" w:color="auto"/>
                  </w:divBdr>
                </w:div>
              </w:divsChild>
            </w:div>
            <w:div w:id="1295482400">
              <w:marLeft w:val="0"/>
              <w:marRight w:val="0"/>
              <w:marTop w:val="0"/>
              <w:marBottom w:val="0"/>
              <w:divBdr>
                <w:top w:val="none" w:sz="0" w:space="0" w:color="auto"/>
                <w:left w:val="none" w:sz="0" w:space="0" w:color="auto"/>
                <w:bottom w:val="none" w:sz="0" w:space="0" w:color="auto"/>
                <w:right w:val="none" w:sz="0" w:space="0" w:color="auto"/>
              </w:divBdr>
              <w:divsChild>
                <w:div w:id="409666876">
                  <w:marLeft w:val="0"/>
                  <w:marRight w:val="0"/>
                  <w:marTop w:val="0"/>
                  <w:marBottom w:val="0"/>
                  <w:divBdr>
                    <w:top w:val="none" w:sz="0" w:space="0" w:color="auto"/>
                    <w:left w:val="none" w:sz="0" w:space="0" w:color="auto"/>
                    <w:bottom w:val="none" w:sz="0" w:space="0" w:color="auto"/>
                    <w:right w:val="none" w:sz="0" w:space="0" w:color="auto"/>
                  </w:divBdr>
                </w:div>
              </w:divsChild>
            </w:div>
            <w:div w:id="1798141919">
              <w:marLeft w:val="0"/>
              <w:marRight w:val="0"/>
              <w:marTop w:val="0"/>
              <w:marBottom w:val="0"/>
              <w:divBdr>
                <w:top w:val="none" w:sz="0" w:space="0" w:color="auto"/>
                <w:left w:val="none" w:sz="0" w:space="0" w:color="auto"/>
                <w:bottom w:val="none" w:sz="0" w:space="0" w:color="auto"/>
                <w:right w:val="none" w:sz="0" w:space="0" w:color="auto"/>
              </w:divBdr>
              <w:divsChild>
                <w:div w:id="1183671626">
                  <w:marLeft w:val="0"/>
                  <w:marRight w:val="0"/>
                  <w:marTop w:val="0"/>
                  <w:marBottom w:val="0"/>
                  <w:divBdr>
                    <w:top w:val="none" w:sz="0" w:space="0" w:color="auto"/>
                    <w:left w:val="none" w:sz="0" w:space="0" w:color="auto"/>
                    <w:bottom w:val="none" w:sz="0" w:space="0" w:color="auto"/>
                    <w:right w:val="none" w:sz="0" w:space="0" w:color="auto"/>
                  </w:divBdr>
                </w:div>
              </w:divsChild>
            </w:div>
            <w:div w:id="231888153">
              <w:marLeft w:val="0"/>
              <w:marRight w:val="0"/>
              <w:marTop w:val="0"/>
              <w:marBottom w:val="0"/>
              <w:divBdr>
                <w:top w:val="none" w:sz="0" w:space="0" w:color="auto"/>
                <w:left w:val="none" w:sz="0" w:space="0" w:color="auto"/>
                <w:bottom w:val="none" w:sz="0" w:space="0" w:color="auto"/>
                <w:right w:val="none" w:sz="0" w:space="0" w:color="auto"/>
              </w:divBdr>
              <w:divsChild>
                <w:div w:id="1273050473">
                  <w:marLeft w:val="0"/>
                  <w:marRight w:val="0"/>
                  <w:marTop w:val="0"/>
                  <w:marBottom w:val="0"/>
                  <w:divBdr>
                    <w:top w:val="none" w:sz="0" w:space="0" w:color="auto"/>
                    <w:left w:val="none" w:sz="0" w:space="0" w:color="auto"/>
                    <w:bottom w:val="none" w:sz="0" w:space="0" w:color="auto"/>
                    <w:right w:val="none" w:sz="0" w:space="0" w:color="auto"/>
                  </w:divBdr>
                </w:div>
              </w:divsChild>
            </w:div>
            <w:div w:id="1080954922">
              <w:marLeft w:val="0"/>
              <w:marRight w:val="0"/>
              <w:marTop w:val="0"/>
              <w:marBottom w:val="0"/>
              <w:divBdr>
                <w:top w:val="none" w:sz="0" w:space="0" w:color="auto"/>
                <w:left w:val="none" w:sz="0" w:space="0" w:color="auto"/>
                <w:bottom w:val="none" w:sz="0" w:space="0" w:color="auto"/>
                <w:right w:val="none" w:sz="0" w:space="0" w:color="auto"/>
              </w:divBdr>
              <w:divsChild>
                <w:div w:id="1370032190">
                  <w:marLeft w:val="0"/>
                  <w:marRight w:val="0"/>
                  <w:marTop w:val="0"/>
                  <w:marBottom w:val="0"/>
                  <w:divBdr>
                    <w:top w:val="none" w:sz="0" w:space="0" w:color="auto"/>
                    <w:left w:val="none" w:sz="0" w:space="0" w:color="auto"/>
                    <w:bottom w:val="none" w:sz="0" w:space="0" w:color="auto"/>
                    <w:right w:val="none" w:sz="0" w:space="0" w:color="auto"/>
                  </w:divBdr>
                </w:div>
              </w:divsChild>
            </w:div>
            <w:div w:id="297417871">
              <w:marLeft w:val="0"/>
              <w:marRight w:val="0"/>
              <w:marTop w:val="0"/>
              <w:marBottom w:val="0"/>
              <w:divBdr>
                <w:top w:val="none" w:sz="0" w:space="0" w:color="auto"/>
                <w:left w:val="none" w:sz="0" w:space="0" w:color="auto"/>
                <w:bottom w:val="none" w:sz="0" w:space="0" w:color="auto"/>
                <w:right w:val="none" w:sz="0" w:space="0" w:color="auto"/>
              </w:divBdr>
              <w:divsChild>
                <w:div w:id="679936604">
                  <w:marLeft w:val="0"/>
                  <w:marRight w:val="0"/>
                  <w:marTop w:val="0"/>
                  <w:marBottom w:val="0"/>
                  <w:divBdr>
                    <w:top w:val="none" w:sz="0" w:space="0" w:color="auto"/>
                    <w:left w:val="none" w:sz="0" w:space="0" w:color="auto"/>
                    <w:bottom w:val="none" w:sz="0" w:space="0" w:color="auto"/>
                    <w:right w:val="none" w:sz="0" w:space="0" w:color="auto"/>
                  </w:divBdr>
                </w:div>
              </w:divsChild>
            </w:div>
            <w:div w:id="2098552374">
              <w:marLeft w:val="0"/>
              <w:marRight w:val="0"/>
              <w:marTop w:val="0"/>
              <w:marBottom w:val="0"/>
              <w:divBdr>
                <w:top w:val="none" w:sz="0" w:space="0" w:color="auto"/>
                <w:left w:val="none" w:sz="0" w:space="0" w:color="auto"/>
                <w:bottom w:val="none" w:sz="0" w:space="0" w:color="auto"/>
                <w:right w:val="none" w:sz="0" w:space="0" w:color="auto"/>
              </w:divBdr>
              <w:divsChild>
                <w:div w:id="1244951109">
                  <w:marLeft w:val="0"/>
                  <w:marRight w:val="0"/>
                  <w:marTop w:val="0"/>
                  <w:marBottom w:val="0"/>
                  <w:divBdr>
                    <w:top w:val="none" w:sz="0" w:space="0" w:color="auto"/>
                    <w:left w:val="none" w:sz="0" w:space="0" w:color="auto"/>
                    <w:bottom w:val="none" w:sz="0" w:space="0" w:color="auto"/>
                    <w:right w:val="none" w:sz="0" w:space="0" w:color="auto"/>
                  </w:divBdr>
                </w:div>
              </w:divsChild>
            </w:div>
            <w:div w:id="102309622">
              <w:marLeft w:val="0"/>
              <w:marRight w:val="0"/>
              <w:marTop w:val="0"/>
              <w:marBottom w:val="0"/>
              <w:divBdr>
                <w:top w:val="none" w:sz="0" w:space="0" w:color="auto"/>
                <w:left w:val="none" w:sz="0" w:space="0" w:color="auto"/>
                <w:bottom w:val="none" w:sz="0" w:space="0" w:color="auto"/>
                <w:right w:val="none" w:sz="0" w:space="0" w:color="auto"/>
              </w:divBdr>
              <w:divsChild>
                <w:div w:id="1375084079">
                  <w:marLeft w:val="0"/>
                  <w:marRight w:val="0"/>
                  <w:marTop w:val="0"/>
                  <w:marBottom w:val="0"/>
                  <w:divBdr>
                    <w:top w:val="none" w:sz="0" w:space="0" w:color="auto"/>
                    <w:left w:val="none" w:sz="0" w:space="0" w:color="auto"/>
                    <w:bottom w:val="none" w:sz="0" w:space="0" w:color="auto"/>
                    <w:right w:val="none" w:sz="0" w:space="0" w:color="auto"/>
                  </w:divBdr>
                </w:div>
              </w:divsChild>
            </w:div>
            <w:div w:id="35277551">
              <w:marLeft w:val="0"/>
              <w:marRight w:val="0"/>
              <w:marTop w:val="0"/>
              <w:marBottom w:val="0"/>
              <w:divBdr>
                <w:top w:val="none" w:sz="0" w:space="0" w:color="auto"/>
                <w:left w:val="none" w:sz="0" w:space="0" w:color="auto"/>
                <w:bottom w:val="none" w:sz="0" w:space="0" w:color="auto"/>
                <w:right w:val="none" w:sz="0" w:space="0" w:color="auto"/>
              </w:divBdr>
              <w:divsChild>
                <w:div w:id="1453130125">
                  <w:marLeft w:val="0"/>
                  <w:marRight w:val="0"/>
                  <w:marTop w:val="0"/>
                  <w:marBottom w:val="0"/>
                  <w:divBdr>
                    <w:top w:val="none" w:sz="0" w:space="0" w:color="auto"/>
                    <w:left w:val="none" w:sz="0" w:space="0" w:color="auto"/>
                    <w:bottom w:val="none" w:sz="0" w:space="0" w:color="auto"/>
                    <w:right w:val="none" w:sz="0" w:space="0" w:color="auto"/>
                  </w:divBdr>
                </w:div>
              </w:divsChild>
            </w:div>
            <w:div w:id="1432821900">
              <w:marLeft w:val="0"/>
              <w:marRight w:val="0"/>
              <w:marTop w:val="0"/>
              <w:marBottom w:val="0"/>
              <w:divBdr>
                <w:top w:val="none" w:sz="0" w:space="0" w:color="auto"/>
                <w:left w:val="none" w:sz="0" w:space="0" w:color="auto"/>
                <w:bottom w:val="none" w:sz="0" w:space="0" w:color="auto"/>
                <w:right w:val="none" w:sz="0" w:space="0" w:color="auto"/>
              </w:divBdr>
              <w:divsChild>
                <w:div w:id="1292052251">
                  <w:marLeft w:val="0"/>
                  <w:marRight w:val="0"/>
                  <w:marTop w:val="0"/>
                  <w:marBottom w:val="0"/>
                  <w:divBdr>
                    <w:top w:val="none" w:sz="0" w:space="0" w:color="auto"/>
                    <w:left w:val="none" w:sz="0" w:space="0" w:color="auto"/>
                    <w:bottom w:val="none" w:sz="0" w:space="0" w:color="auto"/>
                    <w:right w:val="none" w:sz="0" w:space="0" w:color="auto"/>
                  </w:divBdr>
                </w:div>
              </w:divsChild>
            </w:div>
            <w:div w:id="416906511">
              <w:marLeft w:val="0"/>
              <w:marRight w:val="0"/>
              <w:marTop w:val="0"/>
              <w:marBottom w:val="0"/>
              <w:divBdr>
                <w:top w:val="none" w:sz="0" w:space="0" w:color="auto"/>
                <w:left w:val="none" w:sz="0" w:space="0" w:color="auto"/>
                <w:bottom w:val="none" w:sz="0" w:space="0" w:color="auto"/>
                <w:right w:val="none" w:sz="0" w:space="0" w:color="auto"/>
              </w:divBdr>
              <w:divsChild>
                <w:div w:id="983004993">
                  <w:marLeft w:val="0"/>
                  <w:marRight w:val="0"/>
                  <w:marTop w:val="0"/>
                  <w:marBottom w:val="0"/>
                  <w:divBdr>
                    <w:top w:val="none" w:sz="0" w:space="0" w:color="auto"/>
                    <w:left w:val="none" w:sz="0" w:space="0" w:color="auto"/>
                    <w:bottom w:val="none" w:sz="0" w:space="0" w:color="auto"/>
                    <w:right w:val="none" w:sz="0" w:space="0" w:color="auto"/>
                  </w:divBdr>
                </w:div>
              </w:divsChild>
            </w:div>
            <w:div w:id="2006586195">
              <w:marLeft w:val="0"/>
              <w:marRight w:val="0"/>
              <w:marTop w:val="0"/>
              <w:marBottom w:val="0"/>
              <w:divBdr>
                <w:top w:val="none" w:sz="0" w:space="0" w:color="auto"/>
                <w:left w:val="none" w:sz="0" w:space="0" w:color="auto"/>
                <w:bottom w:val="none" w:sz="0" w:space="0" w:color="auto"/>
                <w:right w:val="none" w:sz="0" w:space="0" w:color="auto"/>
              </w:divBdr>
              <w:divsChild>
                <w:div w:id="1402370456">
                  <w:marLeft w:val="0"/>
                  <w:marRight w:val="0"/>
                  <w:marTop w:val="0"/>
                  <w:marBottom w:val="0"/>
                  <w:divBdr>
                    <w:top w:val="none" w:sz="0" w:space="0" w:color="auto"/>
                    <w:left w:val="none" w:sz="0" w:space="0" w:color="auto"/>
                    <w:bottom w:val="none" w:sz="0" w:space="0" w:color="auto"/>
                    <w:right w:val="none" w:sz="0" w:space="0" w:color="auto"/>
                  </w:divBdr>
                </w:div>
              </w:divsChild>
            </w:div>
            <w:div w:id="581574201">
              <w:marLeft w:val="0"/>
              <w:marRight w:val="0"/>
              <w:marTop w:val="0"/>
              <w:marBottom w:val="0"/>
              <w:divBdr>
                <w:top w:val="none" w:sz="0" w:space="0" w:color="auto"/>
                <w:left w:val="none" w:sz="0" w:space="0" w:color="auto"/>
                <w:bottom w:val="none" w:sz="0" w:space="0" w:color="auto"/>
                <w:right w:val="none" w:sz="0" w:space="0" w:color="auto"/>
              </w:divBdr>
              <w:divsChild>
                <w:div w:id="1797479248">
                  <w:marLeft w:val="0"/>
                  <w:marRight w:val="0"/>
                  <w:marTop w:val="0"/>
                  <w:marBottom w:val="0"/>
                  <w:divBdr>
                    <w:top w:val="none" w:sz="0" w:space="0" w:color="auto"/>
                    <w:left w:val="none" w:sz="0" w:space="0" w:color="auto"/>
                    <w:bottom w:val="none" w:sz="0" w:space="0" w:color="auto"/>
                    <w:right w:val="none" w:sz="0" w:space="0" w:color="auto"/>
                  </w:divBdr>
                </w:div>
              </w:divsChild>
            </w:div>
            <w:div w:id="283659472">
              <w:marLeft w:val="0"/>
              <w:marRight w:val="0"/>
              <w:marTop w:val="0"/>
              <w:marBottom w:val="0"/>
              <w:divBdr>
                <w:top w:val="none" w:sz="0" w:space="0" w:color="auto"/>
                <w:left w:val="none" w:sz="0" w:space="0" w:color="auto"/>
                <w:bottom w:val="none" w:sz="0" w:space="0" w:color="auto"/>
                <w:right w:val="none" w:sz="0" w:space="0" w:color="auto"/>
              </w:divBdr>
              <w:divsChild>
                <w:div w:id="1951082723">
                  <w:marLeft w:val="0"/>
                  <w:marRight w:val="0"/>
                  <w:marTop w:val="0"/>
                  <w:marBottom w:val="0"/>
                  <w:divBdr>
                    <w:top w:val="none" w:sz="0" w:space="0" w:color="auto"/>
                    <w:left w:val="none" w:sz="0" w:space="0" w:color="auto"/>
                    <w:bottom w:val="none" w:sz="0" w:space="0" w:color="auto"/>
                    <w:right w:val="none" w:sz="0" w:space="0" w:color="auto"/>
                  </w:divBdr>
                </w:div>
              </w:divsChild>
            </w:div>
            <w:div w:id="1558128309">
              <w:marLeft w:val="0"/>
              <w:marRight w:val="0"/>
              <w:marTop w:val="0"/>
              <w:marBottom w:val="0"/>
              <w:divBdr>
                <w:top w:val="none" w:sz="0" w:space="0" w:color="auto"/>
                <w:left w:val="none" w:sz="0" w:space="0" w:color="auto"/>
                <w:bottom w:val="none" w:sz="0" w:space="0" w:color="auto"/>
                <w:right w:val="none" w:sz="0" w:space="0" w:color="auto"/>
              </w:divBdr>
              <w:divsChild>
                <w:div w:id="1556233373">
                  <w:marLeft w:val="0"/>
                  <w:marRight w:val="0"/>
                  <w:marTop w:val="0"/>
                  <w:marBottom w:val="0"/>
                  <w:divBdr>
                    <w:top w:val="none" w:sz="0" w:space="0" w:color="auto"/>
                    <w:left w:val="none" w:sz="0" w:space="0" w:color="auto"/>
                    <w:bottom w:val="none" w:sz="0" w:space="0" w:color="auto"/>
                    <w:right w:val="none" w:sz="0" w:space="0" w:color="auto"/>
                  </w:divBdr>
                </w:div>
              </w:divsChild>
            </w:div>
            <w:div w:id="1258975887">
              <w:marLeft w:val="0"/>
              <w:marRight w:val="0"/>
              <w:marTop w:val="0"/>
              <w:marBottom w:val="0"/>
              <w:divBdr>
                <w:top w:val="none" w:sz="0" w:space="0" w:color="auto"/>
                <w:left w:val="none" w:sz="0" w:space="0" w:color="auto"/>
                <w:bottom w:val="none" w:sz="0" w:space="0" w:color="auto"/>
                <w:right w:val="none" w:sz="0" w:space="0" w:color="auto"/>
              </w:divBdr>
              <w:divsChild>
                <w:div w:id="2105761650">
                  <w:marLeft w:val="0"/>
                  <w:marRight w:val="0"/>
                  <w:marTop w:val="0"/>
                  <w:marBottom w:val="0"/>
                  <w:divBdr>
                    <w:top w:val="none" w:sz="0" w:space="0" w:color="auto"/>
                    <w:left w:val="none" w:sz="0" w:space="0" w:color="auto"/>
                    <w:bottom w:val="none" w:sz="0" w:space="0" w:color="auto"/>
                    <w:right w:val="none" w:sz="0" w:space="0" w:color="auto"/>
                  </w:divBdr>
                </w:div>
              </w:divsChild>
            </w:div>
            <w:div w:id="1779178082">
              <w:marLeft w:val="0"/>
              <w:marRight w:val="0"/>
              <w:marTop w:val="0"/>
              <w:marBottom w:val="0"/>
              <w:divBdr>
                <w:top w:val="none" w:sz="0" w:space="0" w:color="auto"/>
                <w:left w:val="none" w:sz="0" w:space="0" w:color="auto"/>
                <w:bottom w:val="none" w:sz="0" w:space="0" w:color="auto"/>
                <w:right w:val="none" w:sz="0" w:space="0" w:color="auto"/>
              </w:divBdr>
              <w:divsChild>
                <w:div w:id="175731676">
                  <w:marLeft w:val="0"/>
                  <w:marRight w:val="0"/>
                  <w:marTop w:val="0"/>
                  <w:marBottom w:val="0"/>
                  <w:divBdr>
                    <w:top w:val="none" w:sz="0" w:space="0" w:color="auto"/>
                    <w:left w:val="none" w:sz="0" w:space="0" w:color="auto"/>
                    <w:bottom w:val="none" w:sz="0" w:space="0" w:color="auto"/>
                    <w:right w:val="none" w:sz="0" w:space="0" w:color="auto"/>
                  </w:divBdr>
                </w:div>
              </w:divsChild>
            </w:div>
            <w:div w:id="743800639">
              <w:marLeft w:val="0"/>
              <w:marRight w:val="0"/>
              <w:marTop w:val="0"/>
              <w:marBottom w:val="0"/>
              <w:divBdr>
                <w:top w:val="none" w:sz="0" w:space="0" w:color="auto"/>
                <w:left w:val="none" w:sz="0" w:space="0" w:color="auto"/>
                <w:bottom w:val="none" w:sz="0" w:space="0" w:color="auto"/>
                <w:right w:val="none" w:sz="0" w:space="0" w:color="auto"/>
              </w:divBdr>
              <w:divsChild>
                <w:div w:id="576013535">
                  <w:marLeft w:val="0"/>
                  <w:marRight w:val="0"/>
                  <w:marTop w:val="0"/>
                  <w:marBottom w:val="0"/>
                  <w:divBdr>
                    <w:top w:val="none" w:sz="0" w:space="0" w:color="auto"/>
                    <w:left w:val="none" w:sz="0" w:space="0" w:color="auto"/>
                    <w:bottom w:val="none" w:sz="0" w:space="0" w:color="auto"/>
                    <w:right w:val="none" w:sz="0" w:space="0" w:color="auto"/>
                  </w:divBdr>
                </w:div>
              </w:divsChild>
            </w:div>
            <w:div w:id="1179806273">
              <w:marLeft w:val="0"/>
              <w:marRight w:val="0"/>
              <w:marTop w:val="0"/>
              <w:marBottom w:val="0"/>
              <w:divBdr>
                <w:top w:val="none" w:sz="0" w:space="0" w:color="auto"/>
                <w:left w:val="none" w:sz="0" w:space="0" w:color="auto"/>
                <w:bottom w:val="none" w:sz="0" w:space="0" w:color="auto"/>
                <w:right w:val="none" w:sz="0" w:space="0" w:color="auto"/>
              </w:divBdr>
              <w:divsChild>
                <w:div w:id="1052927715">
                  <w:marLeft w:val="0"/>
                  <w:marRight w:val="0"/>
                  <w:marTop w:val="0"/>
                  <w:marBottom w:val="0"/>
                  <w:divBdr>
                    <w:top w:val="none" w:sz="0" w:space="0" w:color="auto"/>
                    <w:left w:val="none" w:sz="0" w:space="0" w:color="auto"/>
                    <w:bottom w:val="none" w:sz="0" w:space="0" w:color="auto"/>
                    <w:right w:val="none" w:sz="0" w:space="0" w:color="auto"/>
                  </w:divBdr>
                </w:div>
              </w:divsChild>
            </w:div>
            <w:div w:id="1574973171">
              <w:marLeft w:val="0"/>
              <w:marRight w:val="0"/>
              <w:marTop w:val="0"/>
              <w:marBottom w:val="0"/>
              <w:divBdr>
                <w:top w:val="none" w:sz="0" w:space="0" w:color="auto"/>
                <w:left w:val="none" w:sz="0" w:space="0" w:color="auto"/>
                <w:bottom w:val="none" w:sz="0" w:space="0" w:color="auto"/>
                <w:right w:val="none" w:sz="0" w:space="0" w:color="auto"/>
              </w:divBdr>
              <w:divsChild>
                <w:div w:id="19162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1016">
      <w:bodyDiv w:val="1"/>
      <w:marLeft w:val="0"/>
      <w:marRight w:val="0"/>
      <w:marTop w:val="0"/>
      <w:marBottom w:val="0"/>
      <w:divBdr>
        <w:top w:val="none" w:sz="0" w:space="0" w:color="auto"/>
        <w:left w:val="none" w:sz="0" w:space="0" w:color="auto"/>
        <w:bottom w:val="none" w:sz="0" w:space="0" w:color="auto"/>
        <w:right w:val="none" w:sz="0" w:space="0" w:color="auto"/>
      </w:divBdr>
      <w:divsChild>
        <w:div w:id="19013504">
          <w:marLeft w:val="0"/>
          <w:marRight w:val="0"/>
          <w:marTop w:val="0"/>
          <w:marBottom w:val="0"/>
          <w:divBdr>
            <w:top w:val="none" w:sz="0" w:space="0" w:color="auto"/>
            <w:left w:val="none" w:sz="0" w:space="0" w:color="auto"/>
            <w:bottom w:val="none" w:sz="0" w:space="0" w:color="auto"/>
            <w:right w:val="none" w:sz="0" w:space="0" w:color="auto"/>
          </w:divBdr>
          <w:divsChild>
            <w:div w:id="506478513">
              <w:marLeft w:val="0"/>
              <w:marRight w:val="0"/>
              <w:marTop w:val="0"/>
              <w:marBottom w:val="0"/>
              <w:divBdr>
                <w:top w:val="none" w:sz="0" w:space="0" w:color="auto"/>
                <w:left w:val="none" w:sz="0" w:space="0" w:color="auto"/>
                <w:bottom w:val="none" w:sz="0" w:space="0" w:color="auto"/>
                <w:right w:val="none" w:sz="0" w:space="0" w:color="auto"/>
              </w:divBdr>
              <w:divsChild>
                <w:div w:id="124344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12916">
      <w:bodyDiv w:val="1"/>
      <w:marLeft w:val="0"/>
      <w:marRight w:val="0"/>
      <w:marTop w:val="0"/>
      <w:marBottom w:val="0"/>
      <w:divBdr>
        <w:top w:val="none" w:sz="0" w:space="0" w:color="auto"/>
        <w:left w:val="none" w:sz="0" w:space="0" w:color="auto"/>
        <w:bottom w:val="none" w:sz="0" w:space="0" w:color="auto"/>
        <w:right w:val="none" w:sz="0" w:space="0" w:color="auto"/>
      </w:divBdr>
      <w:divsChild>
        <w:div w:id="220293340">
          <w:marLeft w:val="0"/>
          <w:marRight w:val="0"/>
          <w:marTop w:val="0"/>
          <w:marBottom w:val="0"/>
          <w:divBdr>
            <w:top w:val="none" w:sz="0" w:space="0" w:color="auto"/>
            <w:left w:val="none" w:sz="0" w:space="0" w:color="auto"/>
            <w:bottom w:val="none" w:sz="0" w:space="0" w:color="auto"/>
            <w:right w:val="none" w:sz="0" w:space="0" w:color="auto"/>
          </w:divBdr>
          <w:divsChild>
            <w:div w:id="713315067">
              <w:marLeft w:val="0"/>
              <w:marRight w:val="0"/>
              <w:marTop w:val="0"/>
              <w:marBottom w:val="0"/>
              <w:divBdr>
                <w:top w:val="none" w:sz="0" w:space="0" w:color="auto"/>
                <w:left w:val="none" w:sz="0" w:space="0" w:color="auto"/>
                <w:bottom w:val="none" w:sz="0" w:space="0" w:color="auto"/>
                <w:right w:val="none" w:sz="0" w:space="0" w:color="auto"/>
              </w:divBdr>
              <w:divsChild>
                <w:div w:id="532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72529">
      <w:bodyDiv w:val="1"/>
      <w:marLeft w:val="0"/>
      <w:marRight w:val="0"/>
      <w:marTop w:val="0"/>
      <w:marBottom w:val="0"/>
      <w:divBdr>
        <w:top w:val="none" w:sz="0" w:space="0" w:color="auto"/>
        <w:left w:val="none" w:sz="0" w:space="0" w:color="auto"/>
        <w:bottom w:val="none" w:sz="0" w:space="0" w:color="auto"/>
        <w:right w:val="none" w:sz="0" w:space="0" w:color="auto"/>
      </w:divBdr>
      <w:divsChild>
        <w:div w:id="473909249">
          <w:marLeft w:val="0"/>
          <w:marRight w:val="0"/>
          <w:marTop w:val="0"/>
          <w:marBottom w:val="0"/>
          <w:divBdr>
            <w:top w:val="none" w:sz="0" w:space="0" w:color="auto"/>
            <w:left w:val="none" w:sz="0" w:space="0" w:color="auto"/>
            <w:bottom w:val="none" w:sz="0" w:space="0" w:color="auto"/>
            <w:right w:val="none" w:sz="0" w:space="0" w:color="auto"/>
          </w:divBdr>
          <w:divsChild>
            <w:div w:id="1227885366">
              <w:marLeft w:val="0"/>
              <w:marRight w:val="0"/>
              <w:marTop w:val="0"/>
              <w:marBottom w:val="0"/>
              <w:divBdr>
                <w:top w:val="none" w:sz="0" w:space="0" w:color="auto"/>
                <w:left w:val="none" w:sz="0" w:space="0" w:color="auto"/>
                <w:bottom w:val="none" w:sz="0" w:space="0" w:color="auto"/>
                <w:right w:val="none" w:sz="0" w:space="0" w:color="auto"/>
              </w:divBdr>
              <w:divsChild>
                <w:div w:id="17759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56047">
      <w:bodyDiv w:val="1"/>
      <w:marLeft w:val="0"/>
      <w:marRight w:val="0"/>
      <w:marTop w:val="0"/>
      <w:marBottom w:val="0"/>
      <w:divBdr>
        <w:top w:val="none" w:sz="0" w:space="0" w:color="auto"/>
        <w:left w:val="none" w:sz="0" w:space="0" w:color="auto"/>
        <w:bottom w:val="none" w:sz="0" w:space="0" w:color="auto"/>
        <w:right w:val="none" w:sz="0" w:space="0" w:color="auto"/>
      </w:divBdr>
      <w:divsChild>
        <w:div w:id="452476915">
          <w:marLeft w:val="0"/>
          <w:marRight w:val="0"/>
          <w:marTop w:val="0"/>
          <w:marBottom w:val="0"/>
          <w:divBdr>
            <w:top w:val="none" w:sz="0" w:space="0" w:color="auto"/>
            <w:left w:val="none" w:sz="0" w:space="0" w:color="auto"/>
            <w:bottom w:val="none" w:sz="0" w:space="0" w:color="auto"/>
            <w:right w:val="none" w:sz="0" w:space="0" w:color="auto"/>
          </w:divBdr>
          <w:divsChild>
            <w:div w:id="1301884211">
              <w:marLeft w:val="0"/>
              <w:marRight w:val="0"/>
              <w:marTop w:val="0"/>
              <w:marBottom w:val="0"/>
              <w:divBdr>
                <w:top w:val="none" w:sz="0" w:space="0" w:color="auto"/>
                <w:left w:val="none" w:sz="0" w:space="0" w:color="auto"/>
                <w:bottom w:val="none" w:sz="0" w:space="0" w:color="auto"/>
                <w:right w:val="none" w:sz="0" w:space="0" w:color="auto"/>
              </w:divBdr>
              <w:divsChild>
                <w:div w:id="1393502456">
                  <w:marLeft w:val="0"/>
                  <w:marRight w:val="0"/>
                  <w:marTop w:val="0"/>
                  <w:marBottom w:val="0"/>
                  <w:divBdr>
                    <w:top w:val="none" w:sz="0" w:space="0" w:color="auto"/>
                    <w:left w:val="none" w:sz="0" w:space="0" w:color="auto"/>
                    <w:bottom w:val="none" w:sz="0" w:space="0" w:color="auto"/>
                    <w:right w:val="none" w:sz="0" w:space="0" w:color="auto"/>
                  </w:divBdr>
                  <w:divsChild>
                    <w:div w:id="7936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86806">
      <w:bodyDiv w:val="1"/>
      <w:marLeft w:val="0"/>
      <w:marRight w:val="0"/>
      <w:marTop w:val="0"/>
      <w:marBottom w:val="0"/>
      <w:divBdr>
        <w:top w:val="none" w:sz="0" w:space="0" w:color="auto"/>
        <w:left w:val="none" w:sz="0" w:space="0" w:color="auto"/>
        <w:bottom w:val="none" w:sz="0" w:space="0" w:color="auto"/>
        <w:right w:val="none" w:sz="0" w:space="0" w:color="auto"/>
      </w:divBdr>
      <w:divsChild>
        <w:div w:id="734547579">
          <w:marLeft w:val="0"/>
          <w:marRight w:val="0"/>
          <w:marTop w:val="0"/>
          <w:marBottom w:val="0"/>
          <w:divBdr>
            <w:top w:val="none" w:sz="0" w:space="0" w:color="auto"/>
            <w:left w:val="none" w:sz="0" w:space="0" w:color="auto"/>
            <w:bottom w:val="none" w:sz="0" w:space="0" w:color="auto"/>
            <w:right w:val="none" w:sz="0" w:space="0" w:color="auto"/>
          </w:divBdr>
          <w:divsChild>
            <w:div w:id="755326136">
              <w:marLeft w:val="0"/>
              <w:marRight w:val="0"/>
              <w:marTop w:val="0"/>
              <w:marBottom w:val="0"/>
              <w:divBdr>
                <w:top w:val="none" w:sz="0" w:space="0" w:color="auto"/>
                <w:left w:val="none" w:sz="0" w:space="0" w:color="auto"/>
                <w:bottom w:val="none" w:sz="0" w:space="0" w:color="auto"/>
                <w:right w:val="none" w:sz="0" w:space="0" w:color="auto"/>
              </w:divBdr>
              <w:divsChild>
                <w:div w:id="30621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6124">
      <w:bodyDiv w:val="1"/>
      <w:marLeft w:val="0"/>
      <w:marRight w:val="0"/>
      <w:marTop w:val="0"/>
      <w:marBottom w:val="0"/>
      <w:divBdr>
        <w:top w:val="none" w:sz="0" w:space="0" w:color="auto"/>
        <w:left w:val="none" w:sz="0" w:space="0" w:color="auto"/>
        <w:bottom w:val="none" w:sz="0" w:space="0" w:color="auto"/>
        <w:right w:val="none" w:sz="0" w:space="0" w:color="auto"/>
      </w:divBdr>
      <w:divsChild>
        <w:div w:id="739135617">
          <w:marLeft w:val="0"/>
          <w:marRight w:val="0"/>
          <w:marTop w:val="0"/>
          <w:marBottom w:val="0"/>
          <w:divBdr>
            <w:top w:val="none" w:sz="0" w:space="0" w:color="auto"/>
            <w:left w:val="none" w:sz="0" w:space="0" w:color="auto"/>
            <w:bottom w:val="none" w:sz="0" w:space="0" w:color="auto"/>
            <w:right w:val="none" w:sz="0" w:space="0" w:color="auto"/>
          </w:divBdr>
          <w:divsChild>
            <w:div w:id="381563849">
              <w:marLeft w:val="0"/>
              <w:marRight w:val="0"/>
              <w:marTop w:val="0"/>
              <w:marBottom w:val="0"/>
              <w:divBdr>
                <w:top w:val="none" w:sz="0" w:space="0" w:color="auto"/>
                <w:left w:val="none" w:sz="0" w:space="0" w:color="auto"/>
                <w:bottom w:val="none" w:sz="0" w:space="0" w:color="auto"/>
                <w:right w:val="none" w:sz="0" w:space="0" w:color="auto"/>
              </w:divBdr>
              <w:divsChild>
                <w:div w:id="1652711610">
                  <w:marLeft w:val="0"/>
                  <w:marRight w:val="0"/>
                  <w:marTop w:val="0"/>
                  <w:marBottom w:val="0"/>
                  <w:divBdr>
                    <w:top w:val="none" w:sz="0" w:space="0" w:color="auto"/>
                    <w:left w:val="none" w:sz="0" w:space="0" w:color="auto"/>
                    <w:bottom w:val="none" w:sz="0" w:space="0" w:color="auto"/>
                    <w:right w:val="none" w:sz="0" w:space="0" w:color="auto"/>
                  </w:divBdr>
                </w:div>
                <w:div w:id="14199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1598">
      <w:bodyDiv w:val="1"/>
      <w:marLeft w:val="0"/>
      <w:marRight w:val="0"/>
      <w:marTop w:val="0"/>
      <w:marBottom w:val="0"/>
      <w:divBdr>
        <w:top w:val="none" w:sz="0" w:space="0" w:color="auto"/>
        <w:left w:val="none" w:sz="0" w:space="0" w:color="auto"/>
        <w:bottom w:val="none" w:sz="0" w:space="0" w:color="auto"/>
        <w:right w:val="none" w:sz="0" w:space="0" w:color="auto"/>
      </w:divBdr>
      <w:divsChild>
        <w:div w:id="601572697">
          <w:marLeft w:val="0"/>
          <w:marRight w:val="0"/>
          <w:marTop w:val="0"/>
          <w:marBottom w:val="0"/>
          <w:divBdr>
            <w:top w:val="none" w:sz="0" w:space="0" w:color="auto"/>
            <w:left w:val="none" w:sz="0" w:space="0" w:color="auto"/>
            <w:bottom w:val="none" w:sz="0" w:space="0" w:color="auto"/>
            <w:right w:val="none" w:sz="0" w:space="0" w:color="auto"/>
          </w:divBdr>
          <w:divsChild>
            <w:div w:id="717314656">
              <w:marLeft w:val="0"/>
              <w:marRight w:val="0"/>
              <w:marTop w:val="0"/>
              <w:marBottom w:val="0"/>
              <w:divBdr>
                <w:top w:val="none" w:sz="0" w:space="0" w:color="auto"/>
                <w:left w:val="none" w:sz="0" w:space="0" w:color="auto"/>
                <w:bottom w:val="none" w:sz="0" w:space="0" w:color="auto"/>
                <w:right w:val="none" w:sz="0" w:space="0" w:color="auto"/>
              </w:divBdr>
              <w:divsChild>
                <w:div w:id="716973960">
                  <w:marLeft w:val="0"/>
                  <w:marRight w:val="0"/>
                  <w:marTop w:val="0"/>
                  <w:marBottom w:val="0"/>
                  <w:divBdr>
                    <w:top w:val="none" w:sz="0" w:space="0" w:color="auto"/>
                    <w:left w:val="none" w:sz="0" w:space="0" w:color="auto"/>
                    <w:bottom w:val="none" w:sz="0" w:space="0" w:color="auto"/>
                    <w:right w:val="none" w:sz="0" w:space="0" w:color="auto"/>
                  </w:divBdr>
                </w:div>
              </w:divsChild>
            </w:div>
            <w:div w:id="1055424002">
              <w:marLeft w:val="0"/>
              <w:marRight w:val="0"/>
              <w:marTop w:val="0"/>
              <w:marBottom w:val="0"/>
              <w:divBdr>
                <w:top w:val="none" w:sz="0" w:space="0" w:color="auto"/>
                <w:left w:val="none" w:sz="0" w:space="0" w:color="auto"/>
                <w:bottom w:val="none" w:sz="0" w:space="0" w:color="auto"/>
                <w:right w:val="none" w:sz="0" w:space="0" w:color="auto"/>
              </w:divBdr>
              <w:divsChild>
                <w:div w:id="1108768394">
                  <w:marLeft w:val="0"/>
                  <w:marRight w:val="0"/>
                  <w:marTop w:val="0"/>
                  <w:marBottom w:val="0"/>
                  <w:divBdr>
                    <w:top w:val="none" w:sz="0" w:space="0" w:color="auto"/>
                    <w:left w:val="none" w:sz="0" w:space="0" w:color="auto"/>
                    <w:bottom w:val="none" w:sz="0" w:space="0" w:color="auto"/>
                    <w:right w:val="none" w:sz="0" w:space="0" w:color="auto"/>
                  </w:divBdr>
                </w:div>
              </w:divsChild>
            </w:div>
            <w:div w:id="16859365">
              <w:marLeft w:val="0"/>
              <w:marRight w:val="0"/>
              <w:marTop w:val="0"/>
              <w:marBottom w:val="0"/>
              <w:divBdr>
                <w:top w:val="none" w:sz="0" w:space="0" w:color="auto"/>
                <w:left w:val="none" w:sz="0" w:space="0" w:color="auto"/>
                <w:bottom w:val="none" w:sz="0" w:space="0" w:color="auto"/>
                <w:right w:val="none" w:sz="0" w:space="0" w:color="auto"/>
              </w:divBdr>
              <w:divsChild>
                <w:div w:id="10306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18843">
      <w:bodyDiv w:val="1"/>
      <w:marLeft w:val="0"/>
      <w:marRight w:val="0"/>
      <w:marTop w:val="0"/>
      <w:marBottom w:val="0"/>
      <w:divBdr>
        <w:top w:val="none" w:sz="0" w:space="0" w:color="auto"/>
        <w:left w:val="none" w:sz="0" w:space="0" w:color="auto"/>
        <w:bottom w:val="none" w:sz="0" w:space="0" w:color="auto"/>
        <w:right w:val="none" w:sz="0" w:space="0" w:color="auto"/>
      </w:divBdr>
      <w:divsChild>
        <w:div w:id="614217802">
          <w:marLeft w:val="0"/>
          <w:marRight w:val="0"/>
          <w:marTop w:val="0"/>
          <w:marBottom w:val="0"/>
          <w:divBdr>
            <w:top w:val="none" w:sz="0" w:space="0" w:color="auto"/>
            <w:left w:val="none" w:sz="0" w:space="0" w:color="auto"/>
            <w:bottom w:val="none" w:sz="0" w:space="0" w:color="auto"/>
            <w:right w:val="none" w:sz="0" w:space="0" w:color="auto"/>
          </w:divBdr>
          <w:divsChild>
            <w:div w:id="1141732785">
              <w:marLeft w:val="0"/>
              <w:marRight w:val="0"/>
              <w:marTop w:val="0"/>
              <w:marBottom w:val="0"/>
              <w:divBdr>
                <w:top w:val="none" w:sz="0" w:space="0" w:color="auto"/>
                <w:left w:val="none" w:sz="0" w:space="0" w:color="auto"/>
                <w:bottom w:val="none" w:sz="0" w:space="0" w:color="auto"/>
                <w:right w:val="none" w:sz="0" w:space="0" w:color="auto"/>
              </w:divBdr>
              <w:divsChild>
                <w:div w:id="805776058">
                  <w:marLeft w:val="0"/>
                  <w:marRight w:val="0"/>
                  <w:marTop w:val="0"/>
                  <w:marBottom w:val="0"/>
                  <w:divBdr>
                    <w:top w:val="none" w:sz="0" w:space="0" w:color="auto"/>
                    <w:left w:val="none" w:sz="0" w:space="0" w:color="auto"/>
                    <w:bottom w:val="none" w:sz="0" w:space="0" w:color="auto"/>
                    <w:right w:val="none" w:sz="0" w:space="0" w:color="auto"/>
                  </w:divBdr>
                  <w:divsChild>
                    <w:div w:id="14651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965759">
      <w:bodyDiv w:val="1"/>
      <w:marLeft w:val="0"/>
      <w:marRight w:val="0"/>
      <w:marTop w:val="0"/>
      <w:marBottom w:val="0"/>
      <w:divBdr>
        <w:top w:val="none" w:sz="0" w:space="0" w:color="auto"/>
        <w:left w:val="none" w:sz="0" w:space="0" w:color="auto"/>
        <w:bottom w:val="none" w:sz="0" w:space="0" w:color="auto"/>
        <w:right w:val="none" w:sz="0" w:space="0" w:color="auto"/>
      </w:divBdr>
      <w:divsChild>
        <w:div w:id="1548567219">
          <w:marLeft w:val="0"/>
          <w:marRight w:val="0"/>
          <w:marTop w:val="0"/>
          <w:marBottom w:val="0"/>
          <w:divBdr>
            <w:top w:val="none" w:sz="0" w:space="0" w:color="auto"/>
            <w:left w:val="none" w:sz="0" w:space="0" w:color="auto"/>
            <w:bottom w:val="none" w:sz="0" w:space="0" w:color="auto"/>
            <w:right w:val="none" w:sz="0" w:space="0" w:color="auto"/>
          </w:divBdr>
          <w:divsChild>
            <w:div w:id="111242553">
              <w:marLeft w:val="0"/>
              <w:marRight w:val="0"/>
              <w:marTop w:val="0"/>
              <w:marBottom w:val="0"/>
              <w:divBdr>
                <w:top w:val="none" w:sz="0" w:space="0" w:color="auto"/>
                <w:left w:val="none" w:sz="0" w:space="0" w:color="auto"/>
                <w:bottom w:val="none" w:sz="0" w:space="0" w:color="auto"/>
                <w:right w:val="none" w:sz="0" w:space="0" w:color="auto"/>
              </w:divBdr>
              <w:divsChild>
                <w:div w:id="3958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69370">
      <w:bodyDiv w:val="1"/>
      <w:marLeft w:val="0"/>
      <w:marRight w:val="0"/>
      <w:marTop w:val="0"/>
      <w:marBottom w:val="0"/>
      <w:divBdr>
        <w:top w:val="none" w:sz="0" w:space="0" w:color="auto"/>
        <w:left w:val="none" w:sz="0" w:space="0" w:color="auto"/>
        <w:bottom w:val="none" w:sz="0" w:space="0" w:color="auto"/>
        <w:right w:val="none" w:sz="0" w:space="0" w:color="auto"/>
      </w:divBdr>
      <w:divsChild>
        <w:div w:id="967010441">
          <w:marLeft w:val="0"/>
          <w:marRight w:val="0"/>
          <w:marTop w:val="0"/>
          <w:marBottom w:val="0"/>
          <w:divBdr>
            <w:top w:val="none" w:sz="0" w:space="0" w:color="auto"/>
            <w:left w:val="none" w:sz="0" w:space="0" w:color="auto"/>
            <w:bottom w:val="none" w:sz="0" w:space="0" w:color="auto"/>
            <w:right w:val="none" w:sz="0" w:space="0" w:color="auto"/>
          </w:divBdr>
          <w:divsChild>
            <w:div w:id="960185507">
              <w:marLeft w:val="0"/>
              <w:marRight w:val="0"/>
              <w:marTop w:val="0"/>
              <w:marBottom w:val="0"/>
              <w:divBdr>
                <w:top w:val="none" w:sz="0" w:space="0" w:color="auto"/>
                <w:left w:val="none" w:sz="0" w:space="0" w:color="auto"/>
                <w:bottom w:val="none" w:sz="0" w:space="0" w:color="auto"/>
                <w:right w:val="none" w:sz="0" w:space="0" w:color="auto"/>
              </w:divBdr>
              <w:divsChild>
                <w:div w:id="96778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5119">
      <w:bodyDiv w:val="1"/>
      <w:marLeft w:val="0"/>
      <w:marRight w:val="0"/>
      <w:marTop w:val="0"/>
      <w:marBottom w:val="0"/>
      <w:divBdr>
        <w:top w:val="none" w:sz="0" w:space="0" w:color="auto"/>
        <w:left w:val="none" w:sz="0" w:space="0" w:color="auto"/>
        <w:bottom w:val="none" w:sz="0" w:space="0" w:color="auto"/>
        <w:right w:val="none" w:sz="0" w:space="0" w:color="auto"/>
      </w:divBdr>
      <w:divsChild>
        <w:div w:id="484011486">
          <w:marLeft w:val="0"/>
          <w:marRight w:val="0"/>
          <w:marTop w:val="0"/>
          <w:marBottom w:val="0"/>
          <w:divBdr>
            <w:top w:val="none" w:sz="0" w:space="0" w:color="auto"/>
            <w:left w:val="none" w:sz="0" w:space="0" w:color="auto"/>
            <w:bottom w:val="none" w:sz="0" w:space="0" w:color="auto"/>
            <w:right w:val="none" w:sz="0" w:space="0" w:color="auto"/>
          </w:divBdr>
          <w:divsChild>
            <w:div w:id="2075539834">
              <w:marLeft w:val="0"/>
              <w:marRight w:val="0"/>
              <w:marTop w:val="0"/>
              <w:marBottom w:val="0"/>
              <w:divBdr>
                <w:top w:val="none" w:sz="0" w:space="0" w:color="auto"/>
                <w:left w:val="none" w:sz="0" w:space="0" w:color="auto"/>
                <w:bottom w:val="none" w:sz="0" w:space="0" w:color="auto"/>
                <w:right w:val="none" w:sz="0" w:space="0" w:color="auto"/>
              </w:divBdr>
              <w:divsChild>
                <w:div w:id="9760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9309">
      <w:bodyDiv w:val="1"/>
      <w:marLeft w:val="0"/>
      <w:marRight w:val="0"/>
      <w:marTop w:val="0"/>
      <w:marBottom w:val="0"/>
      <w:divBdr>
        <w:top w:val="none" w:sz="0" w:space="0" w:color="auto"/>
        <w:left w:val="none" w:sz="0" w:space="0" w:color="auto"/>
        <w:bottom w:val="none" w:sz="0" w:space="0" w:color="auto"/>
        <w:right w:val="none" w:sz="0" w:space="0" w:color="auto"/>
      </w:divBdr>
      <w:divsChild>
        <w:div w:id="1782603576">
          <w:marLeft w:val="0"/>
          <w:marRight w:val="0"/>
          <w:marTop w:val="0"/>
          <w:marBottom w:val="0"/>
          <w:divBdr>
            <w:top w:val="none" w:sz="0" w:space="0" w:color="auto"/>
            <w:left w:val="none" w:sz="0" w:space="0" w:color="auto"/>
            <w:bottom w:val="none" w:sz="0" w:space="0" w:color="auto"/>
            <w:right w:val="none" w:sz="0" w:space="0" w:color="auto"/>
          </w:divBdr>
          <w:divsChild>
            <w:div w:id="1752698060">
              <w:marLeft w:val="0"/>
              <w:marRight w:val="0"/>
              <w:marTop w:val="0"/>
              <w:marBottom w:val="0"/>
              <w:divBdr>
                <w:top w:val="none" w:sz="0" w:space="0" w:color="auto"/>
                <w:left w:val="none" w:sz="0" w:space="0" w:color="auto"/>
                <w:bottom w:val="none" w:sz="0" w:space="0" w:color="auto"/>
                <w:right w:val="none" w:sz="0" w:space="0" w:color="auto"/>
              </w:divBdr>
              <w:divsChild>
                <w:div w:id="5336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ballotpedia.org/Arizona_Marijuana_Legalization,_Proposition_205_(2016)" TargetMode="External"/><Relationship Id="rId13" Type="http://schemas.openxmlformats.org/officeDocument/2006/relationships/hyperlink" Target="https://ballotpedia.org/Maine_Marijuana_Legalization,_Question_1_(2016)" TargetMode="External"/><Relationship Id="rId14" Type="http://schemas.openxmlformats.org/officeDocument/2006/relationships/hyperlink" Target="https://ballotpedia.org/Massachusetts_Marijuana_Legalization,_Question_4_(2016)" TargetMode="External"/><Relationship Id="rId15" Type="http://schemas.openxmlformats.org/officeDocument/2006/relationships/hyperlink" Target="https://ballotpedia.org/Nevada_Marijuana_Legalization,_Question_2_(2016)" TargetMode="External"/><Relationship Id="rId16" Type="http://schemas.openxmlformats.org/officeDocument/2006/relationships/hyperlink" Target="https://de.wikipedia.org/wiki/Vereinigte_Staaten" TargetMode="External"/><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image" Target="media/image1.png"/><Relationship Id="rId60" Type="http://schemas.openxmlformats.org/officeDocument/2006/relationships/image" Target="media/image11.png"/><Relationship Id="rId61" Type="http://schemas.openxmlformats.org/officeDocument/2006/relationships/chart" Target="charts/chart7.xml"/><Relationship Id="rId62" Type="http://schemas.openxmlformats.org/officeDocument/2006/relationships/image" Target="media/image12.png"/><Relationship Id="rId63" Type="http://schemas.openxmlformats.org/officeDocument/2006/relationships/chart" Target="charts/chart8.xml"/><Relationship Id="rId64" Type="http://schemas.openxmlformats.org/officeDocument/2006/relationships/image" Target="media/image13.png"/><Relationship Id="rId65" Type="http://schemas.openxmlformats.org/officeDocument/2006/relationships/chart" Target="charts/chart9.xml"/><Relationship Id="rId66" Type="http://schemas.openxmlformats.org/officeDocument/2006/relationships/chart" Target="charts/chart10.xml"/><Relationship Id="rId67" Type="http://schemas.openxmlformats.org/officeDocument/2006/relationships/chart" Target="charts/chart11.xml"/><Relationship Id="rId68" Type="http://schemas.openxmlformats.org/officeDocument/2006/relationships/hyperlink" Target="http://www.cdc.gov/healthyyouth/data/yrbs/pdf/2015/ss6506_updated.pdf" TargetMode="External"/><Relationship Id="rId69" Type="http://schemas.openxmlformats.org/officeDocument/2006/relationships/hyperlink" Target="http://r.search.yahoo.com/_ylt=A0SO80YCUCtYYg8AiB9XNyoA;_ylu=X3oDMTExa2MyY3N1BGNvbG8DZ3ExBHBvcwMxBHZ0aWQDVUlDMV8xBHNlYwNzcg--/RV=2/RE=1479262338/RO=10/RU=http%3a%2f%2fwww.cde.state.co.us%2fcdereval%2f2013-2014sditrenddata/RK=0/RS=qUyy9PJ61OHw3aCaudi.Z2b2hX0-" TargetMode="External"/><Relationship Id="rId120" Type="http://schemas.openxmlformats.org/officeDocument/2006/relationships/image" Target="media/image29.png"/><Relationship Id="rId121" Type="http://schemas.openxmlformats.org/officeDocument/2006/relationships/hyperlink" Target="http://www.samhsa.gov/data/sites/default/files/report_2404/ShortReport-2404.html" TargetMode="External"/><Relationship Id="rId122" Type="http://schemas.openxmlformats.org/officeDocument/2006/relationships/image" Target="media/image30.png"/><Relationship Id="rId123" Type="http://schemas.openxmlformats.org/officeDocument/2006/relationships/image" Target="media/image31.png"/><Relationship Id="rId124" Type="http://schemas.openxmlformats.org/officeDocument/2006/relationships/fontTable" Target="fontTable.xml"/><Relationship Id="rId125" Type="http://schemas.openxmlformats.org/officeDocument/2006/relationships/theme" Target="theme/theme1.xml"/><Relationship Id="rId40" Type="http://schemas.openxmlformats.org/officeDocument/2006/relationships/hyperlink" Target="http://en.wikipedia.org/wiki/Trinity_County,_California" TargetMode="External"/><Relationship Id="rId41" Type="http://schemas.openxmlformats.org/officeDocument/2006/relationships/chart" Target="charts/chart3.xml"/><Relationship Id="rId42" Type="http://schemas.openxmlformats.org/officeDocument/2006/relationships/chart" Target="charts/chart4.xml"/><Relationship Id="rId90" Type="http://schemas.openxmlformats.org/officeDocument/2006/relationships/image" Target="media/image16.png"/><Relationship Id="rId91" Type="http://schemas.openxmlformats.org/officeDocument/2006/relationships/image" Target="media/image17.png"/><Relationship Id="rId92" Type="http://schemas.openxmlformats.org/officeDocument/2006/relationships/image" Target="media/image18.png"/><Relationship Id="rId93" Type="http://schemas.openxmlformats.org/officeDocument/2006/relationships/chart" Target="charts/chart12.xml"/><Relationship Id="rId94" Type="http://schemas.openxmlformats.org/officeDocument/2006/relationships/image" Target="media/image19.png"/><Relationship Id="rId95" Type="http://schemas.openxmlformats.org/officeDocument/2006/relationships/image" Target="media/image20.png"/><Relationship Id="rId96" Type="http://schemas.openxmlformats.org/officeDocument/2006/relationships/chart" Target="charts/chart13.xml"/><Relationship Id="rId101" Type="http://schemas.openxmlformats.org/officeDocument/2006/relationships/hyperlink" Target="https://www.codot.gov/safety/alcohol-and-impaired-driving/druggeddriving/drugged-driver-statistics/view" TargetMode="External"/><Relationship Id="rId102" Type="http://schemas.openxmlformats.org/officeDocument/2006/relationships/hyperlink" Target="http://www.denverpost.com/2014/02/09/colorado-marijuana-legalizations-impact-on-stoned-driving-unknown/" TargetMode="External"/><Relationship Id="rId103" Type="http://schemas.openxmlformats.org/officeDocument/2006/relationships/hyperlink" Target="http://apps.leg.wa.gov/RCW/default.aspx?cite=46.61.502" TargetMode="External"/><Relationship Id="rId104" Type="http://schemas.openxmlformats.org/officeDocument/2006/relationships/hyperlink" Target="http://marijuanalegalization.about.com/od/Marijuana-Basics/fl/Is-Buzzed-Driving-Drunk-Driving.htm?utm_term=colorado%20dui%20laws%20marijuana&amp;utm_content=p1-main-1-title&amp;utm_medium=sem-sub&amp;utm_source=&amp;utm_campaign=adid-a05fca22-a78a-4254-be3e-d6f687167814-0-ab_msb_ocode-31648&amp;ad=semD&amp;an=&amp;am=&amp;q=colorado%20dui%20laws%20marijuana&amp;o=31648&amp;qsrc=&amp;l=&amp;askid=a05fca22-a78a-4254-be3e-d6f687167814-0-ab_msb" TargetMode="External"/><Relationship Id="rId105" Type="http://schemas.openxmlformats.org/officeDocument/2006/relationships/hyperlink" Target="https://drive.google.com/file/d/0Bxs3xMLjUamANHhRRkluWkRobXM/view" TargetMode="External"/><Relationship Id="rId106" Type="http://schemas.openxmlformats.org/officeDocument/2006/relationships/hyperlink" Target="http://cbaclelegalconnection.com/2013/05/hb-13-1325-establishing-thc-blood-levels-for-purposes-of-dui-law/" TargetMode="External"/><Relationship Id="rId107" Type="http://schemas.openxmlformats.org/officeDocument/2006/relationships/hyperlink" Target="http://www.cdacweb.com/Portals/0/TSRP/Prevention/2015%20trafffic%20safety%20facts.pdf" TargetMode="External"/><Relationship Id="rId108" Type="http://schemas.openxmlformats.org/officeDocument/2006/relationships/hyperlink" Target="https://www.transportation.gov/briefing-room/traffic-fatalities-sharply-2015" TargetMode="External"/><Relationship Id="rId109" Type="http://schemas.openxmlformats.org/officeDocument/2006/relationships/hyperlink" Target="https://www.adac.de/_mmm/pdf/28757_269092.pdf" TargetMode="External"/><Relationship Id="rId97" Type="http://schemas.openxmlformats.org/officeDocument/2006/relationships/image" Target="media/image21.png"/><Relationship Id="rId98" Type="http://schemas.openxmlformats.org/officeDocument/2006/relationships/hyperlink" Target="https://www.aaafoundation.org/sites/default/files/CannabisUseAmongDriversInWashingtonFS.pdf" TargetMode="External"/><Relationship Id="rId99" Type="http://schemas.openxmlformats.org/officeDocument/2006/relationships/hyperlink" Target="https://drive.google.com/file/d/0Bxs3xMLjUamANHhRRkluWkRobXM/view" TargetMode="External"/><Relationship Id="rId43" Type="http://schemas.openxmlformats.org/officeDocument/2006/relationships/chart" Target="charts/chart5.xml"/><Relationship Id="rId44" Type="http://schemas.openxmlformats.org/officeDocument/2006/relationships/hyperlink" Target="https://de.scribd.com/document/251755107/Colorado-Marijuana-Legalization-One-Year-Status-Report-pdf" TargetMode="External"/><Relationship Id="rId45" Type="http://schemas.openxmlformats.org/officeDocument/2006/relationships/hyperlink" Target="http://www.samhsa.gov/data/sites/default/files/report_2404/ShortReport-2404.html" TargetMode="External"/><Relationship Id="rId46" Type="http://schemas.openxmlformats.org/officeDocument/2006/relationships/hyperlink" Target="https://www.ncbi.nlm.nih.gov/pubmed/?term=Page%20JC%5BAuthor%5D&amp;cauthor=true&amp;cauthor_uid=16539222" TargetMode="External"/><Relationship Id="rId47" Type="http://schemas.openxmlformats.org/officeDocument/2006/relationships/hyperlink" Target="https://www.ncbi.nlm.nih.gov/pubmed/?term=Mowry%20ES%5BAuthor%5D&amp;cauthor=true&amp;cauthor_uid=16539222" TargetMode="External"/><Relationship Id="rId48" Type="http://schemas.openxmlformats.org/officeDocument/2006/relationships/hyperlink" Target="https://www.ncbi.nlm.nih.gov/pubmed/?term=Damann%20KM%5BAuthor%5D&amp;cauthor=true&amp;cauthor_uid=16539222" TargetMode="External"/><Relationship Id="rId49" Type="http://schemas.openxmlformats.org/officeDocument/2006/relationships/hyperlink" Target="https://www.ncbi.nlm.nih.gov/pubmed/?term=Taylor%20KK%5BAuthor%5D&amp;cauthor=true&amp;cauthor_uid=16539222" TargetMode="External"/><Relationship Id="rId100" Type="http://schemas.openxmlformats.org/officeDocument/2006/relationships/hyperlink" Target="http://gazette.com/colorado-state-patrol-legal-marijuana-brought-new-era-of-dui-arrests-in-2014/article/1545452" TargetMode="External"/><Relationship Id="rId20" Type="http://schemas.openxmlformats.org/officeDocument/2006/relationships/hyperlink" Target="http://www.cdc.gov/healthyyouth/data/yrbs/pdf/2015/ss6506_updated.pdf" TargetMode="External"/><Relationship Id="rId21" Type="http://schemas.openxmlformats.org/officeDocument/2006/relationships/hyperlink" Target="http://www.southerncaliforniadefenseblog.com/2010/05/californias_compassionate_use.html" TargetMode="External"/><Relationship Id="rId22" Type="http://schemas.openxmlformats.org/officeDocument/2006/relationships/hyperlink" Target="http://theweedbusiness.com/emerald-triangle-in-northern-california/" TargetMode="External"/><Relationship Id="rId70" Type="http://schemas.openxmlformats.org/officeDocument/2006/relationships/hyperlink" Target="https://www.cde.state.co.us/cdereval/suspend-expelcurrent" TargetMode="External"/><Relationship Id="rId71" Type="http://schemas.openxmlformats.org/officeDocument/2006/relationships/hyperlink" Target="http://cdpsdocs.state.co.us/safeschools/Legislation/CSSRC%20School%20Discipline%20At%20a%20Glance%20FINAL.pdf" TargetMode="External"/><Relationship Id="rId72" Type="http://schemas.openxmlformats.org/officeDocument/2006/relationships/hyperlink" Target="http://cdpsdocs.state.co.us/safeschools/Legislation/SB%2013-283%20Tobacco-Free-Schools-Marijuana.pdf" TargetMode="External"/><Relationship Id="rId73" Type="http://schemas.openxmlformats.org/officeDocument/2006/relationships/hyperlink" Target="https://nces.ed.gov/programs/digest/d10/tables/dt10_169.asp" TargetMode="External"/><Relationship Id="rId74" Type="http://schemas.openxmlformats.org/officeDocument/2006/relationships/hyperlink" Target="https://www.colorado.gov/pacific/sites/default/files/PF_Youth_HKCS-2015-Exec-Summary.pdf" TargetMode="External"/><Relationship Id="rId75" Type="http://schemas.openxmlformats.org/officeDocument/2006/relationships/hyperlink" Target="https://www.ncbi.nlm.nih.gov/books/NBK350767/" TargetMode="External"/><Relationship Id="rId76" Type="http://schemas.openxmlformats.org/officeDocument/2006/relationships/hyperlink" Target="http://www.samhsa.gov/data/sites/default/files/report_2121/ShortReport-2121.pdf" TargetMode="External"/><Relationship Id="rId77" Type="http://schemas.openxmlformats.org/officeDocument/2006/relationships/hyperlink" Target="http://www.pnas.org/content/110/11/E980.full.pdf" TargetMode="External"/><Relationship Id="rId78" Type="http://schemas.openxmlformats.org/officeDocument/2006/relationships/hyperlink" Target="http://nces.ed.gov/surveys/ssocs/tables/all_2008_tab_17.asp?referrer=css" TargetMode="External"/><Relationship Id="rId79" Type="http://schemas.openxmlformats.org/officeDocument/2006/relationships/hyperlink" Target="https://drive.google.com/file/d/0Bxs3xMLjUamANHhRRkluWkRobXM/view" TargetMode="External"/><Relationship Id="rId23" Type="http://schemas.openxmlformats.org/officeDocument/2006/relationships/hyperlink" Target="http://www.samhsa.gov/data/sites/default/files/report_2404/ShortReport-2404.html" TargetMode="External"/><Relationship Id="rId24" Type="http://schemas.openxmlformats.org/officeDocument/2006/relationships/hyperlink" Target="http://www.wklaw.com/" TargetMode="External"/><Relationship Id="rId25" Type="http://schemas.openxmlformats.org/officeDocument/2006/relationships/hyperlink" Target="http://www.safeaccessnow.net/pdf/humboldtguide03.pdf" TargetMode="External"/><Relationship Id="rId26" Type="http://schemas.openxmlformats.org/officeDocument/2006/relationships/hyperlink" Target="https://sites.google.com/a/humboldt.edu/humboldt-state-university-department-of-anthropology/" TargetMode="External"/><Relationship Id="rId27" Type="http://schemas.openxmlformats.org/officeDocument/2006/relationships/hyperlink" Target="http://www.cannalawblog.com/" TargetMode="External"/><Relationship Id="rId28" Type="http://schemas.openxmlformats.org/officeDocument/2006/relationships/hyperlink" Target="http://www.cannalawblog.com/author/alisonmalsbury/" TargetMode="External"/><Relationship Id="rId29" Type="http://schemas.openxmlformats.org/officeDocument/2006/relationships/hyperlink" Target="https://drive.google.com/file/d/0Bxs3xMLjUamANHhRRkluWkRobXM/vie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50" Type="http://schemas.openxmlformats.org/officeDocument/2006/relationships/hyperlink" Target="https://www.ncbi.nlm.nih.gov/pubmed/?term=Cimini%20MD%5BAuthor%5D&amp;cauthor=true&amp;cauthor_uid=16539222" TargetMode="External"/><Relationship Id="rId51" Type="http://schemas.openxmlformats.org/officeDocument/2006/relationships/hyperlink" Target="http://www.samhsa.gov/data/sites/default/files/NSDUHStateEst2010-2011_v2/279/TrendTabs/NSDUHsaeTrendTabs2011.pdf" TargetMode="External"/><Relationship Id="rId52" Type="http://schemas.openxmlformats.org/officeDocument/2006/relationships/image" Target="media/image5.png"/><Relationship Id="rId53" Type="http://schemas.openxmlformats.org/officeDocument/2006/relationships/chart" Target="charts/chart6.xml"/><Relationship Id="rId54" Type="http://schemas.openxmlformats.org/officeDocument/2006/relationships/image" Target="media/image6.png"/><Relationship Id="rId55" Type="http://schemas.openxmlformats.org/officeDocument/2006/relationships/image" Target="media/image7.png"/><Relationship Id="rId56" Type="http://schemas.openxmlformats.org/officeDocument/2006/relationships/image" Target="media/image8.png"/><Relationship Id="rId57" Type="http://schemas.openxmlformats.org/officeDocument/2006/relationships/image" Target="media/image9.png"/><Relationship Id="rId58" Type="http://schemas.openxmlformats.org/officeDocument/2006/relationships/image" Target="media/image10.png"/><Relationship Id="rId59" Type="http://schemas.openxmlformats.org/officeDocument/2006/relationships/hyperlink" Target="https://www.cde.state.co.us/cdereval/suspend-expelcurrent" TargetMode="External"/><Relationship Id="rId110" Type="http://schemas.openxmlformats.org/officeDocument/2006/relationships/hyperlink" Target="http://www.wsp.wa.gov/publications/reports/2014_annual_report.pdf" TargetMode="External"/><Relationship Id="rId111" Type="http://schemas.openxmlformats.org/officeDocument/2006/relationships/hyperlink" Target="http://wtsc.wa.gov/wp-content/uploads/dlm_uploads/2015/10/Driver-Toxicology-Testing-and-the-Involvement-of-Marijuana-in-Fatal-Crashes_REVFeb2016-1.pdf" TargetMode="External"/><Relationship Id="rId112" Type="http://schemas.openxmlformats.org/officeDocument/2006/relationships/hyperlink" Target="http://www.suchtschweiz.ch/fileadmin/user_upload/DocUpload/ZobelMarthaler_Bericht_Regulierung_Cannabismarkt_v3.pdf" TargetMode="External"/><Relationship Id="rId113" Type="http://schemas.openxmlformats.org/officeDocument/2006/relationships/image" Target="media/image22.png"/><Relationship Id="rId114" Type="http://schemas.openxmlformats.org/officeDocument/2006/relationships/image" Target="media/image23.png"/><Relationship Id="rId115" Type="http://schemas.openxmlformats.org/officeDocument/2006/relationships/image" Target="media/image24.png"/><Relationship Id="rId116" Type="http://schemas.openxmlformats.org/officeDocument/2006/relationships/image" Target="media/image25.png"/><Relationship Id="rId117" Type="http://schemas.openxmlformats.org/officeDocument/2006/relationships/image" Target="media/image26.png"/><Relationship Id="rId118" Type="http://schemas.openxmlformats.org/officeDocument/2006/relationships/image" Target="media/image27.png"/><Relationship Id="rId119" Type="http://schemas.openxmlformats.org/officeDocument/2006/relationships/image" Target="media/image28.png"/><Relationship Id="rId30" Type="http://schemas.openxmlformats.org/officeDocument/2006/relationships/hyperlink" Target="http://archive.samhsa.gov/data/NSDUH/2013SummNatFindDetTables/NationalFindings/NSDUHresults2013.pdf" TargetMode="External"/><Relationship Id="rId31" Type="http://schemas.openxmlformats.org/officeDocument/2006/relationships/hyperlink" Target="https://de.scribd.com/document/223170569/Cole-Memo" TargetMode="External"/><Relationship Id="rId32" Type="http://schemas.openxmlformats.org/officeDocument/2006/relationships/hyperlink" Target="https://www.theweedblog.com/marijuana-and-the-environment-regulation-and-responsibility-in-california/" TargetMode="External"/><Relationship Id="rId33" Type="http://schemas.openxmlformats.org/officeDocument/2006/relationships/hyperlink" Target="https://ballotpedia.org/Washington_Marijuana_Legalization_and_Regulation,_Initiative_502_(2012" TargetMode="External"/><Relationship Id="rId34" Type="http://schemas.openxmlformats.org/officeDocument/2006/relationships/hyperlink" Target="https://de.wikipedia.org/wiki/Kalifornien" TargetMode="External"/><Relationship Id="rId35" Type="http://schemas.openxmlformats.org/officeDocument/2006/relationships/image" Target="media/image2.png"/><Relationship Id="rId36" Type="http://schemas.openxmlformats.org/officeDocument/2006/relationships/image" Target="media/image3.png"/><Relationship Id="rId37" Type="http://schemas.openxmlformats.org/officeDocument/2006/relationships/image" Target="media/image4.png"/><Relationship Id="rId38" Type="http://schemas.openxmlformats.org/officeDocument/2006/relationships/hyperlink" Target="http://en.wikipedia.org/wiki/Mendocino_County" TargetMode="External"/><Relationship Id="rId39" Type="http://schemas.openxmlformats.org/officeDocument/2006/relationships/hyperlink" Target="http://en.wikipedia.org/wiki/Humboldt_County,_California" TargetMode="External"/><Relationship Id="rId80" Type="http://schemas.openxmlformats.org/officeDocument/2006/relationships/hyperlink" Target="https://www.colorado.gov/pacific/cdphe/retail-marijuana-public-health-advisory-committee" TargetMode="External"/><Relationship Id="rId81" Type="http://schemas.openxmlformats.org/officeDocument/2006/relationships/hyperlink" Target="http://www.indro-online.de/cannabisstellungnahme07.htm" TargetMode="External"/><Relationship Id="rId82" Type="http://schemas.openxmlformats.org/officeDocument/2006/relationships/hyperlink" Target="http://archive.samhsa.gov/data/NSDUH/2013SummNatFindDetTables/NationalFindings/NSDUHresults2013.pdf" TargetMode="External"/><Relationship Id="rId83" Type="http://schemas.openxmlformats.org/officeDocument/2006/relationships/hyperlink" Target="http://www.samhsa.gov/data/sites/default/files/NSDUHStateEst2010-2011_v2/279/TrendTabs/NSDUHsaeTrendTabs2011.pdf" TargetMode="External"/><Relationship Id="rId84" Type="http://schemas.openxmlformats.org/officeDocument/2006/relationships/hyperlink" Target="http://www2.ed.gov/policy/gen/guid/school-discipline/policy-statement-ece-expulsions-suspensions.pdf" TargetMode="External"/><Relationship Id="rId85" Type="http://schemas.openxmlformats.org/officeDocument/2006/relationships/hyperlink" Target="https://www.drugabuse.gov/about-nida/directors-page/messages-director/2012/09/marijuanas-lasting-effects-brain" TargetMode="External"/><Relationship Id="rId86" Type="http://schemas.openxmlformats.org/officeDocument/2006/relationships/hyperlink" Target="http://www.askhys.net/Docs/HYS%202014%20Facts%20Marijuana%20mp.pdf" TargetMode="External"/><Relationship Id="rId87" Type="http://schemas.openxmlformats.org/officeDocument/2006/relationships/hyperlink" Target="http://nces.ed.gov/pubs2016/2016079.pdf" TargetMode="External"/><Relationship Id="rId88" Type="http://schemas.openxmlformats.org/officeDocument/2006/relationships/image" Target="media/image14.png"/><Relationship Id="rId89" Type="http://schemas.openxmlformats.org/officeDocument/2006/relationships/image" Target="media/image15.png"/></Relationships>
</file>

<file path=word/_rels/footnotes.xml.rels><?xml version="1.0" encoding="UTF-8" standalone="yes"?>
<Relationships xmlns="http://schemas.openxmlformats.org/package/2006/relationships"><Relationship Id="rId11" Type="http://schemas.openxmlformats.org/officeDocument/2006/relationships/hyperlink" Target="http://en.wikipedia.org/wiki/Humboldt_County,_California" TargetMode="External"/><Relationship Id="rId12" Type="http://schemas.openxmlformats.org/officeDocument/2006/relationships/hyperlink" Target="http://en.wikipedia.org/wiki/Trinity_County,_California" TargetMode="External"/><Relationship Id="rId1" Type="http://schemas.openxmlformats.org/officeDocument/2006/relationships/hyperlink" Target="https://de.wikipedia.org/wiki/Los_Angeles" TargetMode="External"/><Relationship Id="rId2" Type="http://schemas.openxmlformats.org/officeDocument/2006/relationships/hyperlink" Target="https://de.wikipedia.org/wiki/United_States_Census_2010" TargetMode="External"/><Relationship Id="rId3" Type="http://schemas.openxmlformats.org/officeDocument/2006/relationships/hyperlink" Target="https://de.wikipedia.org/wiki/San_Diego" TargetMode="External"/><Relationship Id="rId4" Type="http://schemas.openxmlformats.org/officeDocument/2006/relationships/hyperlink" Target="https://de.wikipedia.org/wiki/San_Jos%C3%A9_(Kalifornien)" TargetMode="External"/><Relationship Id="rId5" Type="http://schemas.openxmlformats.org/officeDocument/2006/relationships/hyperlink" Target="https://de.wikipedia.org/wiki/San_Francisco" TargetMode="External"/><Relationship Id="rId6" Type="http://schemas.openxmlformats.org/officeDocument/2006/relationships/hyperlink" Target="https://de.wikipedia.org/wiki/Fresno" TargetMode="External"/><Relationship Id="rId7" Type="http://schemas.openxmlformats.org/officeDocument/2006/relationships/hyperlink" Target="https://de.wikipedia.org/wiki/Long_Beach_(Kalifornien)" TargetMode="External"/><Relationship Id="rId8" Type="http://schemas.openxmlformats.org/officeDocument/2006/relationships/hyperlink" Target="https://de.wikipedia.org/wiki/Sacramento" TargetMode="External"/><Relationship Id="rId9" Type="http://schemas.openxmlformats.org/officeDocument/2006/relationships/hyperlink" Target="https://de.wikipedia.org/wiki/Oakland" TargetMode="External"/><Relationship Id="rId10" Type="http://schemas.openxmlformats.org/officeDocument/2006/relationships/hyperlink" Target="http://en.wikipedia.org/wiki/Mendocino_Count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aufwerk%20C:Users:Gundula:Laufwerk%20D:Cannabis:Jugend:Tabellen%20Behandlun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Arbeitsmappe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aufwerk%20C:Users:Gundula:Laufwerk%20D:Cannabis:Jugend:Risikoeinscha&#776;tzung%20Washingtin%20HYS%202010-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Arbeitsmappe4"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aufwerk%20C:Users:Gundula:Laufwerk%20D:Cannabis:Verkehr:Diagramm%20Colorado%20in%20Wor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Arbeitsmappe3"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aufwerk%20C:Users:Gundula:Laufwerk%20D:Cannabis:Verbreitung:Washington%202003-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aufwerk%20C:Users:Gundula:Laufwerk%20D:Cannabis:Verbreitung:Colorado%202003-2014%20Diagramm%20in%20Microsoft%20Office%20Wor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aufwerk%20C:Users:Gundula:Laufwerk%20D:Cannabis:Verbreitung:Colorado%20Jahresraten%202003-2014%20Diagramm%20in%20Microsoft%20Office%20Wor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aufwerk%20C:Users:Gundula:Laufwerk%20D:Cannabis:Jugend:Arbeitsmappe3%20Risikoverhalt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aufwerk%20C:Users:Gundula:Laufwerk%20D:Cannabis:Jugend:Colorado%2010%20Year%20Trend%20Data%202015-16%20v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aufwerk%20C:Users:Gundula:Laufwerk%20D:Cannabis:Jugend:Colorado%2010%20Year%20Trend%20Data%202015-16%20v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Arbeits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Risikourteil Marijuanakonsum</a:t>
            </a:r>
          </a:p>
        </c:rich>
      </c:tx>
      <c:layout/>
      <c:overlay val="0"/>
    </c:title>
    <c:autoTitleDeleted val="0"/>
    <c:plotArea>
      <c:layout/>
      <c:lineChart>
        <c:grouping val="standard"/>
        <c:varyColors val="0"/>
        <c:ser>
          <c:idx val="1"/>
          <c:order val="0"/>
          <c:tx>
            <c:strRef>
              <c:f>[1]Blatt1!$B$2</c:f>
              <c:strCache>
                <c:ptCount val="1"/>
                <c:pt idx="0">
                  <c:v>Washington</c:v>
                </c:pt>
              </c:strCache>
            </c:strRef>
          </c:tx>
          <c:marker>
            <c:symbol val="none"/>
          </c:marker>
          <c:cat>
            <c:numRef>
              <c:f>[1]Blatt1!$A$4:$A$6</c:f>
              <c:numCache>
                <c:formatCode>General</c:formatCode>
                <c:ptCount val="3"/>
                <c:pt idx="0">
                  <c:v>2003.0</c:v>
                </c:pt>
                <c:pt idx="1">
                  <c:v>2011.0</c:v>
                </c:pt>
                <c:pt idx="2">
                  <c:v>2014.0</c:v>
                </c:pt>
              </c:numCache>
            </c:numRef>
          </c:cat>
          <c:val>
            <c:numRef>
              <c:f>[1]Blatt1!$B$4:$B$6</c:f>
              <c:numCache>
                <c:formatCode>General</c:formatCode>
                <c:ptCount val="3"/>
                <c:pt idx="0">
                  <c:v>26.8</c:v>
                </c:pt>
                <c:pt idx="1">
                  <c:v>24.11</c:v>
                </c:pt>
                <c:pt idx="2">
                  <c:v>18.3</c:v>
                </c:pt>
              </c:numCache>
            </c:numRef>
          </c:val>
          <c:smooth val="0"/>
        </c:ser>
        <c:ser>
          <c:idx val="2"/>
          <c:order val="1"/>
          <c:tx>
            <c:strRef>
              <c:f>[1]Blatt1!$F$2</c:f>
              <c:strCache>
                <c:ptCount val="1"/>
                <c:pt idx="0">
                  <c:v>Colorado</c:v>
                </c:pt>
              </c:strCache>
            </c:strRef>
          </c:tx>
          <c:marker>
            <c:symbol val="none"/>
          </c:marker>
          <c:cat>
            <c:numRef>
              <c:f>[1]Blatt1!$A$4:$A$6</c:f>
              <c:numCache>
                <c:formatCode>General</c:formatCode>
                <c:ptCount val="3"/>
                <c:pt idx="0">
                  <c:v>2003.0</c:v>
                </c:pt>
                <c:pt idx="1">
                  <c:v>2011.0</c:v>
                </c:pt>
                <c:pt idx="2">
                  <c:v>2014.0</c:v>
                </c:pt>
              </c:numCache>
            </c:numRef>
          </c:cat>
          <c:val>
            <c:numRef>
              <c:f>[1]Blatt1!$F$4:$F$6</c:f>
              <c:numCache>
                <c:formatCode>General</c:formatCode>
                <c:ptCount val="3"/>
                <c:pt idx="0">
                  <c:v>28.74</c:v>
                </c:pt>
                <c:pt idx="1">
                  <c:v>21.0</c:v>
                </c:pt>
                <c:pt idx="2">
                  <c:v>17.99</c:v>
                </c:pt>
              </c:numCache>
            </c:numRef>
          </c:val>
          <c:smooth val="0"/>
        </c:ser>
        <c:ser>
          <c:idx val="3"/>
          <c:order val="2"/>
          <c:tx>
            <c:strRef>
              <c:f>[1]Blatt1!$J$2</c:f>
              <c:strCache>
                <c:ptCount val="1"/>
                <c:pt idx="0">
                  <c:v>Kalifornien</c:v>
                </c:pt>
              </c:strCache>
            </c:strRef>
          </c:tx>
          <c:marker>
            <c:symbol val="none"/>
          </c:marker>
          <c:cat>
            <c:numRef>
              <c:f>[1]Blatt1!$A$4:$A$6</c:f>
              <c:numCache>
                <c:formatCode>General</c:formatCode>
                <c:ptCount val="3"/>
                <c:pt idx="0">
                  <c:v>2003.0</c:v>
                </c:pt>
                <c:pt idx="1">
                  <c:v>2011.0</c:v>
                </c:pt>
                <c:pt idx="2">
                  <c:v>2014.0</c:v>
                </c:pt>
              </c:numCache>
            </c:numRef>
          </c:cat>
          <c:val>
            <c:numRef>
              <c:f>[1]Blatt1!$J$4:$J$6</c:f>
              <c:numCache>
                <c:formatCode>General</c:formatCode>
                <c:ptCount val="3"/>
                <c:pt idx="0">
                  <c:v>36.63</c:v>
                </c:pt>
                <c:pt idx="1">
                  <c:v>33.53</c:v>
                </c:pt>
                <c:pt idx="2">
                  <c:v>27.09</c:v>
                </c:pt>
              </c:numCache>
            </c:numRef>
          </c:val>
          <c:smooth val="0"/>
        </c:ser>
        <c:ser>
          <c:idx val="4"/>
          <c:order val="3"/>
          <c:tx>
            <c:strRef>
              <c:f>[1]Blatt1!$N$2</c:f>
              <c:strCache>
                <c:ptCount val="1"/>
                <c:pt idx="0">
                  <c:v>USA (gesamt)</c:v>
                </c:pt>
              </c:strCache>
            </c:strRef>
          </c:tx>
          <c:marker>
            <c:symbol val="none"/>
          </c:marker>
          <c:cat>
            <c:numRef>
              <c:f>[1]Blatt1!$A$4:$A$6</c:f>
              <c:numCache>
                <c:formatCode>General</c:formatCode>
                <c:ptCount val="3"/>
                <c:pt idx="0">
                  <c:v>2003.0</c:v>
                </c:pt>
                <c:pt idx="1">
                  <c:v>2011.0</c:v>
                </c:pt>
                <c:pt idx="2">
                  <c:v>2014.0</c:v>
                </c:pt>
              </c:numCache>
            </c:numRef>
          </c:cat>
          <c:val>
            <c:numRef>
              <c:f>[1]Blatt1!$N$4:$N$6</c:f>
              <c:numCache>
                <c:formatCode>General</c:formatCode>
                <c:ptCount val="3"/>
                <c:pt idx="0">
                  <c:v>39.5</c:v>
                </c:pt>
                <c:pt idx="1">
                  <c:v>32.32</c:v>
                </c:pt>
                <c:pt idx="2">
                  <c:v>27.35</c:v>
                </c:pt>
              </c:numCache>
            </c:numRef>
          </c:val>
          <c:smooth val="0"/>
        </c:ser>
        <c:dLbls>
          <c:showLegendKey val="0"/>
          <c:showVal val="0"/>
          <c:showCatName val="0"/>
          <c:showSerName val="0"/>
          <c:showPercent val="0"/>
          <c:showBubbleSize val="0"/>
        </c:dLbls>
        <c:marker val="1"/>
        <c:smooth val="0"/>
        <c:axId val="-2104509960"/>
        <c:axId val="-2147438376"/>
      </c:lineChart>
      <c:catAx>
        <c:axId val="-2104509960"/>
        <c:scaling>
          <c:orientation val="minMax"/>
        </c:scaling>
        <c:delete val="0"/>
        <c:axPos val="b"/>
        <c:numFmt formatCode="General" sourceLinked="1"/>
        <c:majorTickMark val="out"/>
        <c:minorTickMark val="none"/>
        <c:tickLblPos val="nextTo"/>
        <c:crossAx val="-2147438376"/>
        <c:crosses val="autoZero"/>
        <c:auto val="1"/>
        <c:lblAlgn val="ctr"/>
        <c:lblOffset val="100"/>
        <c:noMultiLvlLbl val="0"/>
      </c:catAx>
      <c:valAx>
        <c:axId val="-2147438376"/>
        <c:scaling>
          <c:orientation val="minMax"/>
        </c:scaling>
        <c:delete val="0"/>
        <c:axPos val="l"/>
        <c:majorGridlines/>
        <c:title>
          <c:tx>
            <c:rich>
              <a:bodyPr rot="-5400000" vert="horz"/>
              <a:lstStyle/>
              <a:p>
                <a:pPr>
                  <a:defRPr/>
                </a:pPr>
                <a:r>
                  <a:rPr lang="de-DE"/>
                  <a:t>Zustimmung in %</a:t>
                </a:r>
              </a:p>
            </c:rich>
          </c:tx>
          <c:layout/>
          <c:overlay val="0"/>
        </c:title>
        <c:numFmt formatCode="General" sourceLinked="1"/>
        <c:majorTickMark val="out"/>
        <c:minorTickMark val="none"/>
        <c:tickLblPos val="nextTo"/>
        <c:crossAx val="-21045099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30-Tage-Prävalenz in %</a:t>
            </a:r>
          </a:p>
        </c:rich>
      </c:tx>
      <c:layout/>
      <c:overlay val="0"/>
    </c:title>
    <c:autoTitleDeleted val="0"/>
    <c:plotArea>
      <c:layout/>
      <c:lineChart>
        <c:grouping val="standard"/>
        <c:varyColors val="0"/>
        <c:ser>
          <c:idx val="0"/>
          <c:order val="0"/>
          <c:tx>
            <c:v>6. Klasse</c:v>
          </c:tx>
          <c:marker>
            <c:symbol val="none"/>
          </c:marker>
          <c:cat>
            <c:numRef>
              <c:f>Blatt1!$E$8:$G$8</c:f>
              <c:numCache>
                <c:formatCode>General</c:formatCode>
                <c:ptCount val="3"/>
                <c:pt idx="0">
                  <c:v>2010.0</c:v>
                </c:pt>
                <c:pt idx="1">
                  <c:v>2012.0</c:v>
                </c:pt>
                <c:pt idx="2">
                  <c:v>2014.0</c:v>
                </c:pt>
              </c:numCache>
            </c:numRef>
          </c:cat>
          <c:val>
            <c:numRef>
              <c:f>Blatt1!$E$9:$G$9</c:f>
              <c:numCache>
                <c:formatCode>General</c:formatCode>
                <c:ptCount val="3"/>
                <c:pt idx="0">
                  <c:v>1.0</c:v>
                </c:pt>
                <c:pt idx="1">
                  <c:v>1.0</c:v>
                </c:pt>
                <c:pt idx="2">
                  <c:v>1.0</c:v>
                </c:pt>
              </c:numCache>
            </c:numRef>
          </c:val>
          <c:smooth val="0"/>
        </c:ser>
        <c:ser>
          <c:idx val="1"/>
          <c:order val="1"/>
          <c:tx>
            <c:v>8. Klasse</c:v>
          </c:tx>
          <c:marker>
            <c:symbol val="none"/>
          </c:marker>
          <c:cat>
            <c:numRef>
              <c:f>Blatt1!$E$8:$G$8</c:f>
              <c:numCache>
                <c:formatCode>General</c:formatCode>
                <c:ptCount val="3"/>
                <c:pt idx="0">
                  <c:v>2010.0</c:v>
                </c:pt>
                <c:pt idx="1">
                  <c:v>2012.0</c:v>
                </c:pt>
                <c:pt idx="2">
                  <c:v>2014.0</c:v>
                </c:pt>
              </c:numCache>
            </c:numRef>
          </c:cat>
          <c:val>
            <c:numRef>
              <c:f>Blatt1!$E$10:$G$10</c:f>
              <c:numCache>
                <c:formatCode>General</c:formatCode>
                <c:ptCount val="3"/>
                <c:pt idx="0">
                  <c:v>7.0</c:v>
                </c:pt>
                <c:pt idx="1">
                  <c:v>9.0</c:v>
                </c:pt>
                <c:pt idx="2">
                  <c:v>7.0</c:v>
                </c:pt>
              </c:numCache>
            </c:numRef>
          </c:val>
          <c:smooth val="0"/>
        </c:ser>
        <c:ser>
          <c:idx val="2"/>
          <c:order val="2"/>
          <c:tx>
            <c:v>10. Klasse</c:v>
          </c:tx>
          <c:marker>
            <c:symbol val="none"/>
          </c:marker>
          <c:cat>
            <c:numRef>
              <c:f>Blatt1!$E$8:$G$8</c:f>
              <c:numCache>
                <c:formatCode>General</c:formatCode>
                <c:ptCount val="3"/>
                <c:pt idx="0">
                  <c:v>2010.0</c:v>
                </c:pt>
                <c:pt idx="1">
                  <c:v>2012.0</c:v>
                </c:pt>
                <c:pt idx="2">
                  <c:v>2014.0</c:v>
                </c:pt>
              </c:numCache>
            </c:numRef>
          </c:cat>
          <c:val>
            <c:numRef>
              <c:f>Blatt1!$E$11:$G$11</c:f>
              <c:numCache>
                <c:formatCode>General</c:formatCode>
                <c:ptCount val="3"/>
                <c:pt idx="0">
                  <c:v>20.0</c:v>
                </c:pt>
                <c:pt idx="1">
                  <c:v>19.0</c:v>
                </c:pt>
                <c:pt idx="2">
                  <c:v>18.0</c:v>
                </c:pt>
              </c:numCache>
            </c:numRef>
          </c:val>
          <c:smooth val="0"/>
        </c:ser>
        <c:ser>
          <c:idx val="3"/>
          <c:order val="3"/>
          <c:tx>
            <c:v>12. Klasse</c:v>
          </c:tx>
          <c:marker>
            <c:symbol val="none"/>
          </c:marker>
          <c:cat>
            <c:numRef>
              <c:f>Blatt1!$E$8:$G$8</c:f>
              <c:numCache>
                <c:formatCode>General</c:formatCode>
                <c:ptCount val="3"/>
                <c:pt idx="0">
                  <c:v>2010.0</c:v>
                </c:pt>
                <c:pt idx="1">
                  <c:v>2012.0</c:v>
                </c:pt>
                <c:pt idx="2">
                  <c:v>2014.0</c:v>
                </c:pt>
              </c:numCache>
            </c:numRef>
          </c:cat>
          <c:val>
            <c:numRef>
              <c:f>Blatt1!$E$12:$G$12</c:f>
              <c:numCache>
                <c:formatCode>General</c:formatCode>
                <c:ptCount val="3"/>
                <c:pt idx="0">
                  <c:v>26.0</c:v>
                </c:pt>
                <c:pt idx="1">
                  <c:v>27.0</c:v>
                </c:pt>
                <c:pt idx="2">
                  <c:v>27.0</c:v>
                </c:pt>
              </c:numCache>
            </c:numRef>
          </c:val>
          <c:smooth val="0"/>
        </c:ser>
        <c:dLbls>
          <c:showLegendKey val="0"/>
          <c:showVal val="0"/>
          <c:showCatName val="0"/>
          <c:showSerName val="0"/>
          <c:showPercent val="0"/>
          <c:showBubbleSize val="0"/>
        </c:dLbls>
        <c:marker val="1"/>
        <c:smooth val="0"/>
        <c:axId val="-2127469816"/>
        <c:axId val="-2127463736"/>
      </c:lineChart>
      <c:catAx>
        <c:axId val="-2127469816"/>
        <c:scaling>
          <c:orientation val="minMax"/>
        </c:scaling>
        <c:delete val="0"/>
        <c:axPos val="b"/>
        <c:numFmt formatCode="General" sourceLinked="1"/>
        <c:majorTickMark val="out"/>
        <c:minorTickMark val="none"/>
        <c:tickLblPos val="nextTo"/>
        <c:crossAx val="-2127463736"/>
        <c:crosses val="autoZero"/>
        <c:auto val="1"/>
        <c:lblAlgn val="ctr"/>
        <c:lblOffset val="100"/>
        <c:noMultiLvlLbl val="0"/>
      </c:catAx>
      <c:valAx>
        <c:axId val="-2127463736"/>
        <c:scaling>
          <c:orientation val="minMax"/>
        </c:scaling>
        <c:delete val="0"/>
        <c:axPos val="l"/>
        <c:majorGridlines/>
        <c:numFmt formatCode="General" sourceLinked="1"/>
        <c:majorTickMark val="out"/>
        <c:minorTickMark val="none"/>
        <c:tickLblPos val="nextTo"/>
        <c:crossAx val="-2127469816"/>
        <c:crosses val="autoZero"/>
        <c:crossBetween val="between"/>
      </c:valAx>
      <c:dTable>
        <c:showHorzBorder val="1"/>
        <c:showVertBorder val="1"/>
        <c:showOutline val="1"/>
        <c:showKeys val="1"/>
      </c:dTable>
    </c:plotArea>
    <c:plotVisOnly val="1"/>
    <c:dispBlanksAs val="gap"/>
    <c:showDLblsOverMax val="0"/>
  </c:chart>
  <c:spPr>
    <a:ln>
      <a:solidFill>
        <a:srgbClr val="000000"/>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Risikoeinschätzung Marihuanakonsum</a:t>
            </a:r>
          </a:p>
        </c:rich>
      </c:tx>
      <c:layout/>
      <c:overlay val="0"/>
    </c:title>
    <c:autoTitleDeleted val="0"/>
    <c:plotArea>
      <c:layout/>
      <c:lineChart>
        <c:grouping val="standard"/>
        <c:varyColors val="0"/>
        <c:ser>
          <c:idx val="0"/>
          <c:order val="0"/>
          <c:tx>
            <c:v>Washington</c:v>
          </c:tx>
          <c:marker>
            <c:symbol val="none"/>
          </c:marker>
          <c:cat>
            <c:strRef>
              <c:f>Blatt1!$B$47:$C$47</c:f>
              <c:strCache>
                <c:ptCount val="2"/>
                <c:pt idx="0">
                  <c:v>2012-2013</c:v>
                </c:pt>
                <c:pt idx="1">
                  <c:v>2013-2014</c:v>
                </c:pt>
              </c:strCache>
            </c:strRef>
          </c:cat>
          <c:val>
            <c:numRef>
              <c:f>Blatt1!$B$48:$C$48</c:f>
              <c:numCache>
                <c:formatCode>General</c:formatCode>
                <c:ptCount val="2"/>
                <c:pt idx="0">
                  <c:v>19.03</c:v>
                </c:pt>
                <c:pt idx="1">
                  <c:v>16.2</c:v>
                </c:pt>
              </c:numCache>
            </c:numRef>
          </c:val>
          <c:smooth val="0"/>
        </c:ser>
        <c:ser>
          <c:idx val="1"/>
          <c:order val="1"/>
          <c:tx>
            <c:v>Colorado</c:v>
          </c:tx>
          <c:marker>
            <c:symbol val="none"/>
          </c:marker>
          <c:cat>
            <c:strRef>
              <c:f>Blatt1!$B$47:$C$47</c:f>
              <c:strCache>
                <c:ptCount val="2"/>
                <c:pt idx="0">
                  <c:v>2012-2013</c:v>
                </c:pt>
                <c:pt idx="1">
                  <c:v>2013-2014</c:v>
                </c:pt>
              </c:strCache>
            </c:strRef>
          </c:cat>
          <c:val>
            <c:numRef>
              <c:f>Blatt1!$B$49:$C$49</c:f>
              <c:numCache>
                <c:formatCode>General</c:formatCode>
                <c:ptCount val="2"/>
                <c:pt idx="0">
                  <c:v>19.58</c:v>
                </c:pt>
                <c:pt idx="1">
                  <c:v>17.04</c:v>
                </c:pt>
              </c:numCache>
            </c:numRef>
          </c:val>
          <c:smooth val="0"/>
        </c:ser>
        <c:ser>
          <c:idx val="2"/>
          <c:order val="2"/>
          <c:tx>
            <c:v>Kalifornien</c:v>
          </c:tx>
          <c:marker>
            <c:symbol val="none"/>
          </c:marker>
          <c:cat>
            <c:strRef>
              <c:f>Blatt1!$B$47:$C$47</c:f>
              <c:strCache>
                <c:ptCount val="2"/>
                <c:pt idx="0">
                  <c:v>2012-2013</c:v>
                </c:pt>
                <c:pt idx="1">
                  <c:v>2013-2014</c:v>
                </c:pt>
              </c:strCache>
            </c:strRef>
          </c:cat>
          <c:val>
            <c:numRef>
              <c:f>Blatt1!$B$50:$C$50</c:f>
              <c:numCache>
                <c:formatCode>General</c:formatCode>
                <c:ptCount val="2"/>
                <c:pt idx="0">
                  <c:v>20.95</c:v>
                </c:pt>
                <c:pt idx="1">
                  <c:v>20.06</c:v>
                </c:pt>
              </c:numCache>
            </c:numRef>
          </c:val>
          <c:smooth val="0"/>
        </c:ser>
        <c:ser>
          <c:idx val="3"/>
          <c:order val="3"/>
          <c:tx>
            <c:v>USA gesamt</c:v>
          </c:tx>
          <c:marker>
            <c:symbol val="none"/>
          </c:marker>
          <c:cat>
            <c:strRef>
              <c:f>Blatt1!$B$47:$C$47</c:f>
              <c:strCache>
                <c:ptCount val="2"/>
                <c:pt idx="0">
                  <c:v>2012-2013</c:v>
                </c:pt>
                <c:pt idx="1">
                  <c:v>2013-2014</c:v>
                </c:pt>
              </c:strCache>
            </c:strRef>
          </c:cat>
          <c:val>
            <c:numRef>
              <c:f>Blatt1!$B$51:$C$51</c:f>
              <c:numCache>
                <c:formatCode>General</c:formatCode>
                <c:ptCount val="2"/>
                <c:pt idx="0">
                  <c:v>25.34</c:v>
                </c:pt>
                <c:pt idx="1">
                  <c:v>23.54</c:v>
                </c:pt>
              </c:numCache>
            </c:numRef>
          </c:val>
          <c:smooth val="0"/>
        </c:ser>
        <c:dLbls>
          <c:showLegendKey val="0"/>
          <c:showVal val="0"/>
          <c:showCatName val="0"/>
          <c:showSerName val="0"/>
          <c:showPercent val="0"/>
          <c:showBubbleSize val="0"/>
        </c:dLbls>
        <c:marker val="1"/>
        <c:smooth val="0"/>
        <c:axId val="-2127415976"/>
        <c:axId val="-2127407480"/>
      </c:lineChart>
      <c:catAx>
        <c:axId val="-2127415976"/>
        <c:scaling>
          <c:orientation val="minMax"/>
        </c:scaling>
        <c:delete val="0"/>
        <c:axPos val="b"/>
        <c:majorTickMark val="out"/>
        <c:minorTickMark val="none"/>
        <c:tickLblPos val="nextTo"/>
        <c:crossAx val="-2127407480"/>
        <c:crosses val="autoZero"/>
        <c:auto val="1"/>
        <c:lblAlgn val="ctr"/>
        <c:lblOffset val="100"/>
        <c:noMultiLvlLbl val="0"/>
      </c:catAx>
      <c:valAx>
        <c:axId val="-2127407480"/>
        <c:scaling>
          <c:orientation val="minMax"/>
        </c:scaling>
        <c:delete val="0"/>
        <c:axPos val="l"/>
        <c:majorGridlines/>
        <c:numFmt formatCode="General" sourceLinked="1"/>
        <c:majorTickMark val="out"/>
        <c:minorTickMark val="none"/>
        <c:tickLblPos val="nextTo"/>
        <c:crossAx val="-2127415976"/>
        <c:crosses val="autoZero"/>
        <c:crossBetween val="between"/>
      </c:valAx>
      <c:dTable>
        <c:showHorzBorder val="1"/>
        <c:showVertBorder val="1"/>
        <c:showOutline val="1"/>
        <c:showKeys val="1"/>
      </c:dTable>
    </c:plotArea>
    <c:plotVisOnly val="1"/>
    <c:dispBlanksAs val="gap"/>
    <c:showDLblsOverMax val="0"/>
  </c:chart>
  <c:spPr>
    <a:ln>
      <a:solidFill>
        <a:srgbClr val="000000"/>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Unfallraten insgesamt </a:t>
            </a:r>
          </a:p>
        </c:rich>
      </c:tx>
      <c:layout/>
      <c:overlay val="0"/>
    </c:title>
    <c:autoTitleDeleted val="0"/>
    <c:plotArea>
      <c:layout/>
      <c:lineChart>
        <c:grouping val="standard"/>
        <c:varyColors val="0"/>
        <c:ser>
          <c:idx val="0"/>
          <c:order val="0"/>
          <c:tx>
            <c:strRef>
              <c:f>Blatt1!$B$2</c:f>
              <c:strCache>
                <c:ptCount val="1"/>
                <c:pt idx="0">
                  <c:v>Colorado</c:v>
                </c:pt>
              </c:strCache>
            </c:strRef>
          </c:tx>
          <c:marker>
            <c:symbol val="none"/>
          </c:marker>
          <c:cat>
            <c:numRef>
              <c:f>Blatt1!$A$3:$A$7</c:f>
              <c:numCache>
                <c:formatCode>General</c:formatCode>
                <c:ptCount val="5"/>
                <c:pt idx="0">
                  <c:v>2011.0</c:v>
                </c:pt>
                <c:pt idx="1">
                  <c:v>2012.0</c:v>
                </c:pt>
                <c:pt idx="2">
                  <c:v>2013.0</c:v>
                </c:pt>
                <c:pt idx="3">
                  <c:v>2014.0</c:v>
                </c:pt>
                <c:pt idx="4">
                  <c:v>2015.0</c:v>
                </c:pt>
              </c:numCache>
            </c:numRef>
          </c:cat>
          <c:val>
            <c:numRef>
              <c:f>Blatt1!$B$3:$B$7</c:f>
              <c:numCache>
                <c:formatCode>General</c:formatCode>
                <c:ptCount val="5"/>
                <c:pt idx="0">
                  <c:v>8.73</c:v>
                </c:pt>
                <c:pt idx="1">
                  <c:v>9.130000000000001</c:v>
                </c:pt>
                <c:pt idx="2">
                  <c:v>9.140000000000001</c:v>
                </c:pt>
                <c:pt idx="3">
                  <c:v>9.11</c:v>
                </c:pt>
                <c:pt idx="4">
                  <c:v>10.01</c:v>
                </c:pt>
              </c:numCache>
            </c:numRef>
          </c:val>
          <c:smooth val="0"/>
        </c:ser>
        <c:ser>
          <c:idx val="1"/>
          <c:order val="1"/>
          <c:tx>
            <c:strRef>
              <c:f>Blatt1!$C$2</c:f>
              <c:strCache>
                <c:ptCount val="1"/>
                <c:pt idx="0">
                  <c:v>USA</c:v>
                </c:pt>
              </c:strCache>
            </c:strRef>
          </c:tx>
          <c:marker>
            <c:symbol val="none"/>
          </c:marker>
          <c:cat>
            <c:numRef>
              <c:f>Blatt1!$A$3:$A$7</c:f>
              <c:numCache>
                <c:formatCode>General</c:formatCode>
                <c:ptCount val="5"/>
                <c:pt idx="0">
                  <c:v>2011.0</c:v>
                </c:pt>
                <c:pt idx="1">
                  <c:v>2012.0</c:v>
                </c:pt>
                <c:pt idx="2">
                  <c:v>2013.0</c:v>
                </c:pt>
                <c:pt idx="3">
                  <c:v>2014.0</c:v>
                </c:pt>
                <c:pt idx="4">
                  <c:v>2015.0</c:v>
                </c:pt>
              </c:numCache>
            </c:numRef>
          </c:cat>
          <c:val>
            <c:numRef>
              <c:f>Blatt1!$C$3:$C$7</c:f>
              <c:numCache>
                <c:formatCode>General</c:formatCode>
                <c:ptCount val="5"/>
                <c:pt idx="0">
                  <c:v>10.42</c:v>
                </c:pt>
                <c:pt idx="1">
                  <c:v>10.76</c:v>
                </c:pt>
                <c:pt idx="2">
                  <c:v>10.4</c:v>
                </c:pt>
                <c:pt idx="3">
                  <c:v>10.27</c:v>
                </c:pt>
                <c:pt idx="4">
                  <c:v>10.92</c:v>
                </c:pt>
              </c:numCache>
            </c:numRef>
          </c:val>
          <c:smooth val="0"/>
        </c:ser>
        <c:dLbls>
          <c:showLegendKey val="0"/>
          <c:showVal val="0"/>
          <c:showCatName val="0"/>
          <c:showSerName val="0"/>
          <c:showPercent val="0"/>
          <c:showBubbleSize val="0"/>
        </c:dLbls>
        <c:marker val="1"/>
        <c:smooth val="0"/>
        <c:axId val="-2127351704"/>
        <c:axId val="-2127347704"/>
      </c:lineChart>
      <c:catAx>
        <c:axId val="-2127351704"/>
        <c:scaling>
          <c:orientation val="minMax"/>
        </c:scaling>
        <c:delete val="0"/>
        <c:axPos val="b"/>
        <c:numFmt formatCode="General" sourceLinked="1"/>
        <c:majorTickMark val="out"/>
        <c:minorTickMark val="none"/>
        <c:tickLblPos val="nextTo"/>
        <c:crossAx val="-2127347704"/>
        <c:crosses val="autoZero"/>
        <c:auto val="1"/>
        <c:lblAlgn val="ctr"/>
        <c:lblOffset val="100"/>
        <c:noMultiLvlLbl val="0"/>
      </c:catAx>
      <c:valAx>
        <c:axId val="-2127347704"/>
        <c:scaling>
          <c:orientation val="minMax"/>
        </c:scaling>
        <c:delete val="0"/>
        <c:axPos val="l"/>
        <c:majorGridlines/>
        <c:numFmt formatCode="General" sourceLinked="1"/>
        <c:majorTickMark val="out"/>
        <c:minorTickMark val="none"/>
        <c:tickLblPos val="nextTo"/>
        <c:crossAx val="-2127351704"/>
        <c:crosses val="autoZero"/>
        <c:crossBetween val="between"/>
      </c:valAx>
    </c:plotArea>
    <c:legend>
      <c:legendPos val="r"/>
      <c:layout/>
      <c:overlay val="0"/>
    </c:legend>
    <c:plotVisOnly val="1"/>
    <c:dispBlanksAs val="gap"/>
    <c:showDLblsOverMax val="0"/>
  </c:chart>
  <c:spPr>
    <a:ln>
      <a:solidFill>
        <a:srgbClr val="000000"/>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de-DE" sz="1200"/>
              <a:t>Unfallgeschehen</a:t>
            </a:r>
            <a:r>
              <a:rPr lang="de-DE" sz="1200" baseline="0"/>
              <a:t> in Colorado </a:t>
            </a:r>
            <a:endParaRPr lang="de-DE" sz="1200"/>
          </a:p>
        </c:rich>
      </c:tx>
      <c:layout/>
      <c:overlay val="0"/>
    </c:title>
    <c:autoTitleDeleted val="0"/>
    <c:plotArea>
      <c:layout>
        <c:manualLayout>
          <c:layoutTarget val="inner"/>
          <c:xMode val="edge"/>
          <c:yMode val="edge"/>
          <c:x val="0.0664516207479359"/>
          <c:y val="0.19707467282525"/>
          <c:w val="0.673235120924246"/>
          <c:h val="0.692584039004362"/>
        </c:manualLayout>
      </c:layout>
      <c:lineChart>
        <c:grouping val="standard"/>
        <c:varyColors val="0"/>
        <c:ser>
          <c:idx val="0"/>
          <c:order val="0"/>
          <c:tx>
            <c:strRef>
              <c:f>Blatt1!$A$2</c:f>
              <c:strCache>
                <c:ptCount val="1"/>
                <c:pt idx="0">
                  <c:v>Unfälle insgesamt</c:v>
                </c:pt>
              </c:strCache>
            </c:strRef>
          </c:tx>
          <c:marker>
            <c:symbol val="none"/>
          </c:marker>
          <c:dLbls>
            <c:txPr>
              <a:bodyPr/>
              <a:lstStyle/>
              <a:p>
                <a:pPr>
                  <a:defRPr sz="800"/>
                </a:pPr>
                <a:endParaRPr lang="de-DE"/>
              </a:p>
            </c:txPr>
            <c:dLblPos val="t"/>
            <c:showLegendKey val="0"/>
            <c:showVal val="1"/>
            <c:showCatName val="0"/>
            <c:showSerName val="0"/>
            <c:showPercent val="0"/>
            <c:showBubbleSize val="0"/>
            <c:showLeaderLines val="0"/>
          </c:dLbls>
          <c:cat>
            <c:strRef>
              <c:f>Blatt1!$B$1:$L$1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Blatt1!$B$2:$L$2</c:f>
              <c:numCache>
                <c:formatCode>General</c:formatCode>
                <c:ptCount val="11"/>
                <c:pt idx="0">
                  <c:v>606.0</c:v>
                </c:pt>
                <c:pt idx="1">
                  <c:v>535.0</c:v>
                </c:pt>
                <c:pt idx="2">
                  <c:v>554.0</c:v>
                </c:pt>
                <c:pt idx="3">
                  <c:v>548.0</c:v>
                </c:pt>
                <c:pt idx="4">
                  <c:v>465.0</c:v>
                </c:pt>
                <c:pt idx="5">
                  <c:v>450.0</c:v>
                </c:pt>
                <c:pt idx="6">
                  <c:v>447.0</c:v>
                </c:pt>
                <c:pt idx="7">
                  <c:v>474.0</c:v>
                </c:pt>
                <c:pt idx="8">
                  <c:v>482.0</c:v>
                </c:pt>
                <c:pt idx="9">
                  <c:v>488.0</c:v>
                </c:pt>
                <c:pt idx="10">
                  <c:v>547.0</c:v>
                </c:pt>
              </c:numCache>
            </c:numRef>
          </c:val>
          <c:smooth val="0"/>
        </c:ser>
        <c:ser>
          <c:idx val="1"/>
          <c:order val="1"/>
          <c:tx>
            <c:strRef>
              <c:f>Blatt1!$A$3</c:f>
              <c:strCache>
                <c:ptCount val="1"/>
                <c:pt idx="0">
                  <c:v>Beteiligte insgesamt</c:v>
                </c:pt>
              </c:strCache>
            </c:strRef>
          </c:tx>
          <c:marker>
            <c:symbol val="none"/>
          </c:marker>
          <c:dLbls>
            <c:txPr>
              <a:bodyPr/>
              <a:lstStyle/>
              <a:p>
                <a:pPr>
                  <a:defRPr sz="800"/>
                </a:pPr>
                <a:endParaRPr lang="de-DE"/>
              </a:p>
            </c:txPr>
            <c:dLblPos val="t"/>
            <c:showLegendKey val="0"/>
            <c:showVal val="1"/>
            <c:showCatName val="0"/>
            <c:showSerName val="0"/>
            <c:showPercent val="0"/>
            <c:showBubbleSize val="0"/>
            <c:showLeaderLines val="0"/>
          </c:dLbls>
          <c:cat>
            <c:strRef>
              <c:f>Blatt1!$B$1:$L$1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Blatt1!$B$3:$L$3</c:f>
              <c:numCache>
                <c:formatCode>General</c:formatCode>
                <c:ptCount val="11"/>
                <c:pt idx="0">
                  <c:v>847.0</c:v>
                </c:pt>
                <c:pt idx="1">
                  <c:v>721.0</c:v>
                </c:pt>
                <c:pt idx="2">
                  <c:v>789.0</c:v>
                </c:pt>
                <c:pt idx="3">
                  <c:v>712.0</c:v>
                </c:pt>
                <c:pt idx="4">
                  <c:v>653.0</c:v>
                </c:pt>
                <c:pt idx="5">
                  <c:v>601.0</c:v>
                </c:pt>
                <c:pt idx="6">
                  <c:v>587.0</c:v>
                </c:pt>
                <c:pt idx="7">
                  <c:v>632.0</c:v>
                </c:pt>
                <c:pt idx="8">
                  <c:v>628.0</c:v>
                </c:pt>
                <c:pt idx="9">
                  <c:v>684.0</c:v>
                </c:pt>
                <c:pt idx="10">
                  <c:v>789.0</c:v>
                </c:pt>
              </c:numCache>
            </c:numRef>
          </c:val>
          <c:smooth val="0"/>
        </c:ser>
        <c:ser>
          <c:idx val="2"/>
          <c:order val="2"/>
          <c:tx>
            <c:strRef>
              <c:f>Blatt1!$A$4</c:f>
              <c:strCache>
                <c:ptCount val="1"/>
                <c:pt idx="0">
                  <c:v>Getestete insgesamt</c:v>
                </c:pt>
              </c:strCache>
            </c:strRef>
          </c:tx>
          <c:marker>
            <c:symbol val="none"/>
          </c:marker>
          <c:dLbls>
            <c:txPr>
              <a:bodyPr/>
              <a:lstStyle/>
              <a:p>
                <a:pPr>
                  <a:defRPr sz="800"/>
                </a:pPr>
                <a:endParaRPr lang="de-DE"/>
              </a:p>
            </c:txPr>
            <c:dLblPos val="t"/>
            <c:showLegendKey val="0"/>
            <c:showVal val="1"/>
            <c:showCatName val="0"/>
            <c:showSerName val="0"/>
            <c:showPercent val="0"/>
            <c:showBubbleSize val="0"/>
            <c:showLeaderLines val="0"/>
          </c:dLbls>
          <c:cat>
            <c:strRef>
              <c:f>Blatt1!$B$1:$L$1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Blatt1!$B$4:$L$4</c:f>
              <c:numCache>
                <c:formatCode>General</c:formatCode>
                <c:ptCount val="11"/>
                <c:pt idx="0">
                  <c:v>392.0</c:v>
                </c:pt>
                <c:pt idx="1">
                  <c:v>355.0</c:v>
                </c:pt>
                <c:pt idx="2">
                  <c:v>348.0</c:v>
                </c:pt>
                <c:pt idx="3">
                  <c:v>353.0</c:v>
                </c:pt>
                <c:pt idx="4">
                  <c:v>291.0</c:v>
                </c:pt>
                <c:pt idx="5">
                  <c:v>292.0</c:v>
                </c:pt>
                <c:pt idx="6">
                  <c:v>301.0</c:v>
                </c:pt>
                <c:pt idx="7">
                  <c:v>288.0</c:v>
                </c:pt>
                <c:pt idx="8">
                  <c:v>293.0</c:v>
                </c:pt>
                <c:pt idx="9">
                  <c:v>310.0</c:v>
                </c:pt>
                <c:pt idx="10">
                  <c:v>361.0</c:v>
                </c:pt>
              </c:numCache>
            </c:numRef>
          </c:val>
          <c:smooth val="0"/>
        </c:ser>
        <c:ser>
          <c:idx val="3"/>
          <c:order val="3"/>
          <c:tx>
            <c:strRef>
              <c:f>Blatt1!$A$5</c:f>
              <c:strCache>
                <c:ptCount val="1"/>
                <c:pt idx="0">
                  <c:v>Positiv Getestete insgesamt</c:v>
                </c:pt>
              </c:strCache>
            </c:strRef>
          </c:tx>
          <c:marker>
            <c:symbol val="none"/>
          </c:marker>
          <c:dLbls>
            <c:txPr>
              <a:bodyPr/>
              <a:lstStyle/>
              <a:p>
                <a:pPr>
                  <a:defRPr sz="800"/>
                </a:pPr>
                <a:endParaRPr lang="de-DE"/>
              </a:p>
            </c:txPr>
            <c:dLblPos val="t"/>
            <c:showLegendKey val="0"/>
            <c:showVal val="1"/>
            <c:showCatName val="0"/>
            <c:showSerName val="0"/>
            <c:showPercent val="0"/>
            <c:showBubbleSize val="0"/>
            <c:showLeaderLines val="0"/>
          </c:dLbls>
          <c:cat>
            <c:strRef>
              <c:f>Blatt1!$B$1:$L$1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Blatt1!$B$5:$L$5</c:f>
              <c:numCache>
                <c:formatCode>General</c:formatCode>
                <c:ptCount val="11"/>
                <c:pt idx="0">
                  <c:v>85.0</c:v>
                </c:pt>
                <c:pt idx="1">
                  <c:v>75.0</c:v>
                </c:pt>
                <c:pt idx="2">
                  <c:v>81.0</c:v>
                </c:pt>
                <c:pt idx="3">
                  <c:v>72.0</c:v>
                </c:pt>
                <c:pt idx="4">
                  <c:v>82.0</c:v>
                </c:pt>
                <c:pt idx="5">
                  <c:v>75.0</c:v>
                </c:pt>
                <c:pt idx="6">
                  <c:v>93.0</c:v>
                </c:pt>
                <c:pt idx="7">
                  <c:v>78.0</c:v>
                </c:pt>
                <c:pt idx="8">
                  <c:v>108.0</c:v>
                </c:pt>
                <c:pt idx="9">
                  <c:v>123.0</c:v>
                </c:pt>
                <c:pt idx="10">
                  <c:v>147.0</c:v>
                </c:pt>
              </c:numCache>
            </c:numRef>
          </c:val>
          <c:smooth val="0"/>
        </c:ser>
        <c:ser>
          <c:idx val="4"/>
          <c:order val="4"/>
          <c:tx>
            <c:strRef>
              <c:f>Blatt1!$A$6</c:f>
              <c:strCache>
                <c:ptCount val="1"/>
                <c:pt idx="0">
                  <c:v>Positiv auf THC getestet</c:v>
                </c:pt>
              </c:strCache>
            </c:strRef>
          </c:tx>
          <c:marker>
            <c:symbol val="none"/>
          </c:marker>
          <c:dLbls>
            <c:txPr>
              <a:bodyPr/>
              <a:lstStyle/>
              <a:p>
                <a:pPr>
                  <a:defRPr sz="800"/>
                </a:pPr>
                <a:endParaRPr lang="de-DE"/>
              </a:p>
            </c:txPr>
            <c:dLblPos val="t"/>
            <c:showLegendKey val="0"/>
            <c:showVal val="1"/>
            <c:showCatName val="0"/>
            <c:showSerName val="0"/>
            <c:showPercent val="0"/>
            <c:showBubbleSize val="0"/>
            <c:showLeaderLines val="0"/>
          </c:dLbls>
          <c:cat>
            <c:strRef>
              <c:f>Blatt1!$B$1:$L$1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Blatt1!$B$6:$L$6</c:f>
              <c:numCache>
                <c:formatCode>General</c:formatCode>
                <c:ptCount val="11"/>
                <c:pt idx="0">
                  <c:v>29.0</c:v>
                </c:pt>
                <c:pt idx="1">
                  <c:v>27.0</c:v>
                </c:pt>
                <c:pt idx="2">
                  <c:v>26.0</c:v>
                </c:pt>
                <c:pt idx="3">
                  <c:v>31.0</c:v>
                </c:pt>
                <c:pt idx="4">
                  <c:v>37.0</c:v>
                </c:pt>
                <c:pt idx="5">
                  <c:v>42.0</c:v>
                </c:pt>
                <c:pt idx="6">
                  <c:v>52.0</c:v>
                </c:pt>
                <c:pt idx="7">
                  <c:v>36.0</c:v>
                </c:pt>
                <c:pt idx="8">
                  <c:v>32.0</c:v>
                </c:pt>
                <c:pt idx="9">
                  <c:v>53.0</c:v>
                </c:pt>
                <c:pt idx="10">
                  <c:v>59.0</c:v>
                </c:pt>
              </c:numCache>
            </c:numRef>
          </c:val>
          <c:smooth val="0"/>
        </c:ser>
        <c:ser>
          <c:idx val="5"/>
          <c:order val="5"/>
          <c:tx>
            <c:strRef>
              <c:f>Blatt1!$A$7</c:f>
              <c:strCache>
                <c:ptCount val="1"/>
                <c:pt idx="0">
                  <c:v>Positiv auf THC und anderes Getestete</c:v>
                </c:pt>
              </c:strCache>
            </c:strRef>
          </c:tx>
          <c:marker>
            <c:symbol val="none"/>
          </c:marker>
          <c:dLbls>
            <c:txPr>
              <a:bodyPr/>
              <a:lstStyle/>
              <a:p>
                <a:pPr>
                  <a:defRPr sz="800"/>
                </a:pPr>
                <a:endParaRPr lang="de-DE"/>
              </a:p>
            </c:txPr>
            <c:dLblPos val="t"/>
            <c:showLegendKey val="0"/>
            <c:showVal val="1"/>
            <c:showCatName val="0"/>
            <c:showSerName val="0"/>
            <c:showPercent val="0"/>
            <c:showBubbleSize val="0"/>
            <c:showLeaderLines val="0"/>
          </c:dLbls>
          <c:cat>
            <c:strRef>
              <c:f>Blatt1!$B$1:$L$1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Blatt1!$B$7:$L$7</c:f>
              <c:numCache>
                <c:formatCode>General</c:formatCode>
                <c:ptCount val="11"/>
                <c:pt idx="0">
                  <c:v>7.0</c:v>
                </c:pt>
                <c:pt idx="1">
                  <c:v>11.0</c:v>
                </c:pt>
                <c:pt idx="2">
                  <c:v>4.0</c:v>
                </c:pt>
                <c:pt idx="3">
                  <c:v>8.0</c:v>
                </c:pt>
                <c:pt idx="4">
                  <c:v>5.0</c:v>
                </c:pt>
                <c:pt idx="5">
                  <c:v>9.0</c:v>
                </c:pt>
                <c:pt idx="6">
                  <c:v>9.0</c:v>
                </c:pt>
                <c:pt idx="7">
                  <c:v>9.0</c:v>
                </c:pt>
                <c:pt idx="8">
                  <c:v>12.0</c:v>
                </c:pt>
                <c:pt idx="9">
                  <c:v>15.0</c:v>
                </c:pt>
                <c:pt idx="10">
                  <c:v>24.0</c:v>
                </c:pt>
              </c:numCache>
            </c:numRef>
          </c:val>
          <c:smooth val="0"/>
        </c:ser>
        <c:dLbls>
          <c:dLblPos val="t"/>
          <c:showLegendKey val="0"/>
          <c:showVal val="1"/>
          <c:showCatName val="0"/>
          <c:showSerName val="0"/>
          <c:showPercent val="0"/>
          <c:showBubbleSize val="0"/>
        </c:dLbls>
        <c:marker val="1"/>
        <c:smooth val="0"/>
        <c:axId val="-2115138856"/>
        <c:axId val="-2115146392"/>
      </c:lineChart>
      <c:catAx>
        <c:axId val="-2115138856"/>
        <c:scaling>
          <c:orientation val="minMax"/>
        </c:scaling>
        <c:delete val="0"/>
        <c:axPos val="b"/>
        <c:majorTickMark val="out"/>
        <c:minorTickMark val="none"/>
        <c:tickLblPos val="nextTo"/>
        <c:txPr>
          <a:bodyPr/>
          <a:lstStyle/>
          <a:p>
            <a:pPr>
              <a:defRPr sz="900"/>
            </a:pPr>
            <a:endParaRPr lang="de-DE"/>
          </a:p>
        </c:txPr>
        <c:crossAx val="-2115146392"/>
        <c:crosses val="autoZero"/>
        <c:auto val="1"/>
        <c:lblAlgn val="ctr"/>
        <c:lblOffset val="100"/>
        <c:noMultiLvlLbl val="0"/>
      </c:catAx>
      <c:valAx>
        <c:axId val="-2115146392"/>
        <c:scaling>
          <c:orientation val="minMax"/>
        </c:scaling>
        <c:delete val="0"/>
        <c:axPos val="l"/>
        <c:majorGridlines/>
        <c:numFmt formatCode="General" sourceLinked="1"/>
        <c:majorTickMark val="out"/>
        <c:minorTickMark val="none"/>
        <c:tickLblPos val="nextTo"/>
        <c:txPr>
          <a:bodyPr/>
          <a:lstStyle/>
          <a:p>
            <a:pPr>
              <a:defRPr sz="900"/>
            </a:pPr>
            <a:endParaRPr lang="de-DE"/>
          </a:p>
        </c:txPr>
        <c:crossAx val="-2115138856"/>
        <c:crosses val="autoZero"/>
        <c:crossBetween val="between"/>
      </c:valAx>
    </c:plotArea>
    <c:legend>
      <c:legendPos val="r"/>
      <c:layout>
        <c:manualLayout>
          <c:xMode val="edge"/>
          <c:yMode val="edge"/>
          <c:x val="0.737480697110081"/>
          <c:y val="0.230575912422033"/>
          <c:w val="0.255901169203618"/>
          <c:h val="0.684600914493078"/>
        </c:manualLayout>
      </c:layout>
      <c:overlay val="0"/>
      <c:txPr>
        <a:bodyPr/>
        <a:lstStyle/>
        <a:p>
          <a:pPr>
            <a:defRPr sz="900"/>
          </a:pPr>
          <a:endParaRPr lang="de-DE"/>
        </a:p>
      </c:txPr>
    </c:legend>
    <c:plotVisOnly val="1"/>
    <c:dispBlanksAs val="gap"/>
    <c:showDLblsOverMax val="0"/>
  </c:chart>
  <c:spPr>
    <a:ln>
      <a:solidFill>
        <a:srgbClr val="0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Risikoverhalten Jugendlicher</a:t>
            </a:r>
          </a:p>
        </c:rich>
      </c:tx>
      <c:layout/>
      <c:overlay val="0"/>
    </c:title>
    <c:autoTitleDeleted val="0"/>
    <c:plotArea>
      <c:layout/>
      <c:barChart>
        <c:barDir val="col"/>
        <c:grouping val="clustered"/>
        <c:varyColors val="0"/>
        <c:ser>
          <c:idx val="0"/>
          <c:order val="0"/>
          <c:tx>
            <c:strRef>
              <c:f>Blatt1!$B$1:$B$2</c:f>
              <c:strCache>
                <c:ptCount val="1"/>
                <c:pt idx="0">
                  <c:v>Risikoverhalten bei Jugendlichen USA</c:v>
                </c:pt>
              </c:strCache>
            </c:strRef>
          </c:tx>
          <c:invertIfNegative val="0"/>
          <c:cat>
            <c:strRef>
              <c:f>Blatt1!$A$3:$A$20</c:f>
              <c:strCache>
                <c:ptCount val="18"/>
                <c:pt idx="0">
                  <c:v>nie angeschnallt Auto fahren</c:v>
                </c:pt>
                <c:pt idx="1">
                  <c:v>nie mit Helm Fahrradfahren</c:v>
                </c:pt>
                <c:pt idx="2">
                  <c:v>Mitfahren bei alkoholisiertem Fahrer</c:v>
                </c:pt>
                <c:pt idx="3">
                  <c:v>Fahren mit Alkohol</c:v>
                </c:pt>
                <c:pt idx="4">
                  <c:v>Fahren und zugleich SMS-Schreiben</c:v>
                </c:pt>
                <c:pt idx="5">
                  <c:v>Waffenbesitz</c:v>
                </c:pt>
                <c:pt idx="6">
                  <c:v>Schusswaffenbesitz</c:v>
                </c:pt>
                <c:pt idx="7">
                  <c:v>Waffen in der Schule</c:v>
                </c:pt>
                <c:pt idx="8">
                  <c:v>Schusswaffeneinsatz in der Schule</c:v>
                </c:pt>
                <c:pt idx="9">
                  <c:v>Einsatz körperlicher Gewalt</c:v>
                </c:pt>
                <c:pt idx="10">
                  <c:v>Verletzung durch Gewalt</c:v>
                </c:pt>
                <c:pt idx="11">
                  <c:v>digitales Mobbing</c:v>
                </c:pt>
                <c:pt idx="12">
                  <c:v>sexuelle Belästigung</c:v>
                </c:pt>
                <c:pt idx="13">
                  <c:v>jemals Suizid versucht</c:v>
                </c:pt>
                <c:pt idx="14">
                  <c:v>Suizidversuch</c:v>
                </c:pt>
                <c:pt idx="15">
                  <c:v>jemals Marihuana</c:v>
                </c:pt>
                <c:pt idx="16">
                  <c:v>aktuell Kiffer</c:v>
                </c:pt>
                <c:pt idx="17">
                  <c:v>vor dem 13. Lebensjahr Marihuana</c:v>
                </c:pt>
              </c:strCache>
            </c:strRef>
          </c:cat>
          <c:val>
            <c:numRef>
              <c:f>Blatt1!$B$3:$B$20</c:f>
              <c:numCache>
                <c:formatCode>General</c:formatCode>
                <c:ptCount val="18"/>
                <c:pt idx="0">
                  <c:v>8.1</c:v>
                </c:pt>
                <c:pt idx="1">
                  <c:v>84.6</c:v>
                </c:pt>
                <c:pt idx="2">
                  <c:v>18.3</c:v>
                </c:pt>
                <c:pt idx="3">
                  <c:v>7.1</c:v>
                </c:pt>
                <c:pt idx="4">
                  <c:v>39.3</c:v>
                </c:pt>
                <c:pt idx="5">
                  <c:v>19.3</c:v>
                </c:pt>
                <c:pt idx="6">
                  <c:v>6.8</c:v>
                </c:pt>
                <c:pt idx="7">
                  <c:v>5.2</c:v>
                </c:pt>
                <c:pt idx="8">
                  <c:v>6.6</c:v>
                </c:pt>
                <c:pt idx="9">
                  <c:v>20.6</c:v>
                </c:pt>
                <c:pt idx="10">
                  <c:v>2.8</c:v>
                </c:pt>
                <c:pt idx="11">
                  <c:v>15.4</c:v>
                </c:pt>
                <c:pt idx="12">
                  <c:v>7.9</c:v>
                </c:pt>
                <c:pt idx="13">
                  <c:v>16.2</c:v>
                </c:pt>
                <c:pt idx="14">
                  <c:v>9.2</c:v>
                </c:pt>
                <c:pt idx="15">
                  <c:v>34.7</c:v>
                </c:pt>
                <c:pt idx="16">
                  <c:v>19.1</c:v>
                </c:pt>
                <c:pt idx="17">
                  <c:v>7.2</c:v>
                </c:pt>
              </c:numCache>
            </c:numRef>
          </c:val>
        </c:ser>
        <c:ser>
          <c:idx val="1"/>
          <c:order val="1"/>
          <c:tx>
            <c:strRef>
              <c:f>Blatt1!$C$1:$C$2</c:f>
              <c:strCache>
                <c:ptCount val="1"/>
                <c:pt idx="0">
                  <c:v>Risikoverhalten bei Jugendlichen Kalifornien</c:v>
                </c:pt>
              </c:strCache>
            </c:strRef>
          </c:tx>
          <c:invertIfNegative val="0"/>
          <c:cat>
            <c:strRef>
              <c:f>Blatt1!$A$3:$A$20</c:f>
              <c:strCache>
                <c:ptCount val="18"/>
                <c:pt idx="0">
                  <c:v>nie angeschnallt Auto fahren</c:v>
                </c:pt>
                <c:pt idx="1">
                  <c:v>nie mit Helm Fahrradfahren</c:v>
                </c:pt>
                <c:pt idx="2">
                  <c:v>Mitfahren bei alkoholisiertem Fahrer</c:v>
                </c:pt>
                <c:pt idx="3">
                  <c:v>Fahren mit Alkohol</c:v>
                </c:pt>
                <c:pt idx="4">
                  <c:v>Fahren und zugleich SMS-Schreiben</c:v>
                </c:pt>
                <c:pt idx="5">
                  <c:v>Waffenbesitz</c:v>
                </c:pt>
                <c:pt idx="6">
                  <c:v>Schusswaffenbesitz</c:v>
                </c:pt>
                <c:pt idx="7">
                  <c:v>Waffen in der Schule</c:v>
                </c:pt>
                <c:pt idx="8">
                  <c:v>Schusswaffeneinsatz in der Schule</c:v>
                </c:pt>
                <c:pt idx="9">
                  <c:v>Einsatz körperlicher Gewalt</c:v>
                </c:pt>
                <c:pt idx="10">
                  <c:v>Verletzung durch Gewalt</c:v>
                </c:pt>
                <c:pt idx="11">
                  <c:v>digitales Mobbing</c:v>
                </c:pt>
                <c:pt idx="12">
                  <c:v>sexuelle Belästigung</c:v>
                </c:pt>
                <c:pt idx="13">
                  <c:v>jemals Suizid versucht</c:v>
                </c:pt>
                <c:pt idx="14">
                  <c:v>Suizidversuch</c:v>
                </c:pt>
                <c:pt idx="15">
                  <c:v>jemals Marihuana</c:v>
                </c:pt>
                <c:pt idx="16">
                  <c:v>aktuell Kiffer</c:v>
                </c:pt>
                <c:pt idx="17">
                  <c:v>vor dem 13. Lebensjahr Marihuana</c:v>
                </c:pt>
              </c:strCache>
            </c:strRef>
          </c:cat>
          <c:val>
            <c:numRef>
              <c:f>Blatt1!$C$3:$C$20</c:f>
              <c:numCache>
                <c:formatCode>General</c:formatCode>
                <c:ptCount val="18"/>
                <c:pt idx="0">
                  <c:v>3.6</c:v>
                </c:pt>
                <c:pt idx="1">
                  <c:v>67.6</c:v>
                </c:pt>
                <c:pt idx="2">
                  <c:v>20.8</c:v>
                </c:pt>
                <c:pt idx="3">
                  <c:v>6.9</c:v>
                </c:pt>
                <c:pt idx="4">
                  <c:v>32.4</c:v>
                </c:pt>
                <c:pt idx="5">
                  <c:v>8.9</c:v>
                </c:pt>
                <c:pt idx="6">
                  <c:v>2.8</c:v>
                </c:pt>
                <c:pt idx="7">
                  <c:v>2.7</c:v>
                </c:pt>
                <c:pt idx="8">
                  <c:v>5.2</c:v>
                </c:pt>
                <c:pt idx="9">
                  <c:v>16.2</c:v>
                </c:pt>
                <c:pt idx="10">
                  <c:v>2.5</c:v>
                </c:pt>
                <c:pt idx="11">
                  <c:v>13.5</c:v>
                </c:pt>
                <c:pt idx="12">
                  <c:v>6.0</c:v>
                </c:pt>
                <c:pt idx="13">
                  <c:v>17.2</c:v>
                </c:pt>
                <c:pt idx="14">
                  <c:v>8.2</c:v>
                </c:pt>
                <c:pt idx="15">
                  <c:v>38.6</c:v>
                </c:pt>
                <c:pt idx="16">
                  <c:v>22.9</c:v>
                </c:pt>
                <c:pt idx="17">
                  <c:v>7.5</c:v>
                </c:pt>
              </c:numCache>
            </c:numRef>
          </c:val>
        </c:ser>
        <c:dLbls>
          <c:showLegendKey val="0"/>
          <c:showVal val="0"/>
          <c:showCatName val="0"/>
          <c:showSerName val="0"/>
          <c:showPercent val="0"/>
          <c:showBubbleSize val="0"/>
        </c:dLbls>
        <c:gapWidth val="150"/>
        <c:axId val="-2127027448"/>
        <c:axId val="-2127013496"/>
      </c:barChart>
      <c:catAx>
        <c:axId val="-2127027448"/>
        <c:scaling>
          <c:orientation val="minMax"/>
        </c:scaling>
        <c:delete val="0"/>
        <c:axPos val="b"/>
        <c:majorTickMark val="out"/>
        <c:minorTickMark val="none"/>
        <c:tickLblPos val="nextTo"/>
        <c:crossAx val="-2127013496"/>
        <c:crosses val="autoZero"/>
        <c:auto val="1"/>
        <c:lblAlgn val="ctr"/>
        <c:lblOffset val="100"/>
        <c:noMultiLvlLbl val="0"/>
      </c:catAx>
      <c:valAx>
        <c:axId val="-2127013496"/>
        <c:scaling>
          <c:orientation val="minMax"/>
        </c:scaling>
        <c:delete val="0"/>
        <c:axPos val="l"/>
        <c:majorGridlines/>
        <c:numFmt formatCode="General" sourceLinked="1"/>
        <c:majorTickMark val="out"/>
        <c:minorTickMark val="none"/>
        <c:tickLblPos val="nextTo"/>
        <c:crossAx val="-2127027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Konsumraten</a:t>
            </a:r>
            <a:r>
              <a:rPr lang="de-DE" baseline="0"/>
              <a:t> Marihuana - Washington</a:t>
            </a:r>
            <a:endParaRPr lang="de-DE"/>
          </a:p>
        </c:rich>
      </c:tx>
      <c:layout/>
      <c:overlay val="0"/>
    </c:title>
    <c:autoTitleDeleted val="0"/>
    <c:plotArea>
      <c:layout/>
      <c:barChart>
        <c:barDir val="col"/>
        <c:grouping val="clustered"/>
        <c:varyColors val="0"/>
        <c:ser>
          <c:idx val="0"/>
          <c:order val="0"/>
          <c:tx>
            <c:strRef>
              <c:f>Blatt1!$B$1</c:f>
              <c:strCache>
                <c:ptCount val="1"/>
                <c:pt idx="0">
                  <c:v>2003</c:v>
                </c:pt>
              </c:strCache>
            </c:strRef>
          </c:tx>
          <c:invertIfNegative val="0"/>
          <c:dLbls>
            <c:txPr>
              <a:bodyPr/>
              <a:lstStyle/>
              <a:p>
                <a:pPr>
                  <a:defRPr sz="800"/>
                </a:pPr>
                <a:endParaRPr lang="de-DE"/>
              </a:p>
            </c:txPr>
            <c:dLblPos val="outEnd"/>
            <c:showLegendKey val="0"/>
            <c:showVal val="1"/>
            <c:showCatName val="0"/>
            <c:showSerName val="0"/>
            <c:showPercent val="0"/>
            <c:showBubbleSize val="0"/>
            <c:showLeaderLines val="0"/>
          </c:dLbls>
          <c:cat>
            <c:strRef>
              <c:f>Blatt1!$A$2:$A$5</c:f>
              <c:strCache>
                <c:ptCount val="4"/>
                <c:pt idx="0">
                  <c:v>Bevölkerung gesamt älter 12 Jahre</c:v>
                </c:pt>
                <c:pt idx="1">
                  <c:v>12-17 Jahre</c:v>
                </c:pt>
                <c:pt idx="2">
                  <c:v>18-25 Jahre</c:v>
                </c:pt>
                <c:pt idx="3">
                  <c:v>älter 26 Jahre</c:v>
                </c:pt>
              </c:strCache>
            </c:strRef>
          </c:cat>
          <c:val>
            <c:numRef>
              <c:f>Blatt1!$B$2:$B$5</c:f>
              <c:numCache>
                <c:formatCode>General</c:formatCode>
                <c:ptCount val="4"/>
                <c:pt idx="0">
                  <c:v>7.41</c:v>
                </c:pt>
                <c:pt idx="1">
                  <c:v>9.11</c:v>
                </c:pt>
                <c:pt idx="2">
                  <c:v>21.22</c:v>
                </c:pt>
                <c:pt idx="3">
                  <c:v>4.819999999999998</c:v>
                </c:pt>
              </c:numCache>
            </c:numRef>
          </c:val>
        </c:ser>
        <c:ser>
          <c:idx val="1"/>
          <c:order val="1"/>
          <c:tx>
            <c:strRef>
              <c:f>Blatt1!$C$1</c:f>
              <c:strCache>
                <c:ptCount val="1"/>
                <c:pt idx="0">
                  <c:v>2011</c:v>
                </c:pt>
              </c:strCache>
            </c:strRef>
          </c:tx>
          <c:invertIfNegative val="0"/>
          <c:dLbls>
            <c:txPr>
              <a:bodyPr/>
              <a:lstStyle/>
              <a:p>
                <a:pPr>
                  <a:defRPr sz="800"/>
                </a:pPr>
                <a:endParaRPr lang="de-DE"/>
              </a:p>
            </c:txPr>
            <c:dLblPos val="outEnd"/>
            <c:showLegendKey val="0"/>
            <c:showVal val="1"/>
            <c:showCatName val="0"/>
            <c:showSerName val="0"/>
            <c:showPercent val="0"/>
            <c:showBubbleSize val="0"/>
            <c:showLeaderLines val="0"/>
          </c:dLbls>
          <c:cat>
            <c:strRef>
              <c:f>Blatt1!$A$2:$A$5</c:f>
              <c:strCache>
                <c:ptCount val="4"/>
                <c:pt idx="0">
                  <c:v>Bevölkerung gesamt älter 12 Jahre</c:v>
                </c:pt>
                <c:pt idx="1">
                  <c:v>12-17 Jahre</c:v>
                </c:pt>
                <c:pt idx="2">
                  <c:v>18-25 Jahre</c:v>
                </c:pt>
                <c:pt idx="3">
                  <c:v>älter 26 Jahre</c:v>
                </c:pt>
              </c:strCache>
            </c:strRef>
          </c:cat>
          <c:val>
            <c:numRef>
              <c:f>Blatt1!$C$2:$C$5</c:f>
              <c:numCache>
                <c:formatCode>0.00</c:formatCode>
                <c:ptCount val="4"/>
                <c:pt idx="0" formatCode="General">
                  <c:v>9.88</c:v>
                </c:pt>
                <c:pt idx="1">
                  <c:v>9.59</c:v>
                </c:pt>
                <c:pt idx="2" formatCode="General">
                  <c:v>25.56</c:v>
                </c:pt>
                <c:pt idx="3" formatCode="General">
                  <c:v>7.319999999999998</c:v>
                </c:pt>
              </c:numCache>
            </c:numRef>
          </c:val>
        </c:ser>
        <c:ser>
          <c:idx val="2"/>
          <c:order val="2"/>
          <c:tx>
            <c:strRef>
              <c:f>Blatt1!$D$1</c:f>
              <c:strCache>
                <c:ptCount val="1"/>
                <c:pt idx="0">
                  <c:v>2014</c:v>
                </c:pt>
              </c:strCache>
            </c:strRef>
          </c:tx>
          <c:invertIfNegative val="0"/>
          <c:dLbls>
            <c:txPr>
              <a:bodyPr/>
              <a:lstStyle/>
              <a:p>
                <a:pPr>
                  <a:defRPr sz="800"/>
                </a:pPr>
                <a:endParaRPr lang="de-DE"/>
              </a:p>
            </c:txPr>
            <c:dLblPos val="outEnd"/>
            <c:showLegendKey val="0"/>
            <c:showVal val="1"/>
            <c:showCatName val="0"/>
            <c:showSerName val="0"/>
            <c:showPercent val="0"/>
            <c:showBubbleSize val="0"/>
            <c:showLeaderLines val="0"/>
          </c:dLbls>
          <c:cat>
            <c:strRef>
              <c:f>Blatt1!$A$2:$A$5</c:f>
              <c:strCache>
                <c:ptCount val="4"/>
                <c:pt idx="0">
                  <c:v>Bevölkerung gesamt älter 12 Jahre</c:v>
                </c:pt>
                <c:pt idx="1">
                  <c:v>12-17 Jahre</c:v>
                </c:pt>
                <c:pt idx="2">
                  <c:v>18-25 Jahre</c:v>
                </c:pt>
                <c:pt idx="3">
                  <c:v>älter 26 Jahre</c:v>
                </c:pt>
              </c:strCache>
            </c:strRef>
          </c:cat>
          <c:val>
            <c:numRef>
              <c:f>Blatt1!$D$2:$D$5</c:f>
              <c:numCache>
                <c:formatCode>General</c:formatCode>
                <c:ptCount val="4"/>
                <c:pt idx="0">
                  <c:v>12.79</c:v>
                </c:pt>
                <c:pt idx="1">
                  <c:v>10.06</c:v>
                </c:pt>
                <c:pt idx="2">
                  <c:v>24.47</c:v>
                </c:pt>
                <c:pt idx="3">
                  <c:v>11.21</c:v>
                </c:pt>
              </c:numCache>
            </c:numRef>
          </c:val>
        </c:ser>
        <c:dLbls>
          <c:dLblPos val="outEnd"/>
          <c:showLegendKey val="0"/>
          <c:showVal val="1"/>
          <c:showCatName val="0"/>
          <c:showSerName val="0"/>
          <c:showPercent val="0"/>
          <c:showBubbleSize val="0"/>
        </c:dLbls>
        <c:gapWidth val="150"/>
        <c:axId val="-2146271512"/>
        <c:axId val="-2146270040"/>
      </c:barChart>
      <c:catAx>
        <c:axId val="-2146271512"/>
        <c:scaling>
          <c:orientation val="minMax"/>
        </c:scaling>
        <c:delete val="0"/>
        <c:axPos val="b"/>
        <c:majorTickMark val="out"/>
        <c:minorTickMark val="none"/>
        <c:tickLblPos val="nextTo"/>
        <c:crossAx val="-2146270040"/>
        <c:crosses val="autoZero"/>
        <c:auto val="1"/>
        <c:lblAlgn val="ctr"/>
        <c:lblOffset val="100"/>
        <c:noMultiLvlLbl val="0"/>
      </c:catAx>
      <c:valAx>
        <c:axId val="-2146270040"/>
        <c:scaling>
          <c:orientation val="minMax"/>
        </c:scaling>
        <c:delete val="0"/>
        <c:axPos val="l"/>
        <c:majorGridlines/>
        <c:numFmt formatCode="General" sourceLinked="1"/>
        <c:majorTickMark val="out"/>
        <c:minorTickMark val="none"/>
        <c:tickLblPos val="nextTo"/>
        <c:crossAx val="-21462715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Konsumraten Marihuana - Colorado</a:t>
            </a:r>
          </a:p>
        </c:rich>
      </c:tx>
      <c:layout/>
      <c:overlay val="0"/>
    </c:title>
    <c:autoTitleDeleted val="0"/>
    <c:plotArea>
      <c:layout/>
      <c:barChart>
        <c:barDir val="col"/>
        <c:grouping val="clustered"/>
        <c:varyColors val="0"/>
        <c:ser>
          <c:idx val="0"/>
          <c:order val="0"/>
          <c:tx>
            <c:strRef>
              <c:f>Blatt1!$B$1</c:f>
              <c:strCache>
                <c:ptCount val="1"/>
                <c:pt idx="0">
                  <c:v>2003</c:v>
                </c:pt>
              </c:strCache>
            </c:strRef>
          </c:tx>
          <c:invertIfNegative val="0"/>
          <c:dLbls>
            <c:txPr>
              <a:bodyPr/>
              <a:lstStyle/>
              <a:p>
                <a:pPr>
                  <a:defRPr sz="800"/>
                </a:pPr>
                <a:endParaRPr lang="de-DE"/>
              </a:p>
            </c:txPr>
            <c:dLblPos val="outEnd"/>
            <c:showLegendKey val="0"/>
            <c:showVal val="1"/>
            <c:showCatName val="0"/>
            <c:showSerName val="0"/>
            <c:showPercent val="0"/>
            <c:showBubbleSize val="0"/>
            <c:showLeaderLines val="0"/>
          </c:dLbls>
          <c:cat>
            <c:strRef>
              <c:f>Blatt1!$A$2:$A$5</c:f>
              <c:strCache>
                <c:ptCount val="4"/>
                <c:pt idx="0">
                  <c:v>Bevölkerung gesamt älter 12 Jahre</c:v>
                </c:pt>
                <c:pt idx="1">
                  <c:v>12-17 Jahre</c:v>
                </c:pt>
                <c:pt idx="2">
                  <c:v>18-25 Jahre</c:v>
                </c:pt>
                <c:pt idx="3">
                  <c:v>älter 26 Jahre</c:v>
                </c:pt>
              </c:strCache>
            </c:strRef>
          </c:cat>
          <c:val>
            <c:numRef>
              <c:f>Blatt1!$B$2:$B$5</c:f>
              <c:numCache>
                <c:formatCode>General</c:formatCode>
                <c:ptCount val="4"/>
                <c:pt idx="0">
                  <c:v>8.49</c:v>
                </c:pt>
                <c:pt idx="1">
                  <c:v>9.82</c:v>
                </c:pt>
                <c:pt idx="2">
                  <c:v>21.67</c:v>
                </c:pt>
                <c:pt idx="3">
                  <c:v>6.01</c:v>
                </c:pt>
              </c:numCache>
            </c:numRef>
          </c:val>
        </c:ser>
        <c:ser>
          <c:idx val="1"/>
          <c:order val="1"/>
          <c:tx>
            <c:strRef>
              <c:f>Blatt1!$C$1</c:f>
              <c:strCache>
                <c:ptCount val="1"/>
                <c:pt idx="0">
                  <c:v>2011</c:v>
                </c:pt>
              </c:strCache>
            </c:strRef>
          </c:tx>
          <c:invertIfNegative val="0"/>
          <c:dLbls>
            <c:txPr>
              <a:bodyPr/>
              <a:lstStyle/>
              <a:p>
                <a:pPr>
                  <a:defRPr sz="800"/>
                </a:pPr>
                <a:endParaRPr lang="de-DE"/>
              </a:p>
            </c:txPr>
            <c:dLblPos val="outEnd"/>
            <c:showLegendKey val="0"/>
            <c:showVal val="1"/>
            <c:showCatName val="0"/>
            <c:showSerName val="0"/>
            <c:showPercent val="0"/>
            <c:showBubbleSize val="0"/>
            <c:showLeaderLines val="0"/>
          </c:dLbls>
          <c:cat>
            <c:strRef>
              <c:f>Blatt1!$A$2:$A$5</c:f>
              <c:strCache>
                <c:ptCount val="4"/>
                <c:pt idx="0">
                  <c:v>Bevölkerung gesamt älter 12 Jahre</c:v>
                </c:pt>
                <c:pt idx="1">
                  <c:v>12-17 Jahre</c:v>
                </c:pt>
                <c:pt idx="2">
                  <c:v>18-25 Jahre</c:v>
                </c:pt>
                <c:pt idx="3">
                  <c:v>älter 26 Jahre</c:v>
                </c:pt>
              </c:strCache>
            </c:strRef>
          </c:cat>
          <c:val>
            <c:numRef>
              <c:f>Blatt1!$C$2:$C$5</c:f>
              <c:numCache>
                <c:formatCode>General</c:formatCode>
                <c:ptCount val="4"/>
                <c:pt idx="0">
                  <c:v>10.48</c:v>
                </c:pt>
                <c:pt idx="1">
                  <c:v>10.72</c:v>
                </c:pt>
                <c:pt idx="2">
                  <c:v>27.26</c:v>
                </c:pt>
                <c:pt idx="3">
                  <c:v>8.19</c:v>
                </c:pt>
              </c:numCache>
            </c:numRef>
          </c:val>
        </c:ser>
        <c:ser>
          <c:idx val="2"/>
          <c:order val="2"/>
          <c:tx>
            <c:strRef>
              <c:f>Blatt1!$D$1</c:f>
              <c:strCache>
                <c:ptCount val="1"/>
                <c:pt idx="0">
                  <c:v>2014</c:v>
                </c:pt>
              </c:strCache>
            </c:strRef>
          </c:tx>
          <c:invertIfNegative val="0"/>
          <c:dLbls>
            <c:txPr>
              <a:bodyPr/>
              <a:lstStyle/>
              <a:p>
                <a:pPr>
                  <a:defRPr sz="800"/>
                </a:pPr>
                <a:endParaRPr lang="de-DE"/>
              </a:p>
            </c:txPr>
            <c:dLblPos val="outEnd"/>
            <c:showLegendKey val="0"/>
            <c:showVal val="1"/>
            <c:showCatName val="0"/>
            <c:showSerName val="0"/>
            <c:showPercent val="0"/>
            <c:showBubbleSize val="0"/>
            <c:showLeaderLines val="0"/>
          </c:dLbls>
          <c:cat>
            <c:strRef>
              <c:f>Blatt1!$A$2:$A$5</c:f>
              <c:strCache>
                <c:ptCount val="4"/>
                <c:pt idx="0">
                  <c:v>Bevölkerung gesamt älter 12 Jahre</c:v>
                </c:pt>
                <c:pt idx="1">
                  <c:v>12-17 Jahre</c:v>
                </c:pt>
                <c:pt idx="2">
                  <c:v>18-25 Jahre</c:v>
                </c:pt>
                <c:pt idx="3">
                  <c:v>älter 26 Jahre</c:v>
                </c:pt>
              </c:strCache>
            </c:strRef>
          </c:cat>
          <c:val>
            <c:numRef>
              <c:f>Blatt1!$D$2:$D$5</c:f>
              <c:numCache>
                <c:formatCode>General</c:formatCode>
                <c:ptCount val="4"/>
                <c:pt idx="0">
                  <c:v>14.93</c:v>
                </c:pt>
                <c:pt idx="1">
                  <c:v>12.56</c:v>
                </c:pt>
                <c:pt idx="2">
                  <c:v>31.24</c:v>
                </c:pt>
                <c:pt idx="3">
                  <c:v>12.45</c:v>
                </c:pt>
              </c:numCache>
            </c:numRef>
          </c:val>
        </c:ser>
        <c:dLbls>
          <c:dLblPos val="outEnd"/>
          <c:showLegendKey val="0"/>
          <c:showVal val="1"/>
          <c:showCatName val="0"/>
          <c:showSerName val="0"/>
          <c:showPercent val="0"/>
          <c:showBubbleSize val="0"/>
        </c:dLbls>
        <c:gapWidth val="150"/>
        <c:axId val="-2139313912"/>
        <c:axId val="-2139320232"/>
      </c:barChart>
      <c:catAx>
        <c:axId val="-2139313912"/>
        <c:scaling>
          <c:orientation val="minMax"/>
        </c:scaling>
        <c:delete val="0"/>
        <c:axPos val="b"/>
        <c:majorTickMark val="out"/>
        <c:minorTickMark val="none"/>
        <c:tickLblPos val="nextTo"/>
        <c:crossAx val="-2139320232"/>
        <c:crosses val="autoZero"/>
        <c:auto val="1"/>
        <c:lblAlgn val="ctr"/>
        <c:lblOffset val="100"/>
        <c:noMultiLvlLbl val="0"/>
      </c:catAx>
      <c:valAx>
        <c:axId val="-2139320232"/>
        <c:scaling>
          <c:orientation val="minMax"/>
        </c:scaling>
        <c:delete val="0"/>
        <c:axPos val="l"/>
        <c:majorGridlines/>
        <c:numFmt formatCode="General" sourceLinked="1"/>
        <c:majorTickMark val="out"/>
        <c:minorTickMark val="none"/>
        <c:tickLblPos val="nextTo"/>
        <c:crossAx val="-21393139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sz="1200"/>
              <a:t>Neugier-Konsum Marihuana in Colorado</a:t>
            </a:r>
          </a:p>
        </c:rich>
      </c:tx>
      <c:layout/>
      <c:overlay val="0"/>
    </c:title>
    <c:autoTitleDeleted val="0"/>
    <c:plotArea>
      <c:layout/>
      <c:barChart>
        <c:barDir val="col"/>
        <c:grouping val="clustered"/>
        <c:varyColors val="0"/>
        <c:ser>
          <c:idx val="0"/>
          <c:order val="0"/>
          <c:tx>
            <c:strRef>
              <c:f>Blatt1!$B$1</c:f>
              <c:strCache>
                <c:ptCount val="1"/>
                <c:pt idx="0">
                  <c:v>2003</c:v>
                </c:pt>
              </c:strCache>
            </c:strRef>
          </c:tx>
          <c:invertIfNegative val="0"/>
          <c:dLbls>
            <c:txPr>
              <a:bodyPr/>
              <a:lstStyle/>
              <a:p>
                <a:pPr>
                  <a:defRPr sz="800"/>
                </a:pPr>
                <a:endParaRPr lang="de-DE"/>
              </a:p>
            </c:txPr>
            <c:showLegendKey val="0"/>
            <c:showVal val="1"/>
            <c:showCatName val="0"/>
            <c:showSerName val="0"/>
            <c:showPercent val="0"/>
            <c:showBubbleSize val="0"/>
            <c:showLeaderLines val="0"/>
          </c:dLbls>
          <c:cat>
            <c:strRef>
              <c:f>Blatt1!$A$2:$A$5</c:f>
              <c:strCache>
                <c:ptCount val="4"/>
                <c:pt idx="0">
                  <c:v>Bevölkerung insgesamt (älter als 12 Jahre)</c:v>
                </c:pt>
                <c:pt idx="1">
                  <c:v>12-17 Jahre</c:v>
                </c:pt>
                <c:pt idx="2">
                  <c:v>18-25 Jahre</c:v>
                </c:pt>
                <c:pt idx="3">
                  <c:v>älter als 26 Jahre</c:v>
                </c:pt>
              </c:strCache>
            </c:strRef>
          </c:cat>
          <c:val>
            <c:numRef>
              <c:f>Blatt1!$B$2:$B$5</c:f>
              <c:numCache>
                <c:formatCode>General</c:formatCode>
                <c:ptCount val="4"/>
                <c:pt idx="0">
                  <c:v>15.08</c:v>
                </c:pt>
                <c:pt idx="1">
                  <c:v>19.55</c:v>
                </c:pt>
                <c:pt idx="2">
                  <c:v>36.57</c:v>
                </c:pt>
                <c:pt idx="3">
                  <c:v>10.73</c:v>
                </c:pt>
              </c:numCache>
            </c:numRef>
          </c:val>
        </c:ser>
        <c:ser>
          <c:idx val="1"/>
          <c:order val="1"/>
          <c:tx>
            <c:strRef>
              <c:f>Blatt1!$C$1</c:f>
              <c:strCache>
                <c:ptCount val="1"/>
                <c:pt idx="0">
                  <c:v>2011</c:v>
                </c:pt>
              </c:strCache>
            </c:strRef>
          </c:tx>
          <c:invertIfNegative val="0"/>
          <c:dLbls>
            <c:txPr>
              <a:bodyPr/>
              <a:lstStyle/>
              <a:p>
                <a:pPr>
                  <a:defRPr sz="800"/>
                </a:pPr>
                <a:endParaRPr lang="de-DE"/>
              </a:p>
            </c:txPr>
            <c:showLegendKey val="0"/>
            <c:showVal val="1"/>
            <c:showCatName val="0"/>
            <c:showSerName val="0"/>
            <c:showPercent val="0"/>
            <c:showBubbleSize val="0"/>
            <c:showLeaderLines val="0"/>
          </c:dLbls>
          <c:cat>
            <c:strRef>
              <c:f>Blatt1!$A$2:$A$5</c:f>
              <c:strCache>
                <c:ptCount val="4"/>
                <c:pt idx="0">
                  <c:v>Bevölkerung insgesamt (älter als 12 Jahre)</c:v>
                </c:pt>
                <c:pt idx="1">
                  <c:v>12-17 Jahre</c:v>
                </c:pt>
                <c:pt idx="2">
                  <c:v>18-25 Jahre</c:v>
                </c:pt>
                <c:pt idx="3">
                  <c:v>älter als 26 Jahre</c:v>
                </c:pt>
              </c:strCache>
            </c:strRef>
          </c:cat>
          <c:val>
            <c:numRef>
              <c:f>Blatt1!$C$2:$C$5</c:f>
              <c:numCache>
                <c:formatCode>General</c:formatCode>
                <c:ptCount val="4"/>
                <c:pt idx="0">
                  <c:v>16.23</c:v>
                </c:pt>
                <c:pt idx="1">
                  <c:v>19.11</c:v>
                </c:pt>
                <c:pt idx="2">
                  <c:v>41.29</c:v>
                </c:pt>
                <c:pt idx="3">
                  <c:v>11.54</c:v>
                </c:pt>
              </c:numCache>
            </c:numRef>
          </c:val>
        </c:ser>
        <c:ser>
          <c:idx val="2"/>
          <c:order val="2"/>
          <c:tx>
            <c:strRef>
              <c:f>Blatt1!$D$1</c:f>
              <c:strCache>
                <c:ptCount val="1"/>
                <c:pt idx="0">
                  <c:v>2014</c:v>
                </c:pt>
              </c:strCache>
            </c:strRef>
          </c:tx>
          <c:invertIfNegative val="0"/>
          <c:dLbls>
            <c:txPr>
              <a:bodyPr/>
              <a:lstStyle/>
              <a:p>
                <a:pPr>
                  <a:defRPr sz="800"/>
                </a:pPr>
                <a:endParaRPr lang="de-DE"/>
              </a:p>
            </c:txPr>
            <c:showLegendKey val="0"/>
            <c:showVal val="1"/>
            <c:showCatName val="0"/>
            <c:showSerName val="0"/>
            <c:showPercent val="0"/>
            <c:showBubbleSize val="0"/>
            <c:showLeaderLines val="0"/>
          </c:dLbls>
          <c:cat>
            <c:strRef>
              <c:f>Blatt1!$A$2:$A$5</c:f>
              <c:strCache>
                <c:ptCount val="4"/>
                <c:pt idx="0">
                  <c:v>Bevölkerung insgesamt (älter als 12 Jahre)</c:v>
                </c:pt>
                <c:pt idx="1">
                  <c:v>12-17 Jahre</c:v>
                </c:pt>
                <c:pt idx="2">
                  <c:v>18-25 Jahre</c:v>
                </c:pt>
                <c:pt idx="3">
                  <c:v>älter als 26 Jahre</c:v>
                </c:pt>
              </c:strCache>
            </c:strRef>
          </c:cat>
          <c:val>
            <c:numRef>
              <c:f>Blatt1!$D$2:$D$5</c:f>
              <c:numCache>
                <c:formatCode>General</c:formatCode>
                <c:ptCount val="4"/>
                <c:pt idx="0">
                  <c:v>20.74</c:v>
                </c:pt>
                <c:pt idx="1">
                  <c:v>20.81</c:v>
                </c:pt>
                <c:pt idx="2">
                  <c:v>43.95</c:v>
                </c:pt>
                <c:pt idx="3">
                  <c:v>16.8</c:v>
                </c:pt>
              </c:numCache>
            </c:numRef>
          </c:val>
        </c:ser>
        <c:dLbls>
          <c:showLegendKey val="0"/>
          <c:showVal val="1"/>
          <c:showCatName val="0"/>
          <c:showSerName val="0"/>
          <c:showPercent val="0"/>
          <c:showBubbleSize val="0"/>
        </c:dLbls>
        <c:gapWidth val="150"/>
        <c:axId val="-2145342920"/>
        <c:axId val="-2145354568"/>
      </c:barChart>
      <c:catAx>
        <c:axId val="-2145342920"/>
        <c:scaling>
          <c:orientation val="minMax"/>
        </c:scaling>
        <c:delete val="0"/>
        <c:axPos val="b"/>
        <c:majorTickMark val="out"/>
        <c:minorTickMark val="none"/>
        <c:tickLblPos val="nextTo"/>
        <c:crossAx val="-2145354568"/>
        <c:crosses val="autoZero"/>
        <c:auto val="1"/>
        <c:lblAlgn val="ctr"/>
        <c:lblOffset val="100"/>
        <c:noMultiLvlLbl val="0"/>
      </c:catAx>
      <c:valAx>
        <c:axId val="-2145354568"/>
        <c:scaling>
          <c:orientation val="minMax"/>
        </c:scaling>
        <c:delete val="0"/>
        <c:axPos val="l"/>
        <c:majorGridlines/>
        <c:numFmt formatCode="General" sourceLinked="1"/>
        <c:majorTickMark val="out"/>
        <c:minorTickMark val="none"/>
        <c:tickLblPos val="nextTo"/>
        <c:crossAx val="-21453429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Risikoverhalten Jugendlicher</a:t>
            </a:r>
          </a:p>
        </c:rich>
      </c:tx>
      <c:layout/>
      <c:overlay val="0"/>
    </c:title>
    <c:autoTitleDeleted val="0"/>
    <c:plotArea>
      <c:layout>
        <c:manualLayout>
          <c:layoutTarget val="inner"/>
          <c:xMode val="edge"/>
          <c:yMode val="edge"/>
          <c:x val="0.158972434865232"/>
          <c:y val="0.146659786254137"/>
          <c:w val="0.8057200824748"/>
          <c:h val="0.562423464630149"/>
        </c:manualLayout>
      </c:layout>
      <c:barChart>
        <c:barDir val="col"/>
        <c:grouping val="clustered"/>
        <c:varyColors val="0"/>
        <c:ser>
          <c:idx val="0"/>
          <c:order val="0"/>
          <c:tx>
            <c:strRef>
              <c:f>Blatt1!$B$2</c:f>
              <c:strCache>
                <c:ptCount val="1"/>
                <c:pt idx="0">
                  <c:v>USA</c:v>
                </c:pt>
              </c:strCache>
            </c:strRef>
          </c:tx>
          <c:invertIfNegative val="0"/>
          <c:cat>
            <c:strRef>
              <c:f>Blatt1!$A$3:$A$19</c:f>
              <c:strCache>
                <c:ptCount val="17"/>
                <c:pt idx="0">
                  <c:v>Rauchen jemals</c:v>
                </c:pt>
                <c:pt idx="1">
                  <c:v>Rauchen vor dem 13. Lebensjahr</c:v>
                </c:pt>
                <c:pt idx="2">
                  <c:v>aktuell Raucher</c:v>
                </c:pt>
                <c:pt idx="3">
                  <c:v>Vielraucher</c:v>
                </c:pt>
                <c:pt idx="4">
                  <c:v>jemals Alkohol</c:v>
                </c:pt>
                <c:pt idx="5">
                  <c:v>aktuell Akohol</c:v>
                </c:pt>
                <c:pt idx="6">
                  <c:v>jemals Marihuana</c:v>
                </c:pt>
                <c:pt idx="7">
                  <c:v>aktuell Kiffer</c:v>
                </c:pt>
                <c:pt idx="8">
                  <c:v>vor dem 13. Lebensjahr Marihuana</c:v>
                </c:pt>
                <c:pt idx="9">
                  <c:v>jemals synthetisches Marihuana</c:v>
                </c:pt>
                <c:pt idx="10">
                  <c:v>jemals Kokain</c:v>
                </c:pt>
                <c:pt idx="11">
                  <c:v>jemals Extasy</c:v>
                </c:pt>
                <c:pt idx="12">
                  <c:v>jemals Heroin</c:v>
                </c:pt>
                <c:pt idx="13">
                  <c:v>jemals Crystal</c:v>
                </c:pt>
                <c:pt idx="14">
                  <c:v>jemals Steroide</c:v>
                </c:pt>
                <c:pt idx="15">
                  <c:v>jemals Schnüffeln</c:v>
                </c:pt>
                <c:pt idx="16">
                  <c:v>jemals Dealen</c:v>
                </c:pt>
              </c:strCache>
            </c:strRef>
          </c:cat>
          <c:val>
            <c:numRef>
              <c:f>Blatt1!$B$3:$B$19</c:f>
              <c:numCache>
                <c:formatCode>General</c:formatCode>
                <c:ptCount val="17"/>
                <c:pt idx="0">
                  <c:v>34.5</c:v>
                </c:pt>
                <c:pt idx="1">
                  <c:v>7.8</c:v>
                </c:pt>
                <c:pt idx="2">
                  <c:v>10.8</c:v>
                </c:pt>
                <c:pt idx="3">
                  <c:v>3.6</c:v>
                </c:pt>
                <c:pt idx="4">
                  <c:v>59.8</c:v>
                </c:pt>
                <c:pt idx="5">
                  <c:v>29.8</c:v>
                </c:pt>
                <c:pt idx="6">
                  <c:v>34.7</c:v>
                </c:pt>
                <c:pt idx="7">
                  <c:v>19.1</c:v>
                </c:pt>
                <c:pt idx="8">
                  <c:v>7.2</c:v>
                </c:pt>
                <c:pt idx="9">
                  <c:v>9.2</c:v>
                </c:pt>
                <c:pt idx="10">
                  <c:v>4.8</c:v>
                </c:pt>
                <c:pt idx="11">
                  <c:v>5.1</c:v>
                </c:pt>
                <c:pt idx="12">
                  <c:v>2.5</c:v>
                </c:pt>
                <c:pt idx="13">
                  <c:v>3.2</c:v>
                </c:pt>
                <c:pt idx="14">
                  <c:v>3.8</c:v>
                </c:pt>
                <c:pt idx="15">
                  <c:v>7.7</c:v>
                </c:pt>
                <c:pt idx="16">
                  <c:v>22.3</c:v>
                </c:pt>
              </c:numCache>
            </c:numRef>
          </c:val>
        </c:ser>
        <c:ser>
          <c:idx val="1"/>
          <c:order val="1"/>
          <c:tx>
            <c:strRef>
              <c:f>Blatt1!$C$2</c:f>
              <c:strCache>
                <c:ptCount val="1"/>
                <c:pt idx="0">
                  <c:v>Kalifornien</c:v>
                </c:pt>
              </c:strCache>
            </c:strRef>
          </c:tx>
          <c:invertIfNegative val="0"/>
          <c:cat>
            <c:strRef>
              <c:f>Blatt1!$A$3:$A$19</c:f>
              <c:strCache>
                <c:ptCount val="17"/>
                <c:pt idx="0">
                  <c:v>Rauchen jemals</c:v>
                </c:pt>
                <c:pt idx="1">
                  <c:v>Rauchen vor dem 13. Lebensjahr</c:v>
                </c:pt>
                <c:pt idx="2">
                  <c:v>aktuell Raucher</c:v>
                </c:pt>
                <c:pt idx="3">
                  <c:v>Vielraucher</c:v>
                </c:pt>
                <c:pt idx="4">
                  <c:v>jemals Alkohol</c:v>
                </c:pt>
                <c:pt idx="5">
                  <c:v>aktuell Akohol</c:v>
                </c:pt>
                <c:pt idx="6">
                  <c:v>jemals Marihuana</c:v>
                </c:pt>
                <c:pt idx="7">
                  <c:v>aktuell Kiffer</c:v>
                </c:pt>
                <c:pt idx="8">
                  <c:v>vor dem 13. Lebensjahr Marihuana</c:v>
                </c:pt>
                <c:pt idx="9">
                  <c:v>jemals synthetisches Marihuana</c:v>
                </c:pt>
                <c:pt idx="10">
                  <c:v>jemals Kokain</c:v>
                </c:pt>
                <c:pt idx="11">
                  <c:v>jemals Extasy</c:v>
                </c:pt>
                <c:pt idx="12">
                  <c:v>jemals Heroin</c:v>
                </c:pt>
                <c:pt idx="13">
                  <c:v>jemals Crystal</c:v>
                </c:pt>
                <c:pt idx="14">
                  <c:v>jemals Steroide</c:v>
                </c:pt>
                <c:pt idx="15">
                  <c:v>jemals Schnüffeln</c:v>
                </c:pt>
                <c:pt idx="16">
                  <c:v>jemals Dealen</c:v>
                </c:pt>
              </c:strCache>
            </c:strRef>
          </c:cat>
          <c:val>
            <c:numRef>
              <c:f>Blatt1!$C$3:$C$19</c:f>
              <c:numCache>
                <c:formatCode>General</c:formatCode>
                <c:ptCount val="17"/>
                <c:pt idx="0">
                  <c:v>28.1</c:v>
                </c:pt>
                <c:pt idx="1">
                  <c:v>5.2</c:v>
                </c:pt>
                <c:pt idx="2">
                  <c:v>7.7</c:v>
                </c:pt>
                <c:pt idx="3">
                  <c:v>1.5</c:v>
                </c:pt>
                <c:pt idx="4">
                  <c:v>58.7</c:v>
                </c:pt>
                <c:pt idx="5">
                  <c:v>28.9</c:v>
                </c:pt>
                <c:pt idx="6">
                  <c:v>38.6</c:v>
                </c:pt>
                <c:pt idx="7">
                  <c:v>22.9</c:v>
                </c:pt>
                <c:pt idx="8">
                  <c:v>7.5</c:v>
                </c:pt>
                <c:pt idx="9">
                  <c:v>7.9</c:v>
                </c:pt>
                <c:pt idx="10">
                  <c:v>5.8</c:v>
                </c:pt>
                <c:pt idx="11">
                  <c:v>6.8</c:v>
                </c:pt>
                <c:pt idx="12">
                  <c:v>1.6</c:v>
                </c:pt>
                <c:pt idx="13">
                  <c:v>2.9</c:v>
                </c:pt>
                <c:pt idx="14">
                  <c:v>1.4</c:v>
                </c:pt>
                <c:pt idx="15">
                  <c:v>7.0</c:v>
                </c:pt>
                <c:pt idx="16">
                  <c:v>26.1</c:v>
                </c:pt>
              </c:numCache>
            </c:numRef>
          </c:val>
        </c:ser>
        <c:dLbls>
          <c:showLegendKey val="0"/>
          <c:showVal val="0"/>
          <c:showCatName val="0"/>
          <c:showSerName val="0"/>
          <c:showPercent val="0"/>
          <c:showBubbleSize val="0"/>
        </c:dLbls>
        <c:gapWidth val="150"/>
        <c:axId val="-2139415208"/>
        <c:axId val="-2115561432"/>
      </c:barChart>
      <c:catAx>
        <c:axId val="-2139415208"/>
        <c:scaling>
          <c:orientation val="minMax"/>
        </c:scaling>
        <c:delete val="0"/>
        <c:axPos val="b"/>
        <c:majorTickMark val="out"/>
        <c:minorTickMark val="none"/>
        <c:tickLblPos val="nextTo"/>
        <c:crossAx val="-2115561432"/>
        <c:crosses val="autoZero"/>
        <c:auto val="1"/>
        <c:lblAlgn val="ctr"/>
        <c:lblOffset val="100"/>
        <c:noMultiLvlLbl val="0"/>
      </c:catAx>
      <c:valAx>
        <c:axId val="-2115561432"/>
        <c:scaling>
          <c:orientation val="minMax"/>
        </c:scaling>
        <c:delete val="0"/>
        <c:axPos val="l"/>
        <c:majorGridlines/>
        <c:numFmt formatCode="General" sourceLinked="1"/>
        <c:majorTickMark val="out"/>
        <c:minorTickMark val="none"/>
        <c:tickLblPos val="nextTo"/>
        <c:crossAx val="-2139415208"/>
        <c:crosses val="autoZero"/>
        <c:crossBetween val="between"/>
      </c:valAx>
    </c:plotArea>
    <c:legend>
      <c:legendPos val="r"/>
      <c:layout>
        <c:manualLayout>
          <c:xMode val="edge"/>
          <c:yMode val="edge"/>
          <c:x val="0.67428221042191"/>
          <c:y val="0.145799523955531"/>
          <c:w val="0.203995893630437"/>
          <c:h val="0.060313348527138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Temporäre</a:t>
            </a:r>
            <a:r>
              <a:rPr lang="de-DE" baseline="0"/>
              <a:t> Schul</a:t>
            </a:r>
            <a:r>
              <a:rPr lang="de-DE"/>
              <a:t>ausschlüsse</a:t>
            </a:r>
          </a:p>
        </c:rich>
      </c:tx>
      <c:layout/>
      <c:overlay val="0"/>
    </c:title>
    <c:autoTitleDeleted val="0"/>
    <c:plotArea>
      <c:layout/>
      <c:barChart>
        <c:barDir val="col"/>
        <c:grouping val="clustered"/>
        <c:varyColors val="0"/>
        <c:ser>
          <c:idx val="0"/>
          <c:order val="0"/>
          <c:tx>
            <c:strRef>
              <c:f>Sheet1!$A$8</c:f>
              <c:strCache>
                <c:ptCount val="1"/>
                <c:pt idx="0">
                  <c:v>DRUG VIOLATIONS</c:v>
                </c:pt>
              </c:strCache>
            </c:strRef>
          </c:tx>
          <c:invertIfNegative val="0"/>
          <c:dLbls>
            <c:txPr>
              <a:bodyPr/>
              <a:lstStyle/>
              <a:p>
                <a:pPr>
                  <a:defRPr sz="800"/>
                </a:pPr>
                <a:endParaRPr lang="de-DE"/>
              </a:p>
            </c:txPr>
            <c:dLblPos val="outEnd"/>
            <c:showLegendKey val="0"/>
            <c:showVal val="1"/>
            <c:showCatName val="0"/>
            <c:showSerName val="0"/>
            <c:showPercent val="0"/>
            <c:showBubbleSize val="0"/>
            <c:showLeaderLines val="0"/>
          </c:dLbls>
          <c:cat>
            <c:multiLvlStrRef>
              <c:f>Sheet1!$C$4:$L$7</c:f>
              <c:multiLvlStrCache>
                <c:ptCount val="10"/>
                <c:lvl>
                  <c:pt idx="0">
                    <c:v>2006-2007</c:v>
                  </c:pt>
                  <c:pt idx="1">
                    <c:v>2007-2008</c:v>
                  </c:pt>
                  <c:pt idx="2">
                    <c:v>2008-2009</c:v>
                  </c:pt>
                  <c:pt idx="3">
                    <c:v>2009-2010</c:v>
                  </c:pt>
                  <c:pt idx="4">
                    <c:v>2010-2011</c:v>
                  </c:pt>
                  <c:pt idx="5">
                    <c:v>2011-2012</c:v>
                  </c:pt>
                  <c:pt idx="6">
                    <c:v>2012-2013</c:v>
                  </c:pt>
                  <c:pt idx="7">
                    <c:v>2013-2014</c:v>
                  </c:pt>
                  <c:pt idx="8">
                    <c:v>2014-2015</c:v>
                  </c:pt>
                  <c:pt idx="9">
                    <c:v>2015-2016</c:v>
                  </c:pt>
                </c:lvl>
                <c:lvl>
                  <c:pt idx="0">
                    <c:v>SCHOOL-YEAR</c:v>
                  </c:pt>
                </c:lvl>
              </c:multiLvlStrCache>
            </c:multiLvlStrRef>
          </c:cat>
          <c:val>
            <c:numRef>
              <c:f>Sheet1!$C$8:$L$8</c:f>
              <c:numCache>
                <c:formatCode>#,##0</c:formatCode>
                <c:ptCount val="10"/>
                <c:pt idx="0">
                  <c:v>3287.0</c:v>
                </c:pt>
                <c:pt idx="1">
                  <c:v>3212.0</c:v>
                </c:pt>
                <c:pt idx="2">
                  <c:v>3202.0</c:v>
                </c:pt>
                <c:pt idx="3">
                  <c:v>4212.0</c:v>
                </c:pt>
                <c:pt idx="4">
                  <c:v>4650.0</c:v>
                </c:pt>
                <c:pt idx="5">
                  <c:v>4561.0</c:v>
                </c:pt>
                <c:pt idx="6">
                  <c:v>4319.0</c:v>
                </c:pt>
                <c:pt idx="7">
                  <c:v>4714.0</c:v>
                </c:pt>
                <c:pt idx="8">
                  <c:v>4526.0</c:v>
                </c:pt>
                <c:pt idx="9">
                  <c:v>1579.0</c:v>
                </c:pt>
              </c:numCache>
            </c:numRef>
          </c:val>
        </c:ser>
        <c:ser>
          <c:idx val="1"/>
          <c:order val="1"/>
          <c:tx>
            <c:strRef>
              <c:f>Sheet1!$A$9</c:f>
              <c:strCache>
                <c:ptCount val="1"/>
                <c:pt idx="0">
                  <c:v>MARIJUANA VIOLATION**</c:v>
                </c:pt>
              </c:strCache>
            </c:strRef>
          </c:tx>
          <c:invertIfNegative val="0"/>
          <c:dLbls>
            <c:txPr>
              <a:bodyPr/>
              <a:lstStyle/>
              <a:p>
                <a:pPr>
                  <a:defRPr sz="800"/>
                </a:pPr>
                <a:endParaRPr lang="de-DE"/>
              </a:p>
            </c:txPr>
            <c:dLblPos val="outEnd"/>
            <c:showLegendKey val="0"/>
            <c:showVal val="1"/>
            <c:showCatName val="0"/>
            <c:showSerName val="0"/>
            <c:showPercent val="0"/>
            <c:showBubbleSize val="0"/>
            <c:showLeaderLines val="0"/>
          </c:dLbls>
          <c:cat>
            <c:multiLvlStrRef>
              <c:f>Sheet1!$C$4:$L$7</c:f>
              <c:multiLvlStrCache>
                <c:ptCount val="10"/>
                <c:lvl>
                  <c:pt idx="0">
                    <c:v>2006-2007</c:v>
                  </c:pt>
                  <c:pt idx="1">
                    <c:v>2007-2008</c:v>
                  </c:pt>
                  <c:pt idx="2">
                    <c:v>2008-2009</c:v>
                  </c:pt>
                  <c:pt idx="3">
                    <c:v>2009-2010</c:v>
                  </c:pt>
                  <c:pt idx="4">
                    <c:v>2010-2011</c:v>
                  </c:pt>
                  <c:pt idx="5">
                    <c:v>2011-2012</c:v>
                  </c:pt>
                  <c:pt idx="6">
                    <c:v>2012-2013</c:v>
                  </c:pt>
                  <c:pt idx="7">
                    <c:v>2013-2014</c:v>
                  </c:pt>
                  <c:pt idx="8">
                    <c:v>2014-2015</c:v>
                  </c:pt>
                  <c:pt idx="9">
                    <c:v>2015-2016</c:v>
                  </c:pt>
                </c:lvl>
                <c:lvl>
                  <c:pt idx="0">
                    <c:v>SCHOOL-YEAR</c:v>
                  </c:pt>
                </c:lvl>
              </c:multiLvlStrCache>
            </c:multiLvlStrRef>
          </c:cat>
          <c:val>
            <c:numRef>
              <c:f>Sheet1!$C$9:$L$9</c:f>
              <c:numCache>
                <c:formatCode>#,##0</c:formatCode>
                <c:ptCount val="10"/>
                <c:pt idx="0">
                  <c:v>0.0</c:v>
                </c:pt>
                <c:pt idx="1">
                  <c:v>0.0</c:v>
                </c:pt>
                <c:pt idx="2">
                  <c:v>0.0</c:v>
                </c:pt>
                <c:pt idx="3">
                  <c:v>0.0</c:v>
                </c:pt>
                <c:pt idx="4">
                  <c:v>0.0</c:v>
                </c:pt>
                <c:pt idx="5">
                  <c:v>0.0</c:v>
                </c:pt>
                <c:pt idx="6">
                  <c:v>0.0</c:v>
                </c:pt>
                <c:pt idx="7">
                  <c:v>0.0</c:v>
                </c:pt>
                <c:pt idx="8">
                  <c:v>0.0</c:v>
                </c:pt>
                <c:pt idx="9">
                  <c:v>2657.0</c:v>
                </c:pt>
              </c:numCache>
            </c:numRef>
          </c:val>
        </c:ser>
        <c:dLbls>
          <c:dLblPos val="outEnd"/>
          <c:showLegendKey val="0"/>
          <c:showVal val="1"/>
          <c:showCatName val="0"/>
          <c:showSerName val="0"/>
          <c:showPercent val="0"/>
          <c:showBubbleSize val="0"/>
        </c:dLbls>
        <c:gapWidth val="150"/>
        <c:axId val="-2115029928"/>
        <c:axId val="-2115026952"/>
      </c:barChart>
      <c:catAx>
        <c:axId val="-2115029928"/>
        <c:scaling>
          <c:orientation val="minMax"/>
        </c:scaling>
        <c:delete val="0"/>
        <c:axPos val="b"/>
        <c:majorTickMark val="out"/>
        <c:minorTickMark val="none"/>
        <c:tickLblPos val="nextTo"/>
        <c:crossAx val="-2115026952"/>
        <c:crosses val="autoZero"/>
        <c:auto val="1"/>
        <c:lblAlgn val="ctr"/>
        <c:lblOffset val="100"/>
        <c:noMultiLvlLbl val="0"/>
      </c:catAx>
      <c:valAx>
        <c:axId val="-2115026952"/>
        <c:scaling>
          <c:orientation val="minMax"/>
        </c:scaling>
        <c:delete val="0"/>
        <c:axPos val="l"/>
        <c:majorGridlines/>
        <c:numFmt formatCode="#,##0" sourceLinked="1"/>
        <c:majorTickMark val="out"/>
        <c:minorTickMark val="none"/>
        <c:tickLblPos val="nextTo"/>
        <c:crossAx val="-21150299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Gründe</a:t>
            </a:r>
            <a:r>
              <a:rPr lang="de-DE" baseline="0"/>
              <a:t> für temporäre Schulverweise </a:t>
            </a:r>
            <a:r>
              <a:rPr lang="de-DE"/>
              <a:t>2015-2016</a:t>
            </a:r>
          </a:p>
        </c:rich>
      </c:tx>
      <c:layout/>
      <c:overlay val="0"/>
    </c:title>
    <c:autoTitleDeleted val="0"/>
    <c:plotArea>
      <c:layout/>
      <c:barChart>
        <c:barDir val="bar"/>
        <c:grouping val="clustered"/>
        <c:varyColors val="0"/>
        <c:ser>
          <c:idx val="0"/>
          <c:order val="0"/>
          <c:tx>
            <c:strRef>
              <c:f>Sheet1!$B$6:$B$7</c:f>
              <c:strCache>
                <c:ptCount val="1"/>
                <c:pt idx="0">
                  <c:v>Incident Type</c:v>
                </c:pt>
              </c:strCache>
            </c:strRef>
          </c:tx>
          <c:invertIfNegative val="0"/>
          <c:cat>
            <c:strRef>
              <c:f>Sheet1!$A$8:$A$20</c:f>
              <c:strCache>
                <c:ptCount val="13"/>
                <c:pt idx="0">
                  <c:v>DRUG VIOLATIONS</c:v>
                </c:pt>
                <c:pt idx="1">
                  <c:v>MARIJUANA VIOLATION**</c:v>
                </c:pt>
                <c:pt idx="2">
                  <c:v>TOBACCO VIOLATIONS</c:v>
                </c:pt>
                <c:pt idx="3">
                  <c:v>1ST, 2ND, OR VEHICULAR ASSAULT</c:v>
                </c:pt>
                <c:pt idx="4">
                  <c:v>3RD DEGREE ASSAULTS/DISORDERLY CONDUCT</c:v>
                </c:pt>
                <c:pt idx="5">
                  <c:v>DANGEROUS WEAPONS</c:v>
                </c:pt>
                <c:pt idx="6">
                  <c:v>ROBBERY</c:v>
                </c:pt>
                <c:pt idx="7">
                  <c:v>OTHER FELONY</c:v>
                </c:pt>
                <c:pt idx="8">
                  <c:v>DISOBEDIENT/DEFIANT OR REPEATED INTERFERENCE</c:v>
                </c:pt>
                <c:pt idx="9">
                  <c:v>DETRIMENTAL BEHAVIOR</c:v>
                </c:pt>
                <c:pt idx="10">
                  <c:v>DESTRUCTION OF SCHOOL PROPERTY</c:v>
                </c:pt>
                <c:pt idx="11">
                  <c:v>SEXUAL VIOLENCE**</c:v>
                </c:pt>
                <c:pt idx="12">
                  <c:v>OTHER CODE OF CONDUCT VIOLATIONS</c:v>
                </c:pt>
              </c:strCache>
            </c:strRef>
          </c:cat>
          <c:val>
            <c:numRef>
              <c:f>Sheet1!$L$8:$L$20</c:f>
              <c:numCache>
                <c:formatCode>#,##0</c:formatCode>
                <c:ptCount val="13"/>
                <c:pt idx="0">
                  <c:v>1579.0</c:v>
                </c:pt>
                <c:pt idx="1">
                  <c:v>2657.0</c:v>
                </c:pt>
                <c:pt idx="2">
                  <c:v>1179.0</c:v>
                </c:pt>
                <c:pt idx="3">
                  <c:v>63.0</c:v>
                </c:pt>
                <c:pt idx="4">
                  <c:v>3714.0</c:v>
                </c:pt>
                <c:pt idx="5">
                  <c:v>633.0</c:v>
                </c:pt>
                <c:pt idx="6">
                  <c:v>118.0</c:v>
                </c:pt>
                <c:pt idx="7">
                  <c:v>94.0</c:v>
                </c:pt>
                <c:pt idx="8">
                  <c:v>24824.0</c:v>
                </c:pt>
                <c:pt idx="9">
                  <c:v>23589.0</c:v>
                </c:pt>
                <c:pt idx="10">
                  <c:v>686.0</c:v>
                </c:pt>
                <c:pt idx="11">
                  <c:v>10.0</c:v>
                </c:pt>
                <c:pt idx="12">
                  <c:v>20524.0</c:v>
                </c:pt>
              </c:numCache>
            </c:numRef>
          </c:val>
        </c:ser>
        <c:dLbls>
          <c:dLblPos val="outEnd"/>
          <c:showLegendKey val="0"/>
          <c:showVal val="1"/>
          <c:showCatName val="0"/>
          <c:showSerName val="0"/>
          <c:showPercent val="0"/>
          <c:showBubbleSize val="0"/>
        </c:dLbls>
        <c:gapWidth val="150"/>
        <c:axId val="-2114310232"/>
        <c:axId val="-2114311112"/>
      </c:barChart>
      <c:catAx>
        <c:axId val="-2114310232"/>
        <c:scaling>
          <c:orientation val="minMax"/>
        </c:scaling>
        <c:delete val="0"/>
        <c:axPos val="l"/>
        <c:majorTickMark val="out"/>
        <c:minorTickMark val="none"/>
        <c:tickLblPos val="nextTo"/>
        <c:crossAx val="-2114311112"/>
        <c:crosses val="autoZero"/>
        <c:auto val="1"/>
        <c:lblAlgn val="ctr"/>
        <c:lblOffset val="100"/>
        <c:noMultiLvlLbl val="0"/>
      </c:catAx>
      <c:valAx>
        <c:axId val="-2114311112"/>
        <c:scaling>
          <c:orientation val="minMax"/>
        </c:scaling>
        <c:delete val="0"/>
        <c:axPos val="b"/>
        <c:majorGridlines/>
        <c:numFmt formatCode="#,##0" sourceLinked="1"/>
        <c:majorTickMark val="out"/>
        <c:minorTickMark val="none"/>
        <c:tickLblPos val="nextTo"/>
        <c:crossAx val="-2114310232"/>
        <c:crosses val="autoZero"/>
        <c:crossBetween val="between"/>
      </c:valAx>
    </c:plotArea>
    <c:plotVisOnly val="1"/>
    <c:dispBlanksAs val="gap"/>
    <c:showDLblsOverMax val="0"/>
  </c:chart>
  <c:spPr>
    <a:ln>
      <a:solidFill>
        <a:srgbClr val="000000"/>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Lebenszeitprävalenz in %</a:t>
            </a:r>
          </a:p>
        </c:rich>
      </c:tx>
      <c:layout/>
      <c:overlay val="0"/>
    </c:title>
    <c:autoTitleDeleted val="0"/>
    <c:plotArea>
      <c:layout/>
      <c:lineChart>
        <c:grouping val="standard"/>
        <c:varyColors val="0"/>
        <c:ser>
          <c:idx val="0"/>
          <c:order val="0"/>
          <c:tx>
            <c:v>6. Klasse</c:v>
          </c:tx>
          <c:marker>
            <c:symbol val="none"/>
          </c:marker>
          <c:cat>
            <c:numRef>
              <c:f>Blatt1!$B$8:$D$8</c:f>
              <c:numCache>
                <c:formatCode>General</c:formatCode>
                <c:ptCount val="3"/>
                <c:pt idx="0">
                  <c:v>2010.0</c:v>
                </c:pt>
                <c:pt idx="1">
                  <c:v>2012.0</c:v>
                </c:pt>
                <c:pt idx="2">
                  <c:v>2014.0</c:v>
                </c:pt>
              </c:numCache>
            </c:numRef>
          </c:cat>
          <c:val>
            <c:numRef>
              <c:f>Blatt1!$B$9:$D$9</c:f>
              <c:numCache>
                <c:formatCode>General</c:formatCode>
                <c:ptCount val="3"/>
                <c:pt idx="0">
                  <c:v>4.0</c:v>
                </c:pt>
                <c:pt idx="1">
                  <c:v>3.0</c:v>
                </c:pt>
                <c:pt idx="2">
                  <c:v>3.0</c:v>
                </c:pt>
              </c:numCache>
            </c:numRef>
          </c:val>
          <c:smooth val="0"/>
        </c:ser>
        <c:ser>
          <c:idx val="1"/>
          <c:order val="1"/>
          <c:tx>
            <c:v>8. Klasse</c:v>
          </c:tx>
          <c:marker>
            <c:symbol val="none"/>
          </c:marker>
          <c:cat>
            <c:numRef>
              <c:f>Blatt1!$B$8:$D$8</c:f>
              <c:numCache>
                <c:formatCode>General</c:formatCode>
                <c:ptCount val="3"/>
                <c:pt idx="0">
                  <c:v>2010.0</c:v>
                </c:pt>
                <c:pt idx="1">
                  <c:v>2012.0</c:v>
                </c:pt>
                <c:pt idx="2">
                  <c:v>2014.0</c:v>
                </c:pt>
              </c:numCache>
            </c:numRef>
          </c:cat>
          <c:val>
            <c:numRef>
              <c:f>Blatt1!$B$10:$D$10</c:f>
              <c:numCache>
                <c:formatCode>General</c:formatCode>
                <c:ptCount val="3"/>
                <c:pt idx="0">
                  <c:v>13.0</c:v>
                </c:pt>
                <c:pt idx="1">
                  <c:v>14.0</c:v>
                </c:pt>
                <c:pt idx="2">
                  <c:v>10.0</c:v>
                </c:pt>
              </c:numCache>
            </c:numRef>
          </c:val>
          <c:smooth val="0"/>
        </c:ser>
        <c:ser>
          <c:idx val="2"/>
          <c:order val="2"/>
          <c:tx>
            <c:v>10. Klasse</c:v>
          </c:tx>
          <c:marker>
            <c:symbol val="none"/>
          </c:marker>
          <c:cat>
            <c:numRef>
              <c:f>Blatt1!$B$8:$D$8</c:f>
              <c:numCache>
                <c:formatCode>General</c:formatCode>
                <c:ptCount val="3"/>
                <c:pt idx="0">
                  <c:v>2010.0</c:v>
                </c:pt>
                <c:pt idx="1">
                  <c:v>2012.0</c:v>
                </c:pt>
                <c:pt idx="2">
                  <c:v>2014.0</c:v>
                </c:pt>
              </c:numCache>
            </c:numRef>
          </c:cat>
          <c:val>
            <c:numRef>
              <c:f>Blatt1!$B$11:$D$11</c:f>
              <c:numCache>
                <c:formatCode>General</c:formatCode>
                <c:ptCount val="3"/>
                <c:pt idx="0">
                  <c:v>31.0</c:v>
                </c:pt>
                <c:pt idx="1">
                  <c:v>29.0</c:v>
                </c:pt>
                <c:pt idx="2">
                  <c:v>29.0</c:v>
                </c:pt>
              </c:numCache>
            </c:numRef>
          </c:val>
          <c:smooth val="0"/>
        </c:ser>
        <c:ser>
          <c:idx val="3"/>
          <c:order val="3"/>
          <c:tx>
            <c:v>12. Klasse</c:v>
          </c:tx>
          <c:marker>
            <c:symbol val="none"/>
          </c:marker>
          <c:cat>
            <c:numRef>
              <c:f>Blatt1!$B$8:$D$8</c:f>
              <c:numCache>
                <c:formatCode>General</c:formatCode>
                <c:ptCount val="3"/>
                <c:pt idx="0">
                  <c:v>2010.0</c:v>
                </c:pt>
                <c:pt idx="1">
                  <c:v>2012.0</c:v>
                </c:pt>
                <c:pt idx="2">
                  <c:v>2014.0</c:v>
                </c:pt>
              </c:numCache>
            </c:numRef>
          </c:cat>
          <c:val>
            <c:numRef>
              <c:f>Blatt1!$B$12:$D$12</c:f>
              <c:numCache>
                <c:formatCode>General</c:formatCode>
                <c:ptCount val="3"/>
                <c:pt idx="0">
                  <c:v>46.0</c:v>
                </c:pt>
                <c:pt idx="1">
                  <c:v>46.0</c:v>
                </c:pt>
                <c:pt idx="2">
                  <c:v>46.0</c:v>
                </c:pt>
              </c:numCache>
            </c:numRef>
          </c:val>
          <c:smooth val="0"/>
        </c:ser>
        <c:dLbls>
          <c:showLegendKey val="0"/>
          <c:showVal val="0"/>
          <c:showCatName val="0"/>
          <c:showSerName val="0"/>
          <c:showPercent val="0"/>
          <c:showBubbleSize val="0"/>
        </c:dLbls>
        <c:marker val="1"/>
        <c:smooth val="0"/>
        <c:axId val="-2127558440"/>
        <c:axId val="-2127555304"/>
      </c:lineChart>
      <c:catAx>
        <c:axId val="-2127558440"/>
        <c:scaling>
          <c:orientation val="minMax"/>
        </c:scaling>
        <c:delete val="0"/>
        <c:axPos val="b"/>
        <c:numFmt formatCode="General" sourceLinked="1"/>
        <c:majorTickMark val="out"/>
        <c:minorTickMark val="none"/>
        <c:tickLblPos val="nextTo"/>
        <c:crossAx val="-2127555304"/>
        <c:crosses val="autoZero"/>
        <c:auto val="1"/>
        <c:lblAlgn val="ctr"/>
        <c:lblOffset val="100"/>
        <c:noMultiLvlLbl val="0"/>
      </c:catAx>
      <c:valAx>
        <c:axId val="-2127555304"/>
        <c:scaling>
          <c:orientation val="minMax"/>
        </c:scaling>
        <c:delete val="0"/>
        <c:axPos val="l"/>
        <c:majorGridlines/>
        <c:numFmt formatCode="General" sourceLinked="1"/>
        <c:majorTickMark val="out"/>
        <c:minorTickMark val="none"/>
        <c:tickLblPos val="nextTo"/>
        <c:crossAx val="-2127558440"/>
        <c:crosses val="autoZero"/>
        <c:crossBetween val="between"/>
      </c:valAx>
      <c:dTable>
        <c:showHorzBorder val="1"/>
        <c:showVertBorder val="1"/>
        <c:showOutline val="1"/>
        <c:showKeys val="1"/>
      </c:dTable>
    </c:plotArea>
    <c:plotVisOnly val="1"/>
    <c:dispBlanksAs val="gap"/>
    <c:showDLblsOverMax val="0"/>
  </c:chart>
  <c:spPr>
    <a:ln>
      <a:solidFill>
        <a:srgbClr val="000000"/>
      </a:solidFill>
    </a:ln>
  </c:spPr>
  <c:externalData r:id="rId1">
    <c:autoUpdate val="0"/>
  </c:externalData>
</c:chartSpace>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05DC5-18D0-E54B-B535-17E9CD641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37344</Words>
  <Characters>235269</Characters>
  <Application>Microsoft Macintosh Word</Application>
  <DocSecurity>0</DocSecurity>
  <Lines>1960</Lines>
  <Paragraphs>544</Paragraphs>
  <ScaleCrop>false</ScaleCrop>
  <Company>HS-Merseburg</Company>
  <LinksUpToDate>false</LinksUpToDate>
  <CharactersWithSpaces>272069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Gundula Dr. Barsch</dc:creator>
  <cp:keywords/>
  <dc:description/>
  <cp:lastModifiedBy>Gundula Dr. Barsch</cp:lastModifiedBy>
  <cp:revision>4</cp:revision>
  <cp:lastPrinted>2017-02-21T11:15:00Z</cp:lastPrinted>
  <dcterms:created xsi:type="dcterms:W3CDTF">2017-02-21T11:46:00Z</dcterms:created>
  <dcterms:modified xsi:type="dcterms:W3CDTF">2017-12-11T08:07:00Z</dcterms:modified>
</cp:coreProperties>
</file>